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64135</wp:posOffset>
            </wp:positionV>
            <wp:extent cx="71558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81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78105</wp:posOffset>
            </wp:positionV>
            <wp:extent cx="71558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81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wp:posOffset>
            </wp:positionV>
            <wp:extent cx="5359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UNITED STATES</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5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17233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23390" cy="6985"/>
                    </a:xfrm>
                    <a:prstGeom prst="rect">
                      <a:avLst/>
                    </a:prstGeom>
                    <a:noFill/>
                  </pic:spPr>
                </pic:pic>
              </a:graphicData>
            </a:graphic>
          </wp:anchor>
        </w:drawing>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10-K</w:t>
      </w:r>
    </w:p>
    <w:p>
      <w:pPr>
        <w:spacing w:after="0" w:line="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ANNUAL REPORT PURSUANT TO SECTION 13 OR 15(d) OF THE SECURITIES EXCHANGE ACT OF 1934</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For the fiscal year ended December 31, 2021</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OR</w:t>
      </w:r>
    </w:p>
    <w:p>
      <w:pPr>
        <w:spacing w:after="0" w:line="4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800" w:type="dxa"/>
        <w:tblCellMar>
          <w:top w:w="0" w:type="dxa"/>
          <w:left w:w="0" w:type="dxa"/>
          <w:bottom w:w="0" w:type="dxa"/>
          <w:right w:w="0" w:type="dxa"/>
        </w:tblCellMar>
      </w:tblPr>
      <w:tr>
        <w:trPr>
          <w:trHeight w:val="152"/>
        </w:trPr>
        <w:tc>
          <w:tcPr>
            <w:tcW w:w="3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2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0"/>
              </w:rPr>
              <w:t>For the transition period from ________ to ________</w:t>
            </w: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gridSpan w:val="2"/>
          </w:tcPr>
          <w:p>
            <w:pPr>
              <w:jc w:val="center"/>
              <w:ind w:right="740"/>
              <w:spacing w:after="0"/>
              <w:rPr>
                <w:sz w:val="20"/>
                <w:szCs w:val="20"/>
                <w:color w:val="auto"/>
              </w:rPr>
            </w:pPr>
            <w:r>
              <w:rPr>
                <w:rFonts w:ascii="Arial" w:cs="Arial" w:eastAsia="Arial" w:hAnsi="Arial"/>
                <w:sz w:val="15"/>
                <w:szCs w:val="15"/>
                <w:b w:val="1"/>
                <w:bCs w:val="1"/>
                <w:color w:val="auto"/>
                <w:w w:val="91"/>
              </w:rPr>
              <w:t>Commission File Number 001-37635</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6"/>
        </w:trPr>
        <w:tc>
          <w:tcPr>
            <w:tcW w:w="3000" w:type="dxa"/>
            <w:vAlign w:val="bottom"/>
          </w:tcPr>
          <w:p>
            <w:pPr>
              <w:spacing w:after="0"/>
              <w:rPr>
                <w:sz w:val="24"/>
                <w:szCs w:val="24"/>
                <w:color w:val="auto"/>
              </w:rPr>
            </w:pPr>
          </w:p>
        </w:tc>
        <w:tc>
          <w:tcPr>
            <w:tcW w:w="4120" w:type="dxa"/>
            <w:vAlign w:val="bottom"/>
            <w:gridSpan w:val="3"/>
          </w:tcPr>
          <w:p>
            <w:pPr>
              <w:jc w:val="center"/>
              <w:ind w:right="440"/>
              <w:spacing w:after="0"/>
              <w:rPr>
                <w:sz w:val="20"/>
                <w:szCs w:val="20"/>
                <w:color w:val="auto"/>
              </w:rPr>
            </w:pPr>
            <w:r>
              <w:rPr>
                <w:rFonts w:ascii="Arial" w:cs="Arial" w:eastAsia="Arial" w:hAnsi="Arial"/>
                <w:sz w:val="21"/>
                <w:szCs w:val="21"/>
                <w:b w:val="1"/>
                <w:bCs w:val="1"/>
                <w:color w:val="auto"/>
              </w:rPr>
              <w:t>AXSOME THERAPEUTICS, INC.</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2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89"/>
              </w:rPr>
              <w:t>(Exact name of registrant as specified in its charter)</w:t>
            </w: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9"/>
        </w:trPr>
        <w:tc>
          <w:tcPr>
            <w:tcW w:w="3000" w:type="dxa"/>
            <w:vAlign w:val="bottom"/>
          </w:tcPr>
          <w:p>
            <w:pPr>
              <w:jc w:val="center"/>
              <w:ind w:left="995"/>
              <w:spacing w:after="0"/>
              <w:rPr>
                <w:sz w:val="20"/>
                <w:szCs w:val="20"/>
                <w:color w:val="auto"/>
              </w:rPr>
            </w:pPr>
            <w:r>
              <w:rPr>
                <w:rFonts w:ascii="Arial" w:cs="Arial" w:eastAsia="Arial" w:hAnsi="Arial"/>
                <w:sz w:val="15"/>
                <w:szCs w:val="15"/>
                <w:b w:val="1"/>
                <w:bCs w:val="1"/>
                <w:color w:val="auto"/>
                <w:w w:val="94"/>
              </w:rPr>
              <w:t>Delaware</w:t>
            </w:r>
          </w:p>
        </w:tc>
        <w:tc>
          <w:tcPr>
            <w:tcW w:w="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80" w:type="dxa"/>
            <w:vAlign w:val="bottom"/>
          </w:tcPr>
          <w:p>
            <w:pPr>
              <w:jc w:val="right"/>
              <w:ind w:right="1616"/>
              <w:spacing w:after="0"/>
              <w:rPr>
                <w:sz w:val="20"/>
                <w:szCs w:val="20"/>
                <w:color w:val="auto"/>
              </w:rPr>
            </w:pPr>
            <w:r>
              <w:rPr>
                <w:rFonts w:ascii="Arial" w:cs="Arial" w:eastAsia="Arial" w:hAnsi="Arial"/>
                <w:sz w:val="15"/>
                <w:szCs w:val="15"/>
                <w:b w:val="1"/>
                <w:bCs w:val="1"/>
                <w:color w:val="auto"/>
              </w:rPr>
              <w:t>45-4241907</w:t>
            </w:r>
          </w:p>
        </w:tc>
        <w:tc>
          <w:tcPr>
            <w:tcW w:w="0" w:type="dxa"/>
            <w:vAlign w:val="bottom"/>
          </w:tcPr>
          <w:p>
            <w:pPr>
              <w:spacing w:after="0"/>
              <w:rPr>
                <w:sz w:val="1"/>
                <w:szCs w:val="1"/>
                <w:color w:val="auto"/>
              </w:rPr>
            </w:pPr>
          </w:p>
        </w:tc>
      </w:tr>
      <w:tr>
        <w:trPr>
          <w:trHeight w:val="123"/>
        </w:trPr>
        <w:tc>
          <w:tcPr>
            <w:tcW w:w="3000" w:type="dxa"/>
            <w:vAlign w:val="bottom"/>
          </w:tcPr>
          <w:p>
            <w:pPr>
              <w:jc w:val="center"/>
              <w:ind w:left="995"/>
              <w:spacing w:after="0" w:line="123" w:lineRule="exact"/>
              <w:rPr>
                <w:sz w:val="20"/>
                <w:szCs w:val="20"/>
                <w:color w:val="auto"/>
              </w:rPr>
            </w:pPr>
            <w:r>
              <w:rPr>
                <w:rFonts w:ascii="Arial" w:cs="Arial" w:eastAsia="Arial" w:hAnsi="Arial"/>
                <w:sz w:val="12"/>
                <w:szCs w:val="12"/>
                <w:color w:val="auto"/>
                <w:w w:val="91"/>
              </w:rPr>
              <w:t>(State or other jurisdiction of</w:t>
            </w:r>
          </w:p>
        </w:tc>
        <w:tc>
          <w:tcPr>
            <w:tcW w:w="3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580" w:type="dxa"/>
            <w:vAlign w:val="bottom"/>
          </w:tcPr>
          <w:p>
            <w:pPr>
              <w:jc w:val="center"/>
              <w:ind w:right="1416"/>
              <w:spacing w:after="0" w:line="123" w:lineRule="exact"/>
              <w:rPr>
                <w:sz w:val="20"/>
                <w:szCs w:val="20"/>
                <w:color w:val="auto"/>
              </w:rPr>
            </w:pPr>
            <w:r>
              <w:rPr>
                <w:rFonts w:ascii="Arial" w:cs="Arial" w:eastAsia="Arial" w:hAnsi="Arial"/>
                <w:sz w:val="12"/>
                <w:szCs w:val="12"/>
                <w:color w:val="auto"/>
                <w:w w:val="93"/>
              </w:rPr>
              <w:t>(I.R.S. Employer</w:t>
            </w:r>
          </w:p>
        </w:tc>
        <w:tc>
          <w:tcPr>
            <w:tcW w:w="0" w:type="dxa"/>
            <w:vAlign w:val="bottom"/>
          </w:tcPr>
          <w:p>
            <w:pPr>
              <w:spacing w:after="0"/>
              <w:rPr>
                <w:sz w:val="1"/>
                <w:szCs w:val="1"/>
                <w:color w:val="auto"/>
              </w:rPr>
            </w:pPr>
          </w:p>
        </w:tc>
      </w:tr>
      <w:tr>
        <w:trPr>
          <w:trHeight w:val="150"/>
        </w:trPr>
        <w:tc>
          <w:tcPr>
            <w:tcW w:w="3000" w:type="dxa"/>
            <w:vAlign w:val="bottom"/>
          </w:tcPr>
          <w:p>
            <w:pPr>
              <w:jc w:val="center"/>
              <w:ind w:left="995"/>
              <w:spacing w:after="0"/>
              <w:rPr>
                <w:sz w:val="20"/>
                <w:szCs w:val="20"/>
                <w:color w:val="auto"/>
              </w:rPr>
            </w:pPr>
            <w:r>
              <w:rPr>
                <w:rFonts w:ascii="Arial" w:cs="Arial" w:eastAsia="Arial" w:hAnsi="Arial"/>
                <w:sz w:val="12"/>
                <w:szCs w:val="12"/>
                <w:color w:val="auto"/>
                <w:w w:val="90"/>
              </w:rPr>
              <w:t>incorporation or organization)</w:t>
            </w:r>
          </w:p>
        </w:tc>
        <w:tc>
          <w:tcPr>
            <w:tcW w:w="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80" w:type="dxa"/>
            <w:vAlign w:val="bottom"/>
          </w:tcPr>
          <w:p>
            <w:pPr>
              <w:jc w:val="center"/>
              <w:ind w:right="1436"/>
              <w:spacing w:after="0"/>
              <w:rPr>
                <w:sz w:val="20"/>
                <w:szCs w:val="20"/>
                <w:color w:val="auto"/>
              </w:rPr>
            </w:pPr>
            <w:r>
              <w:rPr>
                <w:rFonts w:ascii="Arial" w:cs="Arial" w:eastAsia="Arial" w:hAnsi="Arial"/>
                <w:sz w:val="12"/>
                <w:szCs w:val="12"/>
                <w:color w:val="auto"/>
                <w:w w:val="94"/>
              </w:rPr>
              <w:t>Identification No.)</w:t>
            </w:r>
          </w:p>
        </w:tc>
        <w:tc>
          <w:tcPr>
            <w:tcW w:w="0" w:type="dxa"/>
            <w:vAlign w:val="bottom"/>
          </w:tcPr>
          <w:p>
            <w:pPr>
              <w:spacing w:after="0"/>
              <w:rPr>
                <w:sz w:val="1"/>
                <w:szCs w:val="1"/>
                <w:color w:val="auto"/>
              </w:rPr>
            </w:pPr>
          </w:p>
        </w:tc>
      </w:tr>
      <w:tr>
        <w:trPr>
          <w:trHeight w:val="212"/>
        </w:trPr>
        <w:tc>
          <w:tcPr>
            <w:tcW w:w="3000" w:type="dxa"/>
            <w:vAlign w:val="bottom"/>
          </w:tcPr>
          <w:p>
            <w:pPr>
              <w:jc w:val="center"/>
              <w:ind w:left="995"/>
              <w:spacing w:after="0"/>
              <w:rPr>
                <w:sz w:val="20"/>
                <w:szCs w:val="20"/>
                <w:color w:val="auto"/>
              </w:rPr>
            </w:pPr>
            <w:r>
              <w:rPr>
                <w:rFonts w:ascii="Arial" w:cs="Arial" w:eastAsia="Arial" w:hAnsi="Arial"/>
                <w:sz w:val="15"/>
                <w:szCs w:val="15"/>
                <w:b w:val="1"/>
                <w:bCs w:val="1"/>
                <w:color w:val="auto"/>
                <w:w w:val="90"/>
              </w:rPr>
              <w:t>22 Cortlandt Street</w:t>
            </w:r>
          </w:p>
        </w:tc>
        <w:tc>
          <w:tcPr>
            <w:tcW w:w="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80" w:type="dxa"/>
            <w:vAlign w:val="bottom"/>
            <w:vMerge w:val="restart"/>
          </w:tcPr>
          <w:p>
            <w:pPr>
              <w:jc w:val="right"/>
              <w:ind w:right="1776"/>
              <w:spacing w:after="0"/>
              <w:rPr>
                <w:sz w:val="20"/>
                <w:szCs w:val="20"/>
                <w:color w:val="auto"/>
              </w:rPr>
            </w:pPr>
            <w:r>
              <w:rPr>
                <w:rFonts w:ascii="Arial" w:cs="Arial" w:eastAsia="Arial" w:hAnsi="Arial"/>
                <w:sz w:val="15"/>
                <w:szCs w:val="15"/>
                <w:b w:val="1"/>
                <w:bCs w:val="1"/>
                <w:color w:val="auto"/>
              </w:rPr>
              <w:t>10007</w:t>
            </w:r>
          </w:p>
        </w:tc>
        <w:tc>
          <w:tcPr>
            <w:tcW w:w="0" w:type="dxa"/>
            <w:vAlign w:val="bottom"/>
          </w:tcPr>
          <w:p>
            <w:pPr>
              <w:spacing w:after="0"/>
              <w:rPr>
                <w:sz w:val="1"/>
                <w:szCs w:val="1"/>
                <w:color w:val="auto"/>
              </w:rPr>
            </w:pPr>
          </w:p>
        </w:tc>
      </w:tr>
      <w:tr>
        <w:trPr>
          <w:trHeight w:val="145"/>
        </w:trPr>
        <w:tc>
          <w:tcPr>
            <w:tcW w:w="3000" w:type="dxa"/>
            <w:vAlign w:val="bottom"/>
          </w:tcPr>
          <w:p>
            <w:pPr>
              <w:jc w:val="center"/>
              <w:ind w:left="995"/>
              <w:spacing w:after="0" w:line="145" w:lineRule="exact"/>
              <w:rPr>
                <w:sz w:val="20"/>
                <w:szCs w:val="20"/>
                <w:color w:val="auto"/>
              </w:rPr>
            </w:pPr>
            <w:r>
              <w:rPr>
                <w:rFonts w:ascii="Arial" w:cs="Arial" w:eastAsia="Arial" w:hAnsi="Arial"/>
                <w:sz w:val="13"/>
                <w:szCs w:val="13"/>
                <w:b w:val="1"/>
                <w:bCs w:val="1"/>
                <w:color w:val="auto"/>
              </w:rPr>
              <w:t>16</w:t>
            </w:r>
            <w:r>
              <w:rPr>
                <w:rFonts w:ascii="Arial" w:cs="Arial" w:eastAsia="Arial" w:hAnsi="Arial"/>
                <w:sz w:val="16"/>
                <w:szCs w:val="16"/>
                <w:b w:val="1"/>
                <w:bCs w:val="1"/>
                <w:color w:val="auto"/>
                <w:vertAlign w:val="superscript"/>
              </w:rPr>
              <w:t>th</w:t>
            </w:r>
            <w:r>
              <w:rPr>
                <w:rFonts w:ascii="Arial" w:cs="Arial" w:eastAsia="Arial" w:hAnsi="Arial"/>
                <w:sz w:val="13"/>
                <w:szCs w:val="13"/>
                <w:b w:val="1"/>
                <w:bCs w:val="1"/>
                <w:color w:val="auto"/>
              </w:rPr>
              <w:t xml:space="preserve"> Floor</w:t>
            </w:r>
          </w:p>
        </w:tc>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000" w:type="dxa"/>
            <w:vAlign w:val="bottom"/>
          </w:tcPr>
          <w:p>
            <w:pPr>
              <w:jc w:val="center"/>
              <w:ind w:left="995"/>
              <w:spacing w:after="0" w:line="152" w:lineRule="exact"/>
              <w:rPr>
                <w:sz w:val="20"/>
                <w:szCs w:val="20"/>
                <w:color w:val="auto"/>
              </w:rPr>
            </w:pPr>
            <w:r>
              <w:rPr>
                <w:rFonts w:ascii="Arial" w:cs="Arial" w:eastAsia="Arial" w:hAnsi="Arial"/>
                <w:sz w:val="15"/>
                <w:szCs w:val="15"/>
                <w:b w:val="1"/>
                <w:bCs w:val="1"/>
                <w:color w:val="auto"/>
                <w:w w:val="92"/>
              </w:rPr>
              <w:t>New York, New York</w:t>
            </w:r>
          </w:p>
        </w:tc>
        <w:tc>
          <w:tcPr>
            <w:tcW w:w="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80" w:type="dxa"/>
            <w:vAlign w:val="bottom"/>
          </w:tcPr>
          <w:p>
            <w:pPr>
              <w:jc w:val="center"/>
              <w:ind w:right="1436"/>
              <w:spacing w:after="0"/>
              <w:rPr>
                <w:sz w:val="20"/>
                <w:szCs w:val="20"/>
                <w:color w:val="auto"/>
              </w:rPr>
            </w:pPr>
            <w:r>
              <w:rPr>
                <w:rFonts w:ascii="Arial" w:cs="Arial" w:eastAsia="Arial" w:hAnsi="Arial"/>
                <w:sz w:val="12"/>
                <w:szCs w:val="12"/>
                <w:color w:val="auto"/>
                <w:w w:val="91"/>
              </w:rPr>
              <w:t>(Zip Code)</w:t>
            </w:r>
          </w:p>
        </w:tc>
        <w:tc>
          <w:tcPr>
            <w:tcW w:w="0" w:type="dxa"/>
            <w:vAlign w:val="bottom"/>
          </w:tcPr>
          <w:p>
            <w:pPr>
              <w:spacing w:after="0"/>
              <w:rPr>
                <w:sz w:val="1"/>
                <w:szCs w:val="1"/>
                <w:color w:val="auto"/>
              </w:rPr>
            </w:pPr>
          </w:p>
        </w:tc>
      </w:tr>
      <w:tr>
        <w:trPr>
          <w:trHeight w:val="150"/>
        </w:trPr>
        <w:tc>
          <w:tcPr>
            <w:tcW w:w="3000" w:type="dxa"/>
            <w:vAlign w:val="bottom"/>
          </w:tcPr>
          <w:p>
            <w:pPr>
              <w:jc w:val="center"/>
              <w:ind w:left="995"/>
              <w:spacing w:after="0"/>
              <w:rPr>
                <w:sz w:val="20"/>
                <w:szCs w:val="20"/>
                <w:color w:val="auto"/>
              </w:rPr>
            </w:pPr>
            <w:r>
              <w:rPr>
                <w:rFonts w:ascii="Arial" w:cs="Arial" w:eastAsia="Arial" w:hAnsi="Arial"/>
                <w:sz w:val="12"/>
                <w:szCs w:val="12"/>
                <w:color w:val="auto"/>
                <w:w w:val="92"/>
              </w:rPr>
              <w:t>(Address of principal executive offices)</w:t>
            </w:r>
          </w:p>
        </w:tc>
        <w:tc>
          <w:tcPr>
            <w:tcW w:w="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120" w:type="dxa"/>
            <w:vAlign w:val="bottom"/>
            <w:gridSpan w:val="4"/>
          </w:tcPr>
          <w:p>
            <w:pPr>
              <w:jc w:val="center"/>
              <w:ind w:left="2495"/>
              <w:spacing w:after="0"/>
              <w:rPr>
                <w:sz w:val="20"/>
                <w:szCs w:val="20"/>
                <w:color w:val="auto"/>
              </w:rPr>
            </w:pPr>
            <w:r>
              <w:rPr>
                <w:rFonts w:ascii="Arial" w:cs="Arial" w:eastAsia="Arial" w:hAnsi="Arial"/>
                <w:sz w:val="15"/>
                <w:szCs w:val="15"/>
                <w:b w:val="1"/>
                <w:bCs w:val="1"/>
                <w:color w:val="auto"/>
                <w:w w:val="89"/>
              </w:rPr>
              <w:t>Registrant’s telephone number, including area code: (212) 332-3241</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412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w w:val="88"/>
              </w:rPr>
              <w:t>Securities registered pursuant to Section 12(b) of the Act:</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3000" w:type="dxa"/>
            <w:vAlign w:val="bottom"/>
          </w:tcPr>
          <w:p>
            <w:pPr>
              <w:jc w:val="center"/>
              <w:ind w:right="755"/>
              <w:spacing w:after="0"/>
              <w:rPr>
                <w:sz w:val="20"/>
                <w:szCs w:val="20"/>
                <w:color w:val="auto"/>
              </w:rPr>
            </w:pPr>
            <w:r>
              <w:rPr>
                <w:rFonts w:ascii="Arial" w:cs="Arial" w:eastAsia="Arial" w:hAnsi="Arial"/>
                <w:sz w:val="12"/>
                <w:szCs w:val="12"/>
                <w:color w:val="auto"/>
                <w:w w:val="90"/>
              </w:rPr>
              <w:t>Title of each class:</w:t>
            </w:r>
          </w:p>
        </w:tc>
        <w:tc>
          <w:tcPr>
            <w:tcW w:w="300" w:type="dxa"/>
            <w:vAlign w:val="bottom"/>
          </w:tcPr>
          <w:p>
            <w:pPr>
              <w:spacing w:after="0"/>
              <w:rPr>
                <w:sz w:val="24"/>
                <w:szCs w:val="24"/>
                <w:color w:val="auto"/>
              </w:rPr>
            </w:pPr>
          </w:p>
        </w:tc>
        <w:tc>
          <w:tcPr>
            <w:tcW w:w="3820" w:type="dxa"/>
            <w:vAlign w:val="bottom"/>
            <w:gridSpan w:val="2"/>
          </w:tcPr>
          <w:p>
            <w:pPr>
              <w:jc w:val="center"/>
              <w:ind w:right="720"/>
              <w:spacing w:after="0"/>
              <w:rPr>
                <w:sz w:val="20"/>
                <w:szCs w:val="20"/>
                <w:color w:val="auto"/>
              </w:rPr>
            </w:pPr>
            <w:r>
              <w:rPr>
                <w:rFonts w:ascii="Arial" w:cs="Arial" w:eastAsia="Arial" w:hAnsi="Arial"/>
                <w:sz w:val="12"/>
                <w:szCs w:val="12"/>
                <w:color w:val="auto"/>
                <w:w w:val="91"/>
              </w:rPr>
              <w:t>Trading Symbol(s)</w:t>
            </w:r>
          </w:p>
        </w:tc>
        <w:tc>
          <w:tcPr>
            <w:tcW w:w="2580" w:type="dxa"/>
            <w:vAlign w:val="bottom"/>
          </w:tcPr>
          <w:p>
            <w:pPr>
              <w:jc w:val="center"/>
              <w:ind w:left="316"/>
              <w:spacing w:after="0"/>
              <w:rPr>
                <w:sz w:val="20"/>
                <w:szCs w:val="20"/>
                <w:color w:val="auto"/>
              </w:rPr>
            </w:pPr>
            <w:r>
              <w:rPr>
                <w:rFonts w:ascii="Arial" w:cs="Arial" w:eastAsia="Arial" w:hAnsi="Arial"/>
                <w:sz w:val="12"/>
                <w:szCs w:val="12"/>
                <w:color w:val="auto"/>
                <w:w w:val="88"/>
              </w:rPr>
              <w:t>Name of Each Exchange on Which Registered</w:t>
            </w:r>
          </w:p>
        </w:tc>
        <w:tc>
          <w:tcPr>
            <w:tcW w:w="0" w:type="dxa"/>
            <w:vAlign w:val="bottom"/>
          </w:tcPr>
          <w:p>
            <w:pPr>
              <w:spacing w:after="0"/>
              <w:rPr>
                <w:sz w:val="1"/>
                <w:szCs w:val="1"/>
                <w:color w:val="auto"/>
              </w:rPr>
            </w:pPr>
          </w:p>
        </w:tc>
      </w:tr>
      <w:tr>
        <w:trPr>
          <w:trHeight w:val="218"/>
        </w:trPr>
        <w:tc>
          <w:tcPr>
            <w:tcW w:w="3000" w:type="dxa"/>
            <w:vAlign w:val="bottom"/>
          </w:tcPr>
          <w:p>
            <w:pPr>
              <w:jc w:val="center"/>
              <w:ind w:right="755"/>
              <w:spacing w:after="0"/>
              <w:rPr>
                <w:sz w:val="20"/>
                <w:szCs w:val="20"/>
                <w:color w:val="auto"/>
              </w:rPr>
            </w:pPr>
            <w:r>
              <w:rPr>
                <w:rFonts w:ascii="Arial" w:cs="Arial" w:eastAsia="Arial" w:hAnsi="Arial"/>
                <w:sz w:val="12"/>
                <w:szCs w:val="12"/>
                <w:color w:val="auto"/>
                <w:w w:val="88"/>
              </w:rPr>
              <w:t>Common Stock, Par Value $0.0001 Per Share</w:t>
            </w:r>
          </w:p>
        </w:tc>
        <w:tc>
          <w:tcPr>
            <w:tcW w:w="300" w:type="dxa"/>
            <w:vAlign w:val="bottom"/>
          </w:tcPr>
          <w:p>
            <w:pPr>
              <w:spacing w:after="0"/>
              <w:rPr>
                <w:sz w:val="19"/>
                <w:szCs w:val="19"/>
                <w:color w:val="auto"/>
              </w:rPr>
            </w:pPr>
          </w:p>
        </w:tc>
        <w:tc>
          <w:tcPr>
            <w:tcW w:w="3820" w:type="dxa"/>
            <w:vAlign w:val="bottom"/>
            <w:gridSpan w:val="2"/>
          </w:tcPr>
          <w:p>
            <w:pPr>
              <w:jc w:val="center"/>
              <w:ind w:right="720"/>
              <w:spacing w:after="0"/>
              <w:rPr>
                <w:sz w:val="20"/>
                <w:szCs w:val="20"/>
                <w:color w:val="auto"/>
              </w:rPr>
            </w:pPr>
            <w:r>
              <w:rPr>
                <w:rFonts w:ascii="Arial" w:cs="Arial" w:eastAsia="Arial" w:hAnsi="Arial"/>
                <w:sz w:val="12"/>
                <w:szCs w:val="12"/>
                <w:color w:val="auto"/>
                <w:w w:val="99"/>
              </w:rPr>
              <w:t>AXSM</w:t>
            </w:r>
          </w:p>
        </w:tc>
        <w:tc>
          <w:tcPr>
            <w:tcW w:w="2580" w:type="dxa"/>
            <w:vAlign w:val="bottom"/>
          </w:tcPr>
          <w:p>
            <w:pPr>
              <w:jc w:val="center"/>
              <w:ind w:left="316"/>
              <w:spacing w:after="0"/>
              <w:rPr>
                <w:sz w:val="20"/>
                <w:szCs w:val="20"/>
                <w:color w:val="auto"/>
              </w:rPr>
            </w:pPr>
            <w:r>
              <w:rPr>
                <w:rFonts w:ascii="Arial" w:cs="Arial" w:eastAsia="Arial" w:hAnsi="Arial"/>
                <w:sz w:val="12"/>
                <w:szCs w:val="12"/>
                <w:color w:val="auto"/>
                <w:w w:val="90"/>
              </w:rPr>
              <w:t>Nasdaq Global Market</w:t>
            </w:r>
          </w:p>
        </w:tc>
        <w:tc>
          <w:tcPr>
            <w:tcW w:w="0" w:type="dxa"/>
            <w:vAlign w:val="bottom"/>
          </w:tcPr>
          <w:p>
            <w:pPr>
              <w:spacing w:after="0"/>
              <w:rPr>
                <w:sz w:val="1"/>
                <w:szCs w:val="1"/>
                <w:color w:val="auto"/>
              </w:rPr>
            </w:pPr>
          </w:p>
        </w:tc>
      </w:tr>
      <w:tr>
        <w:trPr>
          <w:trHeight w:val="150"/>
        </w:trPr>
        <w:tc>
          <w:tcPr>
            <w:tcW w:w="3000" w:type="dxa"/>
            <w:vAlign w:val="bottom"/>
          </w:tcPr>
          <w:p>
            <w:pPr>
              <w:jc w:val="center"/>
              <w:ind w:right="755"/>
              <w:spacing w:after="0"/>
              <w:rPr>
                <w:sz w:val="20"/>
                <w:szCs w:val="20"/>
                <w:color w:val="auto"/>
              </w:rPr>
            </w:pPr>
            <w:r>
              <w:rPr>
                <w:rFonts w:ascii="Arial" w:cs="Arial" w:eastAsia="Arial" w:hAnsi="Arial"/>
                <w:sz w:val="12"/>
                <w:szCs w:val="12"/>
                <w:color w:val="auto"/>
                <w:w w:val="90"/>
              </w:rPr>
              <w:t>(Title of Class)</w:t>
            </w:r>
          </w:p>
        </w:tc>
        <w:tc>
          <w:tcPr>
            <w:tcW w:w="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2"/>
          <w:szCs w:val="12"/>
          <w:color w:val="auto"/>
        </w:rPr>
        <w:t>None</w:t>
      </w:r>
    </w:p>
    <w:p>
      <w:pPr>
        <w:spacing w:after="0" w:line="18" w:lineRule="exact"/>
        <w:rPr>
          <w:sz w:val="24"/>
          <w:szCs w:val="24"/>
          <w:color w:val="auto"/>
        </w:rPr>
      </w:pPr>
    </w:p>
    <w:p>
      <w:pPr>
        <w:ind w:left="76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12" w:lineRule="exact"/>
        <w:rPr>
          <w:sz w:val="24"/>
          <w:szCs w:val="24"/>
          <w:color w:val="auto"/>
        </w:rPr>
      </w:pPr>
    </w:p>
    <w:p>
      <w:pPr>
        <w:ind w:left="76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4" w:lineRule="exact"/>
        <w:rPr>
          <w:sz w:val="24"/>
          <w:szCs w:val="24"/>
          <w:color w:val="auto"/>
        </w:rPr>
      </w:pPr>
    </w:p>
    <w:p>
      <w:pPr>
        <w:ind w:left="76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1" w:lineRule="exact"/>
        <w:rPr>
          <w:sz w:val="24"/>
          <w:szCs w:val="24"/>
          <w:color w:val="auto"/>
        </w:rPr>
      </w:pPr>
    </w:p>
    <w:p>
      <w:pPr>
        <w:ind w:firstLine="751"/>
        <w:spacing w:after="0" w:line="140"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40" w:firstLine="751"/>
        <w:spacing w:after="0" w:line="136"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ind w:right="140" w:firstLine="751"/>
        <w:spacing w:after="0" w:line="228" w:lineRule="auto"/>
        <w:rPr>
          <w:sz w:val="20"/>
          <w:szCs w:val="20"/>
          <w:color w:val="auto"/>
        </w:rPr>
      </w:pPr>
      <w:r>
        <w:rPr>
          <w:rFonts w:ascii="Arial" w:cs="Arial" w:eastAsia="Arial" w:hAnsi="Arial"/>
          <w:sz w:val="12"/>
          <w:szCs w:val="12"/>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145"/>
        </w:trPr>
        <w:tc>
          <w:tcPr>
            <w:tcW w:w="26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900" w:type="dxa"/>
            <w:vAlign w:val="bottom"/>
          </w:tcPr>
          <w:p>
            <w:pPr>
              <w:ind w:left="1600"/>
              <w:spacing w:after="0" w:line="121" w:lineRule="exact"/>
              <w:rPr>
                <w:sz w:val="20"/>
                <w:szCs w:val="20"/>
                <w:color w:val="auto"/>
              </w:rPr>
            </w:pPr>
            <w:r>
              <w:rPr>
                <w:rFonts w:ascii="MS PGothic" w:cs="MS PGothic" w:eastAsia="MS PGothic" w:hAnsi="MS PGothic"/>
                <w:sz w:val="12"/>
                <w:szCs w:val="12"/>
                <w:color w:val="auto"/>
              </w:rPr>
              <w:t>☒</w:t>
            </w:r>
          </w:p>
        </w:tc>
        <w:tc>
          <w:tcPr>
            <w:tcW w:w="3980" w:type="dxa"/>
            <w:vAlign w:val="bottom"/>
          </w:tcPr>
          <w:p>
            <w:pPr>
              <w:ind w:left="1180"/>
              <w:spacing w:after="0"/>
              <w:rPr>
                <w:sz w:val="20"/>
                <w:szCs w:val="20"/>
                <w:color w:val="auto"/>
              </w:rPr>
            </w:pPr>
            <w:r>
              <w:rPr>
                <w:rFonts w:ascii="Arial" w:cs="Arial" w:eastAsia="Arial" w:hAnsi="Arial"/>
                <w:sz w:val="12"/>
                <w:szCs w:val="12"/>
                <w:color w:val="auto"/>
              </w:rPr>
              <w:t>Accelerated Filer</w:t>
            </w:r>
          </w:p>
        </w:tc>
        <w:tc>
          <w:tcPr>
            <w:tcW w:w="1600" w:type="dxa"/>
            <w:vAlign w:val="bottom"/>
          </w:tcPr>
          <w:p>
            <w:pPr>
              <w:ind w:left="14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45"/>
        </w:trPr>
        <w:tc>
          <w:tcPr>
            <w:tcW w:w="2680" w:type="dxa"/>
            <w:vAlign w:val="bottom"/>
          </w:tcPr>
          <w:p>
            <w:pPr>
              <w:spacing w:after="0"/>
              <w:rPr>
                <w:sz w:val="20"/>
                <w:szCs w:val="20"/>
                <w:color w:val="auto"/>
              </w:rPr>
            </w:pPr>
            <w:r>
              <w:rPr>
                <w:rFonts w:ascii="Arial" w:cs="Arial" w:eastAsia="Arial" w:hAnsi="Arial"/>
                <w:sz w:val="12"/>
                <w:szCs w:val="12"/>
                <w:color w:val="auto"/>
              </w:rPr>
              <w:t>Non-accelerated filer</w:t>
            </w:r>
          </w:p>
        </w:tc>
        <w:tc>
          <w:tcPr>
            <w:tcW w:w="2900" w:type="dxa"/>
            <w:vAlign w:val="bottom"/>
          </w:tcPr>
          <w:p>
            <w:pPr>
              <w:ind w:left="1600"/>
              <w:spacing w:after="0" w:line="121" w:lineRule="exact"/>
              <w:rPr>
                <w:sz w:val="20"/>
                <w:szCs w:val="20"/>
                <w:color w:val="auto"/>
              </w:rPr>
            </w:pPr>
            <w:r>
              <w:rPr>
                <w:rFonts w:ascii="MS PGothic" w:cs="MS PGothic" w:eastAsia="MS PGothic" w:hAnsi="MS PGothic"/>
                <w:sz w:val="12"/>
                <w:szCs w:val="12"/>
                <w:color w:val="auto"/>
              </w:rPr>
              <w:t>☐</w:t>
            </w:r>
          </w:p>
        </w:tc>
        <w:tc>
          <w:tcPr>
            <w:tcW w:w="3980" w:type="dxa"/>
            <w:vAlign w:val="bottom"/>
          </w:tcPr>
          <w:p>
            <w:pPr>
              <w:ind w:left="1180"/>
              <w:spacing w:after="0"/>
              <w:rPr>
                <w:sz w:val="20"/>
                <w:szCs w:val="20"/>
                <w:color w:val="auto"/>
              </w:rPr>
            </w:pPr>
            <w:r>
              <w:rPr>
                <w:rFonts w:ascii="Arial" w:cs="Arial" w:eastAsia="Arial" w:hAnsi="Arial"/>
                <w:sz w:val="12"/>
                <w:szCs w:val="12"/>
                <w:color w:val="auto"/>
              </w:rPr>
              <w:t>Smaller reporting company</w:t>
            </w:r>
          </w:p>
        </w:tc>
        <w:tc>
          <w:tcPr>
            <w:tcW w:w="1600" w:type="dxa"/>
            <w:vAlign w:val="bottom"/>
          </w:tcPr>
          <w:p>
            <w:pPr>
              <w:ind w:left="14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6"/>
        </w:trPr>
        <w:tc>
          <w:tcPr>
            <w:tcW w:w="26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980" w:type="dxa"/>
            <w:vAlign w:val="bottom"/>
          </w:tcPr>
          <w:p>
            <w:pPr>
              <w:ind w:left="1180"/>
              <w:spacing w:after="0"/>
              <w:rPr>
                <w:sz w:val="20"/>
                <w:szCs w:val="20"/>
                <w:color w:val="auto"/>
              </w:rPr>
            </w:pPr>
            <w:r>
              <w:rPr>
                <w:rFonts w:ascii="Arial" w:cs="Arial" w:eastAsia="Arial" w:hAnsi="Arial"/>
                <w:sz w:val="12"/>
                <w:szCs w:val="12"/>
                <w:color w:val="auto"/>
              </w:rPr>
              <w:t>Emerging growth company</w:t>
            </w:r>
          </w:p>
        </w:tc>
        <w:tc>
          <w:tcPr>
            <w:tcW w:w="1600" w:type="dxa"/>
            <w:vAlign w:val="bottom"/>
          </w:tcPr>
          <w:p>
            <w:pPr>
              <w:ind w:left="148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5" w:lineRule="exact"/>
        <w:rPr>
          <w:sz w:val="24"/>
          <w:szCs w:val="24"/>
          <w:color w:val="auto"/>
        </w:rPr>
      </w:pPr>
    </w:p>
    <w:p>
      <w:pPr>
        <w:ind w:right="160" w:firstLine="751"/>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4" w:lineRule="exact"/>
        <w:rPr>
          <w:sz w:val="24"/>
          <w:szCs w:val="24"/>
          <w:color w:val="auto"/>
        </w:rPr>
      </w:pPr>
    </w:p>
    <w:p>
      <w:pPr>
        <w:ind w:right="80" w:firstLine="751"/>
        <w:spacing w:after="0" w:line="149"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(15 U.S.C. 7262(b)) by the registered public accounting firm that prepared or issued its audit report. </w:t>
      </w:r>
      <w:r>
        <w:rPr>
          <w:rFonts w:ascii="MS PGothic" w:cs="MS PGothic" w:eastAsia="MS PGothic" w:hAnsi="MS PGothic"/>
          <w:sz w:val="12"/>
          <w:szCs w:val="12"/>
          <w:color w:val="auto"/>
        </w:rPr>
        <w:t>☒</w:t>
      </w:r>
    </w:p>
    <w:p>
      <w:pPr>
        <w:ind w:left="760"/>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ind w:right="280" w:firstLine="751"/>
        <w:spacing w:after="0"/>
        <w:rPr>
          <w:sz w:val="20"/>
          <w:szCs w:val="20"/>
          <w:color w:val="auto"/>
        </w:rPr>
      </w:pPr>
      <w:r>
        <w:rPr>
          <w:rFonts w:ascii="Arial" w:cs="Arial" w:eastAsia="Arial" w:hAnsi="Arial"/>
          <w:sz w:val="12"/>
          <w:szCs w:val="12"/>
          <w:color w:val="auto"/>
        </w:rPr>
        <w:t>The aggregate market value of voting common stock held by non-affiliates of the registrant (assuming for purposes of this calculation, without conceding, that all executive officers and directors are “affiliates”) was approximately $2.0 billion as of June 30, 2021, based on the closing sale price of such stock as reported on the Nasdaq Global Market.</w:t>
      </w:r>
    </w:p>
    <w:p>
      <w:pPr>
        <w:spacing w:after="0" w:line="18" w:lineRule="exact"/>
        <w:rPr>
          <w:sz w:val="24"/>
          <w:szCs w:val="24"/>
          <w:color w:val="auto"/>
        </w:rPr>
      </w:pPr>
    </w:p>
    <w:p>
      <w:pPr>
        <w:ind w:left="760"/>
        <w:spacing w:after="0"/>
        <w:rPr>
          <w:sz w:val="20"/>
          <w:szCs w:val="20"/>
          <w:color w:val="auto"/>
        </w:rPr>
      </w:pPr>
      <w:r>
        <w:rPr>
          <w:rFonts w:ascii="Arial" w:cs="Arial" w:eastAsia="Arial" w:hAnsi="Arial"/>
          <w:sz w:val="12"/>
          <w:szCs w:val="12"/>
          <w:color w:val="auto"/>
        </w:rPr>
        <w:t>There were 38,476,573 shares of the registrant’s common stock outstanding as of February 22, 2022.</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156845</wp:posOffset>
            </wp:positionV>
            <wp:extent cx="718121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213" w:right="359" w:bottom="1440" w:gutter="0" w:footer="0" w:header="0"/>
        </w:sectPr>
      </w:pPr>
    </w:p>
    <w:bookmarkStart w:id="1" w:name="page2"/>
    <w:bookmarkEnd w:id="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6" w:lineRule="exact"/>
        <w:rPr>
          <w:sz w:val="20"/>
          <w:szCs w:val="20"/>
          <w:color w:val="auto"/>
        </w:rPr>
      </w:pPr>
    </w:p>
    <w:p>
      <w:pPr>
        <w:ind w:firstLine="751"/>
        <w:spacing w:after="0" w:line="243" w:lineRule="auto"/>
        <w:rPr>
          <w:sz w:val="20"/>
          <w:szCs w:val="20"/>
          <w:color w:val="auto"/>
        </w:rPr>
      </w:pPr>
      <w:r>
        <w:rPr>
          <w:rFonts w:ascii="Arial" w:cs="Arial" w:eastAsia="Arial" w:hAnsi="Arial"/>
          <w:sz w:val="12"/>
          <w:szCs w:val="12"/>
          <w:color w:val="auto"/>
        </w:rPr>
        <w:t>Portions of the registrant's definitive proxy statement for its 2022 Annual Meeting of Stockholders (the "Proxy Statement"), to be filed within 120 days of the registrant's fiscal year ended December 31, 2021,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255905</wp:posOffset>
            </wp:positionV>
            <wp:extent cx="718121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160"/>
          </w:cols>
          <w:pgMar w:left="300" w:top="124" w:right="439" w:bottom="1440" w:gutter="0" w:footer="0" w:header="0"/>
        </w:sectPr>
      </w:pPr>
    </w:p>
    <w:bookmarkStart w:id="2" w:name="page3"/>
    <w:bookmarkEnd w:id="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AXSOME THERAPEUTICS,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REPORT ON FORM 10-K</w:t>
      </w:r>
    </w:p>
    <w:p>
      <w:pPr>
        <w:jc w:val="center"/>
        <w:spacing w:after="0"/>
        <w:rPr>
          <w:sz w:val="20"/>
          <w:szCs w:val="20"/>
          <w:color w:val="auto"/>
        </w:rPr>
      </w:pPr>
      <w:r>
        <w:rPr>
          <w:rFonts w:ascii="Arial" w:cs="Arial" w:eastAsia="Arial" w:hAnsi="Arial"/>
          <w:sz w:val="15"/>
          <w:szCs w:val="15"/>
          <w:b w:val="1"/>
          <w:bCs w:val="1"/>
          <w:color w:val="auto"/>
        </w:rPr>
        <w:t>FOR THE FISCAL YEAR ENDED DECEMBER 31, 2021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80" w:type="dxa"/>
            <w:vAlign w:val="bottom"/>
            <w:gridSpan w:val="2"/>
          </w:tcPr>
          <w:p>
            <w:pPr>
              <w:jc w:val="right"/>
              <w:ind w:right="106"/>
              <w:spacing w:after="0"/>
              <w:rPr>
                <w:sz w:val="20"/>
                <w:szCs w:val="20"/>
                <w:color w:val="auto"/>
              </w:rPr>
            </w:pPr>
            <w:r>
              <w:rPr>
                <w:rFonts w:ascii="Arial" w:cs="Arial" w:eastAsia="Arial" w:hAnsi="Arial"/>
                <w:sz w:val="15"/>
                <w:szCs w:val="15"/>
                <w:b w:val="1"/>
                <w:bCs w:val="1"/>
                <w:color w:val="auto"/>
                <w:w w:val="77"/>
              </w:rPr>
              <w:t>Page</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580" w:type="dxa"/>
            <w:vAlign w:val="bottom"/>
            <w:tcBorders>
              <w:bottom w:val="single" w:sz="8" w:color="0000EE"/>
            </w:tcBorders>
            <w:gridSpan w:val="21"/>
          </w:tcPr>
          <w:p>
            <w:pPr>
              <w:spacing w:after="0"/>
              <w:rPr>
                <w:rFonts w:ascii="Arial" w:cs="Arial" w:eastAsia="Arial" w:hAnsi="Arial"/>
                <w:sz w:val="15"/>
                <w:szCs w:val="15"/>
                <w:color w:val="auto"/>
                <w:w w:val="95"/>
              </w:rPr>
            </w:pPr>
            <w:hyperlink w:anchor="page4">
              <w:r>
                <w:rPr>
                  <w:rFonts w:ascii="Arial" w:cs="Arial" w:eastAsia="Arial" w:hAnsi="Arial"/>
                  <w:sz w:val="15"/>
                  <w:szCs w:val="15"/>
                  <w:color w:val="auto"/>
                  <w:w w:val="95"/>
                </w:rPr>
                <w:t>SPECIAL CAUTIONARY NOTICE REGARDING FORWARD-LOOKING STATEMENTS</w:t>
              </w:r>
            </w:hyperlink>
          </w:p>
        </w:tc>
        <w:tc>
          <w:tcPr>
            <w:tcW w:w="3760" w:type="dxa"/>
            <w:vAlign w:val="bottom"/>
            <w:gridSpan w:val="10"/>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200" w:type="dxa"/>
            <w:vAlign w:val="bottom"/>
            <w:vMerge w:val="restart"/>
          </w:tcPr>
          <w:p>
            <w:pPr>
              <w:spacing w:after="0"/>
              <w:rPr>
                <w:sz w:val="20"/>
                <w:szCs w:val="20"/>
                <w:color w:val="auto"/>
              </w:rPr>
            </w:pPr>
            <w:r>
              <w:rPr>
                <w:rFonts w:ascii="Arial" w:cs="Arial" w:eastAsia="Arial" w:hAnsi="Arial"/>
                <w:sz w:val="15"/>
                <w:szCs w:val="15"/>
                <w:color w:val="auto"/>
              </w:rPr>
              <w:t>ITEM 1</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gridSpan w:val="11"/>
          </w:tcPr>
          <w:p>
            <w:pPr>
              <w:jc w:val="center"/>
              <w:ind w:right="3480"/>
              <w:spacing w:after="0"/>
              <w:rPr>
                <w:rFonts w:ascii="Arial" w:cs="Arial" w:eastAsia="Arial" w:hAnsi="Arial"/>
                <w:sz w:val="15"/>
                <w:szCs w:val="15"/>
                <w:b w:val="1"/>
                <w:bCs w:val="1"/>
                <w:color w:val="auto"/>
                <w:w w:val="97"/>
              </w:rPr>
            </w:pPr>
            <w:hyperlink w:anchor="page6">
              <w:r>
                <w:rPr>
                  <w:rFonts w:ascii="Arial" w:cs="Arial" w:eastAsia="Arial" w:hAnsi="Arial"/>
                  <w:sz w:val="15"/>
                  <w:szCs w:val="15"/>
                  <w:b w:val="1"/>
                  <w:bCs w:val="1"/>
                  <w:color w:val="auto"/>
                  <w:w w:val="97"/>
                </w:rPr>
                <w:t>PART I</w:t>
              </w:r>
            </w:hyperlink>
          </w:p>
        </w:tc>
        <w:tc>
          <w:tcPr>
            <w:tcW w:w="1920" w:type="dxa"/>
            <w:vAlign w:val="bottom"/>
            <w:gridSpan w:val="3"/>
            <w:vMerge w:val="restart"/>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40" w:type="dxa"/>
            <w:vAlign w:val="bottom"/>
            <w:tcBorders>
              <w:bottom w:val="single" w:sz="8" w:color="0000EE"/>
            </w:tcBorders>
          </w:tcPr>
          <w:p>
            <w:pPr>
              <w:spacing w:after="0" w:line="148" w:lineRule="exact"/>
              <w:rPr>
                <w:rFonts w:ascii="Arial" w:cs="Arial" w:eastAsia="Arial" w:hAnsi="Arial"/>
                <w:sz w:val="15"/>
                <w:szCs w:val="15"/>
                <w:color w:val="auto"/>
                <w:w w:val="85"/>
              </w:rPr>
            </w:pPr>
            <w:hyperlink w:anchor="page6">
              <w:r>
                <w:rPr>
                  <w:rFonts w:ascii="Arial" w:cs="Arial" w:eastAsia="Arial" w:hAnsi="Arial"/>
                  <w:sz w:val="15"/>
                  <w:szCs w:val="15"/>
                  <w:color w:val="auto"/>
                  <w:w w:val="85"/>
                </w:rPr>
                <w:t>Business</w:t>
              </w:r>
            </w:hyperlink>
          </w:p>
        </w:tc>
        <w:tc>
          <w:tcPr>
            <w:tcW w:w="3640" w:type="dxa"/>
            <w:vAlign w:val="bottom"/>
            <w:gridSpan w:val="18"/>
          </w:tcPr>
          <w:p>
            <w:pPr>
              <w:spacing w:after="0"/>
              <w:rPr>
                <w:sz w:val="12"/>
                <w:szCs w:val="12"/>
                <w:color w:val="auto"/>
              </w:rPr>
            </w:pPr>
          </w:p>
        </w:tc>
        <w:tc>
          <w:tcPr>
            <w:tcW w:w="480" w:type="dxa"/>
            <w:vAlign w:val="bottom"/>
            <w:tcBorders>
              <w:top w:val="single" w:sz="8" w:color="0000EE"/>
            </w:tcBorders>
            <w:gridSpan w:val="3"/>
          </w:tcPr>
          <w:p>
            <w:pPr>
              <w:spacing w:after="0"/>
              <w:rPr>
                <w:sz w:val="12"/>
                <w:szCs w:val="12"/>
                <w:color w:val="auto"/>
              </w:rPr>
            </w:pPr>
          </w:p>
        </w:tc>
        <w:tc>
          <w:tcPr>
            <w:tcW w:w="3480" w:type="dxa"/>
            <w:vAlign w:val="bottom"/>
            <w:gridSpan w:val="8"/>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1A</w:t>
            </w:r>
          </w:p>
        </w:tc>
        <w:tc>
          <w:tcPr>
            <w:tcW w:w="760" w:type="dxa"/>
            <w:vAlign w:val="bottom"/>
            <w:tcBorders>
              <w:bottom w:val="single" w:sz="8" w:color="0000EE"/>
            </w:tcBorders>
            <w:gridSpan w:val="4"/>
          </w:tcPr>
          <w:p>
            <w:pPr>
              <w:spacing w:after="0" w:line="148" w:lineRule="exact"/>
              <w:rPr>
                <w:rFonts w:ascii="Arial" w:cs="Arial" w:eastAsia="Arial" w:hAnsi="Arial"/>
                <w:sz w:val="15"/>
                <w:szCs w:val="15"/>
                <w:color w:val="auto"/>
                <w:w w:val="88"/>
              </w:rPr>
            </w:pPr>
            <w:hyperlink w:anchor="page44">
              <w:r>
                <w:rPr>
                  <w:rFonts w:ascii="Arial" w:cs="Arial" w:eastAsia="Arial" w:hAnsi="Arial"/>
                  <w:sz w:val="15"/>
                  <w:szCs w:val="15"/>
                  <w:color w:val="auto"/>
                  <w:w w:val="88"/>
                </w:rPr>
                <w:t>Risk Factors</w:t>
              </w:r>
            </w:hyperlink>
          </w:p>
        </w:tc>
        <w:tc>
          <w:tcPr>
            <w:tcW w:w="7380" w:type="dxa"/>
            <w:vAlign w:val="bottom"/>
            <w:gridSpan w:val="26"/>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1B</w:t>
            </w:r>
          </w:p>
        </w:tc>
        <w:tc>
          <w:tcPr>
            <w:tcW w:w="1700" w:type="dxa"/>
            <w:vAlign w:val="bottom"/>
            <w:tcBorders>
              <w:bottom w:val="single" w:sz="8" w:color="0000EE"/>
            </w:tcBorders>
            <w:gridSpan w:val="10"/>
          </w:tcPr>
          <w:p>
            <w:pPr>
              <w:spacing w:after="0" w:line="148" w:lineRule="exact"/>
              <w:rPr>
                <w:rFonts w:ascii="Arial" w:cs="Arial" w:eastAsia="Arial" w:hAnsi="Arial"/>
                <w:sz w:val="15"/>
                <w:szCs w:val="15"/>
                <w:color w:val="auto"/>
                <w:w w:val="89"/>
              </w:rPr>
            </w:pPr>
            <w:hyperlink w:anchor="page96">
              <w:r>
                <w:rPr>
                  <w:rFonts w:ascii="Arial" w:cs="Arial" w:eastAsia="Arial" w:hAnsi="Arial"/>
                  <w:sz w:val="15"/>
                  <w:szCs w:val="15"/>
                  <w:color w:val="auto"/>
                  <w:w w:val="89"/>
                </w:rPr>
                <w:t>Unresolved Staff Comments</w:t>
              </w:r>
            </w:hyperlink>
          </w:p>
        </w:tc>
        <w:tc>
          <w:tcPr>
            <w:tcW w:w="6440" w:type="dxa"/>
            <w:vAlign w:val="bottom"/>
            <w:gridSpan w:val="20"/>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2</w:t>
            </w:r>
          </w:p>
        </w:tc>
        <w:tc>
          <w:tcPr>
            <w:tcW w:w="620" w:type="dxa"/>
            <w:vAlign w:val="bottom"/>
            <w:tcBorders>
              <w:bottom w:val="single" w:sz="8" w:color="0000EE"/>
            </w:tcBorders>
            <w:gridSpan w:val="2"/>
          </w:tcPr>
          <w:p>
            <w:pPr>
              <w:spacing w:after="0" w:line="148" w:lineRule="exact"/>
              <w:rPr>
                <w:rFonts w:ascii="Arial" w:cs="Arial" w:eastAsia="Arial" w:hAnsi="Arial"/>
                <w:sz w:val="15"/>
                <w:szCs w:val="15"/>
                <w:color w:val="auto"/>
                <w:w w:val="87"/>
              </w:rPr>
            </w:pPr>
            <w:hyperlink w:anchor="page96">
              <w:r>
                <w:rPr>
                  <w:rFonts w:ascii="Arial" w:cs="Arial" w:eastAsia="Arial" w:hAnsi="Arial"/>
                  <w:sz w:val="15"/>
                  <w:szCs w:val="15"/>
                  <w:color w:val="auto"/>
                  <w:w w:val="87"/>
                </w:rPr>
                <w:t>Properties</w:t>
              </w:r>
            </w:hyperlink>
          </w:p>
        </w:tc>
        <w:tc>
          <w:tcPr>
            <w:tcW w:w="7520" w:type="dxa"/>
            <w:vAlign w:val="bottom"/>
            <w:gridSpan w:val="28"/>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3</w:t>
            </w:r>
          </w:p>
        </w:tc>
        <w:tc>
          <w:tcPr>
            <w:tcW w:w="1120" w:type="dxa"/>
            <w:vAlign w:val="bottom"/>
            <w:tcBorders>
              <w:bottom w:val="single" w:sz="8" w:color="0000EE"/>
            </w:tcBorders>
            <w:gridSpan w:val="6"/>
          </w:tcPr>
          <w:p>
            <w:pPr>
              <w:spacing w:after="0" w:line="148" w:lineRule="exact"/>
              <w:rPr>
                <w:rFonts w:ascii="Arial" w:cs="Arial" w:eastAsia="Arial" w:hAnsi="Arial"/>
                <w:sz w:val="15"/>
                <w:szCs w:val="15"/>
                <w:color w:val="auto"/>
                <w:w w:val="88"/>
              </w:rPr>
            </w:pPr>
            <w:hyperlink w:anchor="page96">
              <w:r>
                <w:rPr>
                  <w:rFonts w:ascii="Arial" w:cs="Arial" w:eastAsia="Arial" w:hAnsi="Arial"/>
                  <w:sz w:val="15"/>
                  <w:szCs w:val="15"/>
                  <w:color w:val="auto"/>
                  <w:w w:val="88"/>
                </w:rPr>
                <w:t>Legal Proceedings</w:t>
              </w:r>
            </w:hyperlink>
          </w:p>
        </w:tc>
        <w:tc>
          <w:tcPr>
            <w:tcW w:w="7020" w:type="dxa"/>
            <w:vAlign w:val="bottom"/>
            <w:gridSpan w:val="24"/>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4</w:t>
            </w:r>
          </w:p>
        </w:tc>
        <w:tc>
          <w:tcPr>
            <w:tcW w:w="8140" w:type="dxa"/>
            <w:vAlign w:val="bottom"/>
            <w:gridSpan w:val="30"/>
          </w:tcPr>
          <w:p>
            <w:pPr>
              <w:spacing w:after="0" w:line="148" w:lineRule="exact"/>
              <w:rPr>
                <w:rFonts w:ascii="Arial" w:cs="Arial" w:eastAsia="Arial" w:hAnsi="Arial"/>
                <w:sz w:val="15"/>
                <w:szCs w:val="15"/>
                <w:color w:val="auto"/>
              </w:rPr>
            </w:pPr>
            <w:hyperlink w:anchor="page96">
              <w:r>
                <w:rPr>
                  <w:rFonts w:ascii="Arial" w:cs="Arial" w:eastAsia="Arial" w:hAnsi="Arial"/>
                  <w:sz w:val="15"/>
                  <w:szCs w:val="15"/>
                  <w:color w:val="auto"/>
                </w:rPr>
                <w:t>Mine Safety Disclosures</w:t>
              </w:r>
            </w:hyperlink>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96</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0000EE"/>
            </w:tcBorders>
            <w:gridSpan w:val="5"/>
          </w:tcPr>
          <w:p>
            <w:pPr>
              <w:jc w:val="center"/>
              <w:spacing w:after="0"/>
              <w:rPr>
                <w:rFonts w:ascii="Arial" w:cs="Arial" w:eastAsia="Arial" w:hAnsi="Arial"/>
                <w:sz w:val="15"/>
                <w:szCs w:val="15"/>
                <w:b w:val="1"/>
                <w:bCs w:val="1"/>
                <w:color w:val="auto"/>
              </w:rPr>
            </w:pPr>
            <w:hyperlink w:anchor="page97">
              <w:r>
                <w:rPr>
                  <w:rFonts w:ascii="Arial" w:cs="Arial" w:eastAsia="Arial" w:hAnsi="Arial"/>
                  <w:sz w:val="15"/>
                  <w:szCs w:val="15"/>
                  <w:b w:val="1"/>
                  <w:bCs w:val="1"/>
                  <w:color w:val="auto"/>
                </w:rPr>
                <w:t>PART II</w:t>
              </w:r>
            </w:hyperlink>
          </w:p>
        </w:tc>
        <w:tc>
          <w:tcPr>
            <w:tcW w:w="3440" w:type="dxa"/>
            <w:vAlign w:val="bottom"/>
            <w:gridSpan w:val="7"/>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ITEM 5</w:t>
            </w:r>
          </w:p>
        </w:tc>
        <w:tc>
          <w:tcPr>
            <w:tcW w:w="8140" w:type="dxa"/>
            <w:vAlign w:val="bottom"/>
            <w:gridSpan w:val="30"/>
          </w:tcPr>
          <w:p>
            <w:pPr>
              <w:spacing w:after="0"/>
              <w:rPr>
                <w:rFonts w:ascii="Arial" w:cs="Arial" w:eastAsia="Arial" w:hAnsi="Arial"/>
                <w:sz w:val="15"/>
                <w:szCs w:val="15"/>
                <w:color w:val="auto"/>
              </w:rPr>
            </w:pPr>
            <w:hyperlink w:anchor="page97">
              <w:r>
                <w:rPr>
                  <w:rFonts w:ascii="Arial" w:cs="Arial" w:eastAsia="Arial" w:hAnsi="Arial"/>
                  <w:sz w:val="15"/>
                  <w:szCs w:val="15"/>
                  <w:color w:val="auto"/>
                </w:rPr>
                <w:t>Market for Registrant’s Common Equity, Related Stockholder Matters and Issuer Purchases of Equity Securities</w:t>
              </w:r>
            </w:hyperlink>
          </w:p>
        </w:tc>
        <w:tc>
          <w:tcPr>
            <w:tcW w:w="1920" w:type="dxa"/>
            <w:vAlign w:val="bottom"/>
            <w:gridSpan w:val="3"/>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7</w:t>
            </w:r>
          </w:p>
        </w:tc>
        <w:tc>
          <w:tcPr>
            <w:tcW w:w="6680" w:type="dxa"/>
            <w:vAlign w:val="bottom"/>
            <w:tcBorders>
              <w:top w:val="single" w:sz="8" w:color="0000EE"/>
            </w:tcBorders>
            <w:gridSpan w:val="29"/>
          </w:tcPr>
          <w:p>
            <w:pPr>
              <w:spacing w:after="0" w:line="148" w:lineRule="exact"/>
              <w:rPr>
                <w:rFonts w:ascii="Arial" w:cs="Arial" w:eastAsia="Arial" w:hAnsi="Arial"/>
                <w:sz w:val="15"/>
                <w:szCs w:val="15"/>
                <w:color w:val="auto"/>
              </w:rPr>
            </w:pPr>
            <w:hyperlink w:anchor="page99">
              <w:r>
                <w:rPr>
                  <w:rFonts w:ascii="Arial" w:cs="Arial" w:eastAsia="Arial" w:hAnsi="Arial"/>
                  <w:sz w:val="15"/>
                  <w:szCs w:val="15"/>
                  <w:color w:val="auto"/>
                </w:rPr>
                <w:t>Management’s Discussion and Analysis of Financial Condition and Results of Operations</w:t>
              </w:r>
            </w:hyperlink>
          </w:p>
        </w:tc>
        <w:tc>
          <w:tcPr>
            <w:tcW w:w="1460" w:type="dxa"/>
            <w:vAlign w:val="bottom"/>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7A</w:t>
            </w:r>
          </w:p>
        </w:tc>
        <w:tc>
          <w:tcPr>
            <w:tcW w:w="3560" w:type="dxa"/>
            <w:vAlign w:val="bottom"/>
            <w:tcBorders>
              <w:top w:val="single" w:sz="8" w:color="0000EE"/>
              <w:bottom w:val="single" w:sz="8" w:color="0000EE"/>
            </w:tcBorders>
            <w:gridSpan w:val="15"/>
          </w:tcPr>
          <w:p>
            <w:pPr>
              <w:spacing w:after="0" w:line="148" w:lineRule="exact"/>
              <w:rPr>
                <w:rFonts w:ascii="Arial" w:cs="Arial" w:eastAsia="Arial" w:hAnsi="Arial"/>
                <w:sz w:val="15"/>
                <w:szCs w:val="15"/>
                <w:color w:val="auto"/>
                <w:w w:val="91"/>
              </w:rPr>
            </w:pPr>
            <w:hyperlink w:anchor="page111">
              <w:r>
                <w:rPr>
                  <w:rFonts w:ascii="Arial" w:cs="Arial" w:eastAsia="Arial" w:hAnsi="Arial"/>
                  <w:sz w:val="15"/>
                  <w:szCs w:val="15"/>
                  <w:color w:val="auto"/>
                  <w:w w:val="91"/>
                </w:rPr>
                <w:t>Quantitative and Qualitative Disclosure About Market Risk</w:t>
              </w:r>
            </w:hyperlink>
          </w:p>
        </w:tc>
        <w:tc>
          <w:tcPr>
            <w:tcW w:w="1780" w:type="dxa"/>
            <w:vAlign w:val="bottom"/>
            <w:tcBorders>
              <w:top w:val="single" w:sz="8" w:color="0000EE"/>
            </w:tcBorders>
            <w:gridSpan w:val="11"/>
          </w:tcPr>
          <w:p>
            <w:pPr>
              <w:spacing w:after="0"/>
              <w:rPr>
                <w:sz w:val="12"/>
                <w:szCs w:val="12"/>
                <w:color w:val="auto"/>
              </w:rPr>
            </w:pPr>
          </w:p>
        </w:tc>
        <w:tc>
          <w:tcPr>
            <w:tcW w:w="2800" w:type="dxa"/>
            <w:vAlign w:val="bottom"/>
            <w:gridSpan w:val="4"/>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8</w:t>
            </w:r>
          </w:p>
        </w:tc>
        <w:tc>
          <w:tcPr>
            <w:tcW w:w="2760" w:type="dxa"/>
            <w:vAlign w:val="bottom"/>
            <w:tcBorders>
              <w:bottom w:val="single" w:sz="8" w:color="0000EE"/>
            </w:tcBorders>
            <w:gridSpan w:val="13"/>
          </w:tcPr>
          <w:p>
            <w:pPr>
              <w:spacing w:after="0" w:line="148" w:lineRule="exact"/>
              <w:rPr>
                <w:rFonts w:ascii="Arial" w:cs="Arial" w:eastAsia="Arial" w:hAnsi="Arial"/>
                <w:sz w:val="15"/>
                <w:szCs w:val="15"/>
                <w:color w:val="auto"/>
                <w:w w:val="88"/>
              </w:rPr>
            </w:pPr>
            <w:hyperlink w:anchor="page111">
              <w:r>
                <w:rPr>
                  <w:rFonts w:ascii="Arial" w:cs="Arial" w:eastAsia="Arial" w:hAnsi="Arial"/>
                  <w:sz w:val="15"/>
                  <w:szCs w:val="15"/>
                  <w:color w:val="auto"/>
                  <w:w w:val="88"/>
                </w:rPr>
                <w:t>Financial Statements and Supplementary Data</w:t>
              </w:r>
            </w:hyperlink>
          </w:p>
        </w:tc>
        <w:tc>
          <w:tcPr>
            <w:tcW w:w="5380" w:type="dxa"/>
            <w:vAlign w:val="bottom"/>
            <w:gridSpan w:val="17"/>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9</w:t>
            </w:r>
          </w:p>
        </w:tc>
        <w:tc>
          <w:tcPr>
            <w:tcW w:w="8140" w:type="dxa"/>
            <w:vAlign w:val="bottom"/>
            <w:gridSpan w:val="30"/>
          </w:tcPr>
          <w:p>
            <w:pPr>
              <w:spacing w:after="0" w:line="148" w:lineRule="exact"/>
              <w:rPr>
                <w:rFonts w:ascii="Arial" w:cs="Arial" w:eastAsia="Arial" w:hAnsi="Arial"/>
                <w:sz w:val="15"/>
                <w:szCs w:val="15"/>
                <w:color w:val="auto"/>
              </w:rPr>
            </w:pPr>
            <w:hyperlink w:anchor="page112">
              <w:r>
                <w:rPr>
                  <w:rFonts w:ascii="Arial" w:cs="Arial" w:eastAsia="Arial" w:hAnsi="Arial"/>
                  <w:sz w:val="15"/>
                  <w:szCs w:val="15"/>
                  <w:color w:val="auto"/>
                </w:rPr>
                <w:t>Changes in and Disagreements with Accountants on Accounting and Financial Disclosure</w:t>
              </w:r>
            </w:hyperlink>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9A</w:t>
            </w:r>
          </w:p>
        </w:tc>
        <w:tc>
          <w:tcPr>
            <w:tcW w:w="1480" w:type="dxa"/>
            <w:vAlign w:val="bottom"/>
            <w:tcBorders>
              <w:top w:val="single" w:sz="8" w:color="0000EE"/>
              <w:bottom w:val="single" w:sz="8" w:color="0000EE"/>
            </w:tcBorders>
            <w:gridSpan w:val="8"/>
          </w:tcPr>
          <w:p>
            <w:pPr>
              <w:spacing w:after="0" w:line="148" w:lineRule="exact"/>
              <w:rPr>
                <w:rFonts w:ascii="Arial" w:cs="Arial" w:eastAsia="Arial" w:hAnsi="Arial"/>
                <w:sz w:val="15"/>
                <w:szCs w:val="15"/>
                <w:color w:val="auto"/>
                <w:w w:val="87"/>
              </w:rPr>
            </w:pPr>
            <w:hyperlink w:anchor="page112">
              <w:r>
                <w:rPr>
                  <w:rFonts w:ascii="Arial" w:cs="Arial" w:eastAsia="Arial" w:hAnsi="Arial"/>
                  <w:sz w:val="15"/>
                  <w:szCs w:val="15"/>
                  <w:color w:val="auto"/>
                  <w:w w:val="87"/>
                </w:rPr>
                <w:t>Controls and Procedures</w:t>
              </w:r>
            </w:hyperlink>
          </w:p>
        </w:tc>
        <w:tc>
          <w:tcPr>
            <w:tcW w:w="3880" w:type="dxa"/>
            <w:vAlign w:val="bottom"/>
            <w:tcBorders>
              <w:top w:val="single" w:sz="8" w:color="0000EE"/>
            </w:tcBorders>
            <w:gridSpan w:val="19"/>
          </w:tcPr>
          <w:p>
            <w:pPr>
              <w:spacing w:after="0"/>
              <w:rPr>
                <w:sz w:val="12"/>
                <w:szCs w:val="12"/>
                <w:color w:val="auto"/>
              </w:rPr>
            </w:pPr>
          </w:p>
        </w:tc>
        <w:tc>
          <w:tcPr>
            <w:tcW w:w="2780" w:type="dxa"/>
            <w:vAlign w:val="bottom"/>
            <w:gridSpan w:val="3"/>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9B</w:t>
            </w:r>
          </w:p>
        </w:tc>
        <w:tc>
          <w:tcPr>
            <w:tcW w:w="8140" w:type="dxa"/>
            <w:vAlign w:val="bottom"/>
            <w:gridSpan w:val="30"/>
          </w:tcPr>
          <w:p>
            <w:pPr>
              <w:spacing w:after="0" w:line="148" w:lineRule="exact"/>
              <w:rPr>
                <w:rFonts w:ascii="Arial" w:cs="Arial" w:eastAsia="Arial" w:hAnsi="Arial"/>
                <w:sz w:val="15"/>
                <w:szCs w:val="15"/>
                <w:color w:val="auto"/>
              </w:rPr>
            </w:pPr>
            <w:hyperlink w:anchor="page112">
              <w:r>
                <w:rPr>
                  <w:rFonts w:ascii="Arial" w:cs="Arial" w:eastAsia="Arial" w:hAnsi="Arial"/>
                  <w:sz w:val="15"/>
                  <w:szCs w:val="15"/>
                  <w:color w:val="auto"/>
                </w:rPr>
                <w:t>Other Information</w:t>
              </w:r>
            </w:hyperlink>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Borders>
              <w:bottom w:val="single" w:sz="8" w:color="0000EE"/>
            </w:tcBorders>
            <w:gridSpan w:val="9"/>
          </w:tcPr>
          <w:p>
            <w:pPr>
              <w:jc w:val="center"/>
              <w:ind w:right="20"/>
              <w:spacing w:after="0"/>
              <w:rPr>
                <w:rFonts w:ascii="Arial" w:cs="Arial" w:eastAsia="Arial" w:hAnsi="Arial"/>
                <w:sz w:val="15"/>
                <w:szCs w:val="15"/>
                <w:b w:val="1"/>
                <w:bCs w:val="1"/>
                <w:color w:val="auto"/>
              </w:rPr>
            </w:pPr>
            <w:hyperlink w:anchor="page113">
              <w:r>
                <w:rPr>
                  <w:rFonts w:ascii="Arial" w:cs="Arial" w:eastAsia="Arial" w:hAnsi="Arial"/>
                  <w:sz w:val="15"/>
                  <w:szCs w:val="15"/>
                  <w:b w:val="1"/>
                  <w:bCs w:val="1"/>
                  <w:color w:val="auto"/>
                </w:rPr>
                <w:t>PART III</w:t>
              </w:r>
            </w:hyperlink>
          </w:p>
        </w:tc>
        <w:tc>
          <w:tcPr>
            <w:tcW w:w="3400" w:type="dxa"/>
            <w:vAlign w:val="bottom"/>
            <w:gridSpan w:val="5"/>
          </w:tcPr>
          <w:p>
            <w:pPr>
              <w:spacing w:after="0"/>
              <w:rPr>
                <w:sz w:val="22"/>
                <w:szCs w:val="22"/>
                <w:color w:val="auto"/>
              </w:rPr>
            </w:pPr>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ITEM 10</w:t>
            </w:r>
          </w:p>
        </w:tc>
        <w:tc>
          <w:tcPr>
            <w:tcW w:w="3400" w:type="dxa"/>
            <w:vAlign w:val="bottom"/>
            <w:tcBorders>
              <w:bottom w:val="single" w:sz="8" w:color="0000EE"/>
            </w:tcBorders>
            <w:gridSpan w:val="14"/>
          </w:tcPr>
          <w:p>
            <w:pPr>
              <w:spacing w:after="0"/>
              <w:rPr>
                <w:rFonts w:ascii="Arial" w:cs="Arial" w:eastAsia="Arial" w:hAnsi="Arial"/>
                <w:sz w:val="15"/>
                <w:szCs w:val="15"/>
                <w:color w:val="auto"/>
                <w:w w:val="90"/>
              </w:rPr>
            </w:pPr>
            <w:hyperlink w:anchor="page113">
              <w:r>
                <w:rPr>
                  <w:rFonts w:ascii="Arial" w:cs="Arial" w:eastAsia="Arial" w:hAnsi="Arial"/>
                  <w:sz w:val="15"/>
                  <w:szCs w:val="15"/>
                  <w:color w:val="auto"/>
                  <w:w w:val="90"/>
                </w:rPr>
                <w:t>Directors, Executive Officers and Corporate Governance</w:t>
              </w:r>
            </w:hyperlink>
          </w:p>
        </w:tc>
        <w:tc>
          <w:tcPr>
            <w:tcW w:w="4740" w:type="dxa"/>
            <w:vAlign w:val="bottom"/>
            <w:gridSpan w:val="16"/>
          </w:tcPr>
          <w:p>
            <w:pPr>
              <w:spacing w:after="0"/>
              <w:rPr>
                <w:sz w:val="22"/>
                <w:szCs w:val="22"/>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11</w:t>
            </w:r>
          </w:p>
        </w:tc>
        <w:tc>
          <w:tcPr>
            <w:tcW w:w="1500" w:type="dxa"/>
            <w:vAlign w:val="bottom"/>
            <w:tcBorders>
              <w:bottom w:val="single" w:sz="8" w:color="0000EE"/>
            </w:tcBorders>
            <w:gridSpan w:val="9"/>
          </w:tcPr>
          <w:p>
            <w:pPr>
              <w:spacing w:after="0" w:line="148" w:lineRule="exact"/>
              <w:rPr>
                <w:rFonts w:ascii="Arial" w:cs="Arial" w:eastAsia="Arial" w:hAnsi="Arial"/>
                <w:sz w:val="15"/>
                <w:szCs w:val="15"/>
                <w:color w:val="auto"/>
                <w:w w:val="89"/>
              </w:rPr>
            </w:pPr>
            <w:hyperlink w:anchor="page113">
              <w:r>
                <w:rPr>
                  <w:rFonts w:ascii="Arial" w:cs="Arial" w:eastAsia="Arial" w:hAnsi="Arial"/>
                  <w:sz w:val="15"/>
                  <w:szCs w:val="15"/>
                  <w:color w:val="auto"/>
                  <w:w w:val="89"/>
                </w:rPr>
                <w:t>Executive Compensation</w:t>
              </w:r>
            </w:hyperlink>
          </w:p>
        </w:tc>
        <w:tc>
          <w:tcPr>
            <w:tcW w:w="6640" w:type="dxa"/>
            <w:vAlign w:val="bottom"/>
            <w:gridSpan w:val="21"/>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12</w:t>
            </w:r>
          </w:p>
        </w:tc>
        <w:tc>
          <w:tcPr>
            <w:tcW w:w="6040" w:type="dxa"/>
            <w:vAlign w:val="bottom"/>
            <w:tcBorders>
              <w:bottom w:val="single" w:sz="8" w:color="0000EE"/>
            </w:tcBorders>
            <w:gridSpan w:val="28"/>
          </w:tcPr>
          <w:p>
            <w:pPr>
              <w:spacing w:after="0" w:line="148" w:lineRule="exact"/>
              <w:rPr>
                <w:rFonts w:ascii="Arial" w:cs="Arial" w:eastAsia="Arial" w:hAnsi="Arial"/>
                <w:sz w:val="15"/>
                <w:szCs w:val="15"/>
                <w:color w:val="auto"/>
                <w:w w:val="90"/>
              </w:rPr>
            </w:pPr>
            <w:hyperlink w:anchor="page113">
              <w:r>
                <w:rPr>
                  <w:rFonts w:ascii="Arial" w:cs="Arial" w:eastAsia="Arial" w:hAnsi="Arial"/>
                  <w:sz w:val="15"/>
                  <w:szCs w:val="15"/>
                  <w:color w:val="auto"/>
                  <w:w w:val="90"/>
                </w:rPr>
                <w:t>Security Ownership of Certain Beneficial Owners and Management and Related Stockholder Matters</w:t>
              </w:r>
            </w:hyperlink>
          </w:p>
        </w:tc>
        <w:tc>
          <w:tcPr>
            <w:tcW w:w="2100" w:type="dxa"/>
            <w:vAlign w:val="bottom"/>
            <w:gridSpan w:val="2"/>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13</w:t>
            </w:r>
          </w:p>
        </w:tc>
        <w:tc>
          <w:tcPr>
            <w:tcW w:w="4480" w:type="dxa"/>
            <w:vAlign w:val="bottom"/>
            <w:tcBorders>
              <w:bottom w:val="single" w:sz="8" w:color="0000EE"/>
            </w:tcBorders>
            <w:gridSpan w:val="21"/>
          </w:tcPr>
          <w:p>
            <w:pPr>
              <w:spacing w:after="0" w:line="148" w:lineRule="exact"/>
              <w:rPr>
                <w:rFonts w:ascii="Arial" w:cs="Arial" w:eastAsia="Arial" w:hAnsi="Arial"/>
                <w:sz w:val="15"/>
                <w:szCs w:val="15"/>
                <w:color w:val="auto"/>
                <w:w w:val="88"/>
              </w:rPr>
            </w:pPr>
            <w:hyperlink w:anchor="page113">
              <w:r>
                <w:rPr>
                  <w:rFonts w:ascii="Arial" w:cs="Arial" w:eastAsia="Arial" w:hAnsi="Arial"/>
                  <w:sz w:val="15"/>
                  <w:szCs w:val="15"/>
                  <w:color w:val="auto"/>
                  <w:w w:val="88"/>
                </w:rPr>
                <w:t>Certain Relationships and Related Transactions and Director Independence</w:t>
              </w:r>
            </w:hyperlink>
          </w:p>
        </w:tc>
        <w:tc>
          <w:tcPr>
            <w:tcW w:w="3660" w:type="dxa"/>
            <w:vAlign w:val="bottom"/>
            <w:gridSpan w:val="9"/>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14</w:t>
            </w:r>
          </w:p>
        </w:tc>
        <w:tc>
          <w:tcPr>
            <w:tcW w:w="8140" w:type="dxa"/>
            <w:vAlign w:val="bottom"/>
            <w:gridSpan w:val="30"/>
          </w:tcPr>
          <w:p>
            <w:pPr>
              <w:spacing w:after="0" w:line="148" w:lineRule="exact"/>
              <w:rPr>
                <w:rFonts w:ascii="Arial" w:cs="Arial" w:eastAsia="Arial" w:hAnsi="Arial"/>
                <w:sz w:val="15"/>
                <w:szCs w:val="15"/>
                <w:color w:val="auto"/>
              </w:rPr>
            </w:pPr>
            <w:hyperlink w:anchor="page113">
              <w:r>
                <w:rPr>
                  <w:rFonts w:ascii="Arial" w:cs="Arial" w:eastAsia="Arial" w:hAnsi="Arial"/>
                  <w:sz w:val="15"/>
                  <w:szCs w:val="15"/>
                  <w:color w:val="auto"/>
                </w:rPr>
                <w:t>Principal Accountant Fees and Services</w:t>
              </w:r>
            </w:hyperlink>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68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20" w:type="dxa"/>
            <w:vAlign w:val="bottom"/>
            <w:gridSpan w:val="14"/>
          </w:tcPr>
          <w:p>
            <w:pPr>
              <w:jc w:val="center"/>
              <w:ind w:right="3420"/>
              <w:spacing w:after="0"/>
              <w:rPr>
                <w:rFonts w:ascii="Arial" w:cs="Arial" w:eastAsia="Arial" w:hAnsi="Arial"/>
                <w:sz w:val="15"/>
                <w:szCs w:val="15"/>
                <w:b w:val="1"/>
                <w:bCs w:val="1"/>
                <w:color w:val="auto"/>
              </w:rPr>
            </w:pPr>
            <w:hyperlink w:anchor="page114">
              <w:r>
                <w:rPr>
                  <w:rFonts w:ascii="Arial" w:cs="Arial" w:eastAsia="Arial" w:hAnsi="Arial"/>
                  <w:sz w:val="15"/>
                  <w:szCs w:val="15"/>
                  <w:b w:val="1"/>
                  <w:bCs w:val="1"/>
                  <w:color w:val="auto"/>
                </w:rPr>
                <w:t>PART IV</w:t>
              </w:r>
            </w:hyperlink>
          </w:p>
        </w:tc>
        <w:tc>
          <w:tcPr>
            <w:tcW w:w="1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ITEM 15</w:t>
            </w:r>
          </w:p>
        </w:tc>
        <w:tc>
          <w:tcPr>
            <w:tcW w:w="2620" w:type="dxa"/>
            <w:vAlign w:val="bottom"/>
            <w:tcBorders>
              <w:bottom w:val="single" w:sz="8" w:color="0000EE"/>
            </w:tcBorders>
            <w:gridSpan w:val="12"/>
          </w:tcPr>
          <w:p>
            <w:pPr>
              <w:spacing w:after="0"/>
              <w:rPr>
                <w:rFonts w:ascii="Arial" w:cs="Arial" w:eastAsia="Arial" w:hAnsi="Arial"/>
                <w:sz w:val="15"/>
                <w:szCs w:val="15"/>
                <w:color w:val="auto"/>
                <w:w w:val="88"/>
              </w:rPr>
            </w:pPr>
            <w:hyperlink w:anchor="page114">
              <w:r>
                <w:rPr>
                  <w:rFonts w:ascii="Arial" w:cs="Arial" w:eastAsia="Arial" w:hAnsi="Arial"/>
                  <w:sz w:val="15"/>
                  <w:szCs w:val="15"/>
                  <w:color w:val="auto"/>
                  <w:w w:val="88"/>
                </w:rPr>
                <w:t>Exhibits and Financial Statement Schedules</w:t>
              </w:r>
            </w:hyperlink>
          </w:p>
        </w:tc>
        <w:tc>
          <w:tcPr>
            <w:tcW w:w="1520" w:type="dxa"/>
            <w:vAlign w:val="bottom"/>
            <w:gridSpan w:val="5"/>
          </w:tcPr>
          <w:p>
            <w:pPr>
              <w:spacing w:after="0"/>
              <w:rPr>
                <w:sz w:val="22"/>
                <w:szCs w:val="22"/>
                <w:color w:val="auto"/>
              </w:rPr>
            </w:pPr>
          </w:p>
        </w:tc>
        <w:tc>
          <w:tcPr>
            <w:tcW w:w="580" w:type="dxa"/>
            <w:vAlign w:val="bottom"/>
            <w:tcBorders>
              <w:top w:val="single" w:sz="8" w:color="0000EE"/>
            </w:tcBorders>
            <w:gridSpan w:val="7"/>
          </w:tcPr>
          <w:p>
            <w:pPr>
              <w:spacing w:after="0"/>
              <w:rPr>
                <w:sz w:val="22"/>
                <w:szCs w:val="22"/>
                <w:color w:val="auto"/>
              </w:rPr>
            </w:pPr>
          </w:p>
        </w:tc>
        <w:tc>
          <w:tcPr>
            <w:tcW w:w="3420" w:type="dxa"/>
            <w:vAlign w:val="bottom"/>
            <w:gridSpan w:val="6"/>
          </w:tcPr>
          <w:p>
            <w:pPr>
              <w:spacing w:after="0"/>
              <w:rPr>
                <w:sz w:val="22"/>
                <w:szCs w:val="22"/>
                <w:color w:val="auto"/>
              </w:rPr>
            </w:pPr>
          </w:p>
        </w:tc>
        <w:tc>
          <w:tcPr>
            <w:tcW w:w="1920" w:type="dxa"/>
            <w:vAlign w:val="bottom"/>
            <w:gridSpan w:val="3"/>
          </w:tcPr>
          <w:p>
            <w:pPr>
              <w:jc w:val="right"/>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line="148" w:lineRule="exact"/>
              <w:rPr>
                <w:sz w:val="20"/>
                <w:szCs w:val="20"/>
                <w:color w:val="auto"/>
              </w:rPr>
            </w:pPr>
            <w:r>
              <w:rPr>
                <w:rFonts w:ascii="Arial" w:cs="Arial" w:eastAsia="Arial" w:hAnsi="Arial"/>
                <w:sz w:val="15"/>
                <w:szCs w:val="15"/>
                <w:color w:val="auto"/>
              </w:rPr>
              <w:t>ITEM 16</w:t>
            </w:r>
          </w:p>
        </w:tc>
        <w:tc>
          <w:tcPr>
            <w:tcW w:w="8140" w:type="dxa"/>
            <w:vAlign w:val="bottom"/>
            <w:gridSpan w:val="30"/>
          </w:tcPr>
          <w:p>
            <w:pPr>
              <w:spacing w:after="0" w:line="148" w:lineRule="exact"/>
              <w:rPr>
                <w:rFonts w:ascii="Arial" w:cs="Arial" w:eastAsia="Arial" w:hAnsi="Arial"/>
                <w:sz w:val="15"/>
                <w:szCs w:val="15"/>
                <w:color w:val="auto"/>
              </w:rPr>
            </w:pPr>
            <w:hyperlink w:anchor="page148">
              <w:r>
                <w:rPr>
                  <w:rFonts w:ascii="Arial" w:cs="Arial" w:eastAsia="Arial" w:hAnsi="Arial"/>
                  <w:sz w:val="15"/>
                  <w:szCs w:val="15"/>
                  <w:color w:val="auto"/>
                </w:rPr>
                <w:t>Form 10-K Summary</w:t>
              </w:r>
            </w:hyperlink>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Borders>
              <w:top w:val="single" w:sz="8" w:color="0000EE"/>
              <w:bottom w:val="single" w:sz="8" w:color="0000EE"/>
            </w:tcBorders>
            <w:gridSpan w:val="3"/>
          </w:tcPr>
          <w:p>
            <w:pPr>
              <w:spacing w:after="0" w:line="148" w:lineRule="exact"/>
              <w:rPr>
                <w:rFonts w:ascii="Arial" w:cs="Arial" w:eastAsia="Arial" w:hAnsi="Arial"/>
                <w:sz w:val="15"/>
                <w:szCs w:val="15"/>
                <w:color w:val="auto"/>
                <w:w w:val="86"/>
              </w:rPr>
            </w:pPr>
            <w:hyperlink w:anchor="page149">
              <w:r>
                <w:rPr>
                  <w:rFonts w:ascii="Arial" w:cs="Arial" w:eastAsia="Arial" w:hAnsi="Arial"/>
                  <w:sz w:val="15"/>
                  <w:szCs w:val="15"/>
                  <w:color w:val="auto"/>
                  <w:w w:val="86"/>
                </w:rPr>
                <w:t>Signatures</w:t>
              </w:r>
            </w:hyperlink>
          </w:p>
        </w:tc>
        <w:tc>
          <w:tcPr>
            <w:tcW w:w="640" w:type="dxa"/>
            <w:vAlign w:val="bottom"/>
            <w:tcBorders>
              <w:top w:val="single" w:sz="8" w:color="0000EE"/>
            </w:tcBorders>
            <w:gridSpan w:val="4"/>
          </w:tcPr>
          <w:p>
            <w:pPr>
              <w:spacing w:after="0"/>
              <w:rPr>
                <w:sz w:val="12"/>
                <w:szCs w:val="12"/>
                <w:color w:val="auto"/>
              </w:rPr>
            </w:pPr>
          </w:p>
        </w:tc>
        <w:tc>
          <w:tcPr>
            <w:tcW w:w="6860" w:type="dxa"/>
            <w:vAlign w:val="bottom"/>
            <w:gridSpan w:val="23"/>
          </w:tcPr>
          <w:p>
            <w:pPr>
              <w:spacing w:after="0"/>
              <w:rPr>
                <w:sz w:val="12"/>
                <w:szCs w:val="12"/>
                <w:color w:val="auto"/>
              </w:rPr>
            </w:pPr>
          </w:p>
        </w:tc>
        <w:tc>
          <w:tcPr>
            <w:tcW w:w="1920" w:type="dxa"/>
            <w:vAlign w:val="bottom"/>
            <w:gridSpan w:val="3"/>
          </w:tcPr>
          <w:p>
            <w:pPr>
              <w:jc w:val="right"/>
              <w:spacing w:after="0" w:line="148" w:lineRule="exact"/>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53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80" w:type="dxa"/>
            <w:vAlign w:val="bottom"/>
            <w:gridSpan w:val="21"/>
          </w:tcPr>
          <w:p>
            <w:pPr>
              <w:jc w:val="center"/>
              <w:ind w:left="4286"/>
              <w:spacing w:after="0"/>
              <w:rPr>
                <w:sz w:val="20"/>
                <w:szCs w:val="20"/>
                <w:color w:val="auto"/>
              </w:rPr>
            </w:pPr>
            <w:r>
              <w:rPr>
                <w:rFonts w:ascii="Arial" w:cs="Arial" w:eastAsia="Arial" w:hAnsi="Arial"/>
                <w:sz w:val="15"/>
                <w:szCs w:val="15"/>
                <w:color w:val="auto"/>
                <w:w w:val="95"/>
              </w:rPr>
              <w:t>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 w:name="page4"/>
    <w:bookmarkEnd w:id="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ind w:right="-19"/>
        <w:spacing w:after="0" w:line="173" w:lineRule="exact"/>
        <w:rPr>
          <w:sz w:val="20"/>
          <w:szCs w:val="20"/>
          <w:color w:val="auto"/>
        </w:rPr>
      </w:pPr>
      <w:r>
        <w:rPr>
          <w:rFonts w:ascii="Arial" w:cs="Arial" w:eastAsia="Arial" w:hAnsi="Arial"/>
          <w:sz w:val="15"/>
          <w:szCs w:val="15"/>
          <w:b w:val="1"/>
          <w:bCs w:val="1"/>
          <w:color w:val="auto"/>
        </w:rPr>
        <w:t>CAUTIONARY NOTE REGARDING FORWARD</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LOOKING STATEMENTS</w:t>
      </w:r>
    </w:p>
    <w:p>
      <w:pPr>
        <w:spacing w:after="0" w:line="178" w:lineRule="exact"/>
        <w:rPr>
          <w:sz w:val="20"/>
          <w:szCs w:val="20"/>
          <w:color w:val="auto"/>
        </w:rPr>
      </w:pPr>
    </w:p>
    <w:p>
      <w:pPr>
        <w:ind w:firstLine="751"/>
        <w:spacing w:after="0" w:line="254" w:lineRule="auto"/>
        <w:rPr>
          <w:sz w:val="20"/>
          <w:szCs w:val="20"/>
          <w:color w:val="auto"/>
        </w:rPr>
      </w:pPr>
      <w:r>
        <w:rPr>
          <w:rFonts w:ascii="Arial" w:cs="Arial" w:eastAsia="Arial" w:hAnsi="Arial"/>
          <w:sz w:val="14"/>
          <w:szCs w:val="14"/>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53" w:lineRule="exact"/>
        <w:rPr>
          <w:sz w:val="20"/>
          <w:szCs w:val="20"/>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for increases or decreases in expenses;</w:t>
      </w:r>
    </w:p>
    <w:p>
      <w:pPr>
        <w:spacing w:after="0" w:line="173" w:lineRule="exact"/>
        <w:rPr>
          <w:rFonts w:ascii="Arial" w:cs="Arial" w:eastAsia="Arial" w:hAnsi="Arial"/>
          <w:sz w:val="15"/>
          <w:szCs w:val="15"/>
          <w:color w:val="auto"/>
        </w:rPr>
      </w:pPr>
    </w:p>
    <w:p>
      <w:pPr>
        <w:ind w:left="760" w:right="20" w:hanging="375"/>
        <w:spacing w:after="0" w:line="255" w:lineRule="auto"/>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for the clinical and preclinical development, manufacturing, regulatory approval, and commercialization of our pharmaceutical product candidates or any other products that we may acquire or in-license;</w:t>
      </w:r>
    </w:p>
    <w:p>
      <w:pPr>
        <w:spacing w:after="0" w:line="147"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estimates of the sufficiency of our existing capital resources combined with future anticipated cash flows to finance our operating requirements;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for incurring capital expenditures to expand our research and development and manufacturing capabilities;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unforeseen circumstances or other disruptions to normal business operations arising from or related to COVID-19;</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for generating revenue or becoming profitable on a sustained basis;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or ability to enter into marketing and other partnership agreements;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or ability to enter into product acquisition and in-licensing transactions;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or ability to build our own commercial infrastructure to manufacture, market and sell our product candidates;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expected losses;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obtain and maintain intellectual property protection for our product candidates;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acceptance of our products by doctors, patients, or payors;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stock price and its volatility;</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attract and retain key personnel;</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performance of third-party manufacturers;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for future capital requirements; and</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successfully implement our strategy.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4" w:name="page5"/>
    <w:bookmarkEnd w:id="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firstLine="751"/>
        <w:spacing w:after="0" w:line="255" w:lineRule="auto"/>
        <w:rPr>
          <w:sz w:val="20"/>
          <w:szCs w:val="20"/>
          <w:color w:val="auto"/>
        </w:rPr>
      </w:pPr>
      <w:r>
        <w:rPr>
          <w:rFonts w:ascii="Arial" w:cs="Arial" w:eastAsia="Arial" w:hAnsi="Arial"/>
          <w:sz w:val="15"/>
          <w:szCs w:val="15"/>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47" w:lineRule="exact"/>
        <w:rPr>
          <w:sz w:val="20"/>
          <w:szCs w:val="20"/>
          <w:color w:val="auto"/>
        </w:rPr>
      </w:pPr>
    </w:p>
    <w:p>
      <w:pPr>
        <w:ind w:right="160" w:firstLine="751"/>
        <w:spacing w:after="0" w:line="255" w:lineRule="auto"/>
        <w:rPr>
          <w:sz w:val="20"/>
          <w:szCs w:val="20"/>
          <w:color w:val="auto"/>
        </w:rPr>
      </w:pPr>
      <w:r>
        <w:rPr>
          <w:rFonts w:ascii="Arial" w:cs="Arial" w:eastAsia="Arial" w:hAnsi="Arial"/>
          <w:sz w:val="15"/>
          <w:szCs w:val="15"/>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5" w:name="page6"/>
    <w:bookmarkEnd w:id="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Unless the context requires otherwise, references in this report to “Axsome,” “Company,” “we,” “us” and “our” and similar designations refer to Axsome Therapeutics, Inc.</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and our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78" w:lineRule="exact"/>
        <w:rPr>
          <w:sz w:val="20"/>
          <w:szCs w:val="20"/>
          <w:color w:val="auto"/>
        </w:rPr>
      </w:pPr>
    </w:p>
    <w:p>
      <w:pPr>
        <w:ind w:right="160" w:firstLine="751"/>
        <w:spacing w:after="0" w:line="244" w:lineRule="auto"/>
        <w:rPr>
          <w:sz w:val="20"/>
          <w:szCs w:val="20"/>
          <w:color w:val="auto"/>
        </w:rPr>
      </w:pPr>
      <w:r>
        <w:rPr>
          <w:rFonts w:ascii="Arial" w:cs="Arial" w:eastAsia="Arial" w:hAnsi="Arial"/>
          <w:sz w:val="15"/>
          <w:szCs w:val="15"/>
          <w:color w:val="auto"/>
        </w:rPr>
        <w:t>We are a biopharmaceutical company developing novel therapies for the management of central nervous system, or CNS, conditions that have limited treatment options. By focusing on this therapeutic area, we are addressing significant and growing markets where current treatment options are limited or inadequate. Our core CNS portfolio includes four CNS product candidates, AXS-05, AXS-07, AXS-12, and AXS-14 which are being developed for multiple indications.</w:t>
      </w:r>
    </w:p>
    <w:p>
      <w:pPr>
        <w:spacing w:after="0" w:line="155" w:lineRule="exact"/>
        <w:rPr>
          <w:sz w:val="20"/>
          <w:szCs w:val="20"/>
          <w:color w:val="auto"/>
        </w:rPr>
      </w:pPr>
    </w:p>
    <w:p>
      <w:pPr>
        <w:ind w:right="20" w:firstLine="751"/>
        <w:spacing w:after="0" w:line="279" w:lineRule="auto"/>
        <w:rPr>
          <w:sz w:val="20"/>
          <w:szCs w:val="20"/>
          <w:color w:val="auto"/>
        </w:rPr>
      </w:pPr>
      <w:r>
        <w:rPr>
          <w:rFonts w:ascii="Arial" w:cs="Arial" w:eastAsia="Arial" w:hAnsi="Arial"/>
          <w:sz w:val="13"/>
          <w:szCs w:val="13"/>
          <w:color w:val="auto"/>
        </w:rPr>
        <w:t>AXS-05 is being developed for the treatment of major depressive disorder, or MDD, for which a New Drug Application, or NDA, has been submitted and accepted for filing by the U.S. Food and Drug Administration, or the FDA. The FDA had set a Prescription Drug User Fee Act (PDUFA) target action date for the AXS-05 NDA of August 22, 2021, which was not completed on such date and therefore the review of the application is ongoing. AXS-05 is also under development for the treatment of Alzheimer's disease agitation, or AD agitation. AXS-05 is also being developed for smoking cessation. AXS-07 is being developed for the acute treatment of migraine, for which an NDA has been submitted and accepted for filing by the FDA. The FDA has set a PDUFA target action date for the AXS-07 NDA of April 30, 2022. AXS-12 is being developed for the treatment of narcolepsy. AXS-14 is being developed for the treatment of fibromyalgia. 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302" w:lineRule="exact"/>
        <w:rPr>
          <w:sz w:val="20"/>
          <w:szCs w:val="20"/>
          <w:color w:val="auto"/>
        </w:rPr>
      </w:pPr>
    </w:p>
    <w:p>
      <w:pPr>
        <w:ind w:right="80" w:firstLine="751"/>
        <w:spacing w:after="0" w:line="257" w:lineRule="auto"/>
        <w:rPr>
          <w:sz w:val="20"/>
          <w:szCs w:val="20"/>
          <w:color w:val="auto"/>
        </w:rPr>
      </w:pPr>
      <w:r>
        <w:rPr>
          <w:rFonts w:ascii="Arial" w:cs="Arial" w:eastAsia="Arial" w:hAnsi="Arial"/>
          <w:sz w:val="14"/>
          <w:szCs w:val="14"/>
          <w:color w:val="auto"/>
        </w:rPr>
        <w:t>AXS-05 is a novel, oral, investigational NMDA, or N-methyl-D-aspartate, receptor antagonist with multimodal activity under development for the treatment of CNS disorders. AXS-05 consists of a proprietary formulation and dose of dextromethorphan and bupropion and utilizes our metabolic inhibition technology. The dextromethorphan component of AXS-05 is an uncompetitive antagonist of the NMDA, an ionotropic glutamate receptor. The dextromethorphan component of AXS-05 is also a sigma-1 receptor agonist. The bupropion component of AXS-05 serves to increase the bioavailability of dextromethorphan and is a norepinephrine and dopamine reuptake inhibitor. We are seeking FDA approval for AXS-05 utilizing the 505(b)(2) regulatory development pathway. AXS-05 has been granted FDA Breakthrough Therapy designation for both the treatment of MDD and the treatment of Alzheimer’s disease agitation, as well as Fast Track designations for the treatment of Alzheimer’s disease agitation and treatment resistant depression.</w:t>
      </w:r>
    </w:p>
    <w:p>
      <w:pPr>
        <w:spacing w:after="0" w:line="317" w:lineRule="exact"/>
        <w:rPr>
          <w:sz w:val="20"/>
          <w:szCs w:val="20"/>
          <w:color w:val="auto"/>
        </w:rPr>
      </w:pPr>
    </w:p>
    <w:p>
      <w:pPr>
        <w:ind w:firstLine="751"/>
        <w:spacing w:after="0" w:line="275" w:lineRule="auto"/>
        <w:rPr>
          <w:sz w:val="20"/>
          <w:szCs w:val="20"/>
          <w:color w:val="auto"/>
        </w:rPr>
      </w:pPr>
      <w:r>
        <w:rPr>
          <w:rFonts w:ascii="Arial" w:cs="Arial" w:eastAsia="Arial" w:hAnsi="Arial"/>
          <w:sz w:val="13"/>
          <w:szCs w:val="13"/>
          <w:color w:val="auto"/>
        </w:rPr>
        <w:t>We have completed two pivotal trials, one Phase 2 and one Phase 3, of AXS-05 in MDD, which we refer to as the ASCEND and GEMINI trials, respectively. AXS-05 achieved the primary endpoint in both the ASCEND and GEMINI trials. A Phase 3, open-label, long-term safety study with AXS-05 in patients with MDD and TRD known as the COMET trial has also been completed. Additionally, three Phase 2 open-label efficacy sub-studies of the COMET trial have been completed. These sub-studies evaluated the efficacy and safety of AXS-05 in three clinically pertinent MDD patient populations: the COMET-TRD trial in treatment resistant MDD (TRD), the COMET-AU trial in antidepressant unresponsive MDD, and the COMET-SI trial in MDD with suicidal ideation. In the overall COMET trial, AXS-05 treatment resulted in rapid, substantial, and durable improvement in depressive symptoms, measured using the MADRS, which was sustained or increased with long-term treatment. Additionally, AXS-05 was well tolerated with long-term dosing. Similar findings of rapid and durable improvements in depressive symptoms were demonstrated in the COMET-AU and COMET-TRD sub-studies. In the COMET-SI trial, a rapid reduction in suicidal ideation was observed with AXS-05 treatment, as demonstrated by reductions in the MADRS-SI score. We have completed a Phase 3 trial of AXS-05 in TRD, which we refer to as the STRIDE-1 trial, which met key secondary endpoints but did not reach statistical significance on the primary endpoint. Additionally, we have completed a Phase 2, double-blind, placebo-controlled, multi-center, relapse prevention study in patients with TRD, which we call the MERIT trial. In the MERIT trial, AXS-05 achieved its primary and secondary endpoints by delaying time to relapse and preventing relapse as compared to placebo. We have also completed a Phase 2/3 trial of AXS-05 in AD agitation, which we refer to as the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6" w:name="page7"/>
    <w:bookmarkEnd w:id="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auto"/>
        </w:rPr>
        <w:t>ADVANCE trial. AXS-05 achieved the primary endpoint in the ADVANCE trial. We are conducting the ACCORD trial, a Phase 3, double blind, placebo-controlled, randomized withdrawal trial in patients with AD agitation, and one open-label long-term safety study in AD agitation. AXS-05 is also being developed as an aid to smoking cessation treatment and a positive Phase 2 trial in this indication has been completed under a research collaboration with Duke University. We have submitted an NDA for AXS-05 for the treatment of MDD supported by the positive results from the ASCEND and GEMINI trials which was accepted for filing by the FDA and was granted Priority Review, resulting in a PDUFA target action date of August 22, 2021. On August 20, 2021, the FDA informed us that its review would not be completed by the PDUFA target action date and the review of the application is ongoing.</w:t>
      </w:r>
    </w:p>
    <w:p>
      <w:pPr>
        <w:spacing w:after="0" w:line="132" w:lineRule="exact"/>
        <w:rPr>
          <w:sz w:val="20"/>
          <w:szCs w:val="20"/>
          <w:color w:val="auto"/>
        </w:rPr>
      </w:pPr>
    </w:p>
    <w:p>
      <w:pPr>
        <w:ind w:right="60" w:firstLine="751"/>
        <w:spacing w:after="0" w:line="236" w:lineRule="auto"/>
        <w:rPr>
          <w:sz w:val="20"/>
          <w:szCs w:val="20"/>
          <w:color w:val="auto"/>
        </w:rPr>
      </w:pPr>
      <w:r>
        <w:rPr>
          <w:rFonts w:ascii="Arial" w:cs="Arial" w:eastAsia="Arial" w:hAnsi="Arial"/>
          <w:sz w:val="15"/>
          <w:szCs w:val="15"/>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5-HT1B/1D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are seeking FDA approval for AXS-07 utilizing the 505(b)(2) regulatory development pathway.</w:t>
      </w:r>
    </w:p>
    <w:p>
      <w:pPr>
        <w:spacing w:after="0" w:line="162"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We have completed two Phase 3 trials of AXS-07 for the acute treatment of migraine, which we refer to as the MOMENTUM and INTERCEPT trials. AXS-07 achieved the co-primary endpoints in both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 We have submitted an NDA for AXS-07 for the acute treatment of migraine supported by the positive results from the MOMENTUM and INTERCEPT trials which was accepted for filing by the FDA with a PDUFA target action date of April 30, 2022.</w:t>
      </w:r>
    </w:p>
    <w:p>
      <w:pPr>
        <w:spacing w:after="0" w:line="329" w:lineRule="exact"/>
        <w:rPr>
          <w:sz w:val="20"/>
          <w:szCs w:val="20"/>
          <w:color w:val="auto"/>
        </w:rPr>
      </w:pPr>
    </w:p>
    <w:p>
      <w:pPr>
        <w:ind w:right="40" w:firstLine="751"/>
        <w:spacing w:after="0"/>
        <w:rPr>
          <w:sz w:val="20"/>
          <w:szCs w:val="20"/>
          <w:color w:val="auto"/>
        </w:rPr>
      </w:pPr>
      <w:r>
        <w:rPr>
          <w:rFonts w:ascii="Arial" w:cs="Arial" w:eastAsia="Arial" w:hAnsi="Arial"/>
          <w:sz w:val="15"/>
          <w:szCs w:val="15"/>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was also initiated.</w:t>
      </w:r>
    </w:p>
    <w:p>
      <w:pPr>
        <w:spacing w:after="0" w:line="148" w:lineRule="exact"/>
        <w:rPr>
          <w:sz w:val="20"/>
          <w:szCs w:val="20"/>
          <w:color w:val="auto"/>
        </w:rPr>
      </w:pPr>
    </w:p>
    <w:p>
      <w:pPr>
        <w:ind w:right="160" w:firstLine="751"/>
        <w:spacing w:after="0" w:line="232" w:lineRule="auto"/>
        <w:rPr>
          <w:sz w:val="20"/>
          <w:szCs w:val="20"/>
          <w:color w:val="auto"/>
        </w:rPr>
      </w:pPr>
      <w:r>
        <w:rPr>
          <w:rFonts w:ascii="Arial" w:cs="Arial" w:eastAsia="Arial" w:hAnsi="Arial"/>
          <w:sz w:val="14"/>
          <w:szCs w:val="14"/>
          <w:color w:val="auto"/>
        </w:rPr>
        <w:t>AXS-14, esreboxetine, is a novel, oral, investigational medicine in development for the treatment of fibromyalgia. AXS-14 is a highly selective and potent norepinephrine reuptake inhibitor. We are initially developing esreboxetine for the management of fibromyalgia. Esreboxetine, the SS-enantiomer of reboxetine, is more potent and selective than racemic reboxetine. We have in-licensed data from Pfizer which includes a completed Phase 2 trial and Phase 3 trial in fibromyalgia, both of which were positive. We plan to submit an NDA for AXS-14 in 2023 for the management of fibromyalgia based on a pre-NDA meeting with the FDA which occurred in the second quarter of 2021.</w:t>
      </w:r>
    </w:p>
    <w:p>
      <w:pPr>
        <w:spacing w:after="0" w:line="137" w:lineRule="exact"/>
        <w:rPr>
          <w:sz w:val="20"/>
          <w:szCs w:val="20"/>
          <w:color w:val="auto"/>
        </w:rPr>
      </w:pPr>
    </w:p>
    <w:p>
      <w:pPr>
        <w:jc w:val="both"/>
        <w:ind w:right="20" w:firstLine="751"/>
        <w:spacing w:after="0" w:line="222" w:lineRule="auto"/>
        <w:rPr>
          <w:sz w:val="20"/>
          <w:szCs w:val="20"/>
          <w:color w:val="auto"/>
        </w:rPr>
      </w:pPr>
      <w:r>
        <w:rPr>
          <w:rFonts w:ascii="Arial" w:cs="Arial" w:eastAsia="Arial" w:hAnsi="Arial"/>
          <w:sz w:val="15"/>
          <w:szCs w:val="15"/>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with claims extending to 2034 and 2040 for AXS-05, to 2036 for AXS-07, and to 2039 for AXS-12, as well as U.S. and foreign patent applications for AXS-05, AXS-07, AXS-12, and AXS-14.</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155" w:lineRule="exact"/>
        <w:rPr>
          <w:sz w:val="20"/>
          <w:szCs w:val="20"/>
          <w:color w:val="auto"/>
        </w:rPr>
      </w:pPr>
    </w:p>
    <w:p>
      <w:pPr>
        <w:ind w:right="80" w:firstLine="751"/>
        <w:spacing w:after="0" w:line="232" w:lineRule="auto"/>
        <w:rPr>
          <w:sz w:val="20"/>
          <w:szCs w:val="20"/>
          <w:color w:val="auto"/>
        </w:rPr>
      </w:pPr>
      <w:r>
        <w:rPr>
          <w:rFonts w:ascii="Arial" w:cs="Arial" w:eastAsia="Arial" w:hAnsi="Arial"/>
          <w:sz w:val="15"/>
          <w:szCs w:val="15"/>
          <w:color w:val="auto"/>
        </w:rPr>
        <w:t>Our goal is to efficiently develop and commercialize novel, differentiated therapies for the management of CNS disorders. The primary elements of our strategy to achieve this goal are the following:</w:t>
      </w:r>
    </w:p>
    <w:p>
      <w:pPr>
        <w:spacing w:after="0" w:line="136" w:lineRule="exact"/>
        <w:rPr>
          <w:sz w:val="20"/>
          <w:szCs w:val="20"/>
          <w:color w:val="auto"/>
        </w:rPr>
      </w:pPr>
    </w:p>
    <w:p>
      <w:pPr>
        <w:ind w:left="1140" w:right="80" w:hanging="379"/>
        <w:spacing w:after="0" w:line="257" w:lineRule="auto"/>
        <w:tabs>
          <w:tab w:leader="none" w:pos="1140"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Pursue novel CNS indications with high unmet medical need. </w:t>
      </w:r>
      <w:r>
        <w:rPr>
          <w:rFonts w:ascii="Arial" w:cs="Arial" w:eastAsia="Arial" w:hAnsi="Arial"/>
          <w:sz w:val="14"/>
          <w:szCs w:val="14"/>
          <w:color w:val="auto"/>
        </w:rPr>
        <w:t>We believe that CNS disorders are significantly underserved therapeutic segments with currently limited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treatment options. We are developing our product candidates for CNS indications where there exist significant unmet medical needs, or that have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 w:name="page8"/>
    <w:bookmarkEnd w:id="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ind w:left="1140" w:right="40"/>
        <w:spacing w:after="0" w:line="156" w:lineRule="exact"/>
        <w:rPr>
          <w:sz w:val="20"/>
          <w:szCs w:val="20"/>
          <w:color w:val="auto"/>
        </w:rPr>
      </w:pPr>
      <w:r>
        <w:rPr>
          <w:rFonts w:ascii="Arial" w:cs="Arial" w:eastAsia="Arial" w:hAnsi="Arial"/>
          <w:sz w:val="15"/>
          <w:szCs w:val="15"/>
          <w:color w:val="auto"/>
        </w:rPr>
        <w:t>no or few FDA</w:t>
      </w:r>
      <w:r>
        <w:rPr>
          <w:rFonts w:ascii="MS PGothic" w:cs="MS PGothic" w:eastAsia="MS PGothic" w:hAnsi="MS PGothic"/>
          <w:sz w:val="15"/>
          <w:szCs w:val="15"/>
          <w:color w:val="auto"/>
        </w:rPr>
        <w:t>‑</w:t>
      </w:r>
      <w:r>
        <w:rPr>
          <w:rFonts w:ascii="Arial" w:cs="Arial" w:eastAsia="Arial" w:hAnsi="Arial"/>
          <w:sz w:val="15"/>
          <w:szCs w:val="15"/>
          <w:color w:val="auto"/>
        </w:rPr>
        <w:t>approved pharmacological treatments. CNS disorders are often disabling, difficult to treat, and associated with significant comorbidities. By focusing on areas of unmet medical need, we aim to develop products that have the potential to change current medical practice, and that are highly relevant to patients, physicians, and regulatory bodies. Many of these indications have significant patient populations which, when combined with the limitations of current treatments, should provide us with attractive commercial opportunities.</w:t>
      </w:r>
    </w:p>
    <w:p>
      <w:pPr>
        <w:spacing w:after="0" w:line="136" w:lineRule="exact"/>
        <w:rPr>
          <w:sz w:val="20"/>
          <w:szCs w:val="20"/>
          <w:color w:val="auto"/>
        </w:rPr>
      </w:pPr>
    </w:p>
    <w:p>
      <w:pPr>
        <w:ind w:left="1140" w:hanging="379"/>
        <w:spacing w:after="0" w:line="214" w:lineRule="auto"/>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Develop products with our proprietary medicinal chemistry and formulation technologies. </w:t>
      </w:r>
      <w:r>
        <w:rPr>
          <w:rFonts w:ascii="Arial" w:cs="Arial" w:eastAsia="Arial" w:hAnsi="Arial"/>
          <w:sz w:val="15"/>
          <w:szCs w:val="15"/>
          <w:color w:val="auto"/>
        </w:rPr>
        <w:t>Our proprietary medicinal chemistry and formulation technologies allow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technology which is designed to substantially increase the solubility and speed the absorption of target drug molecules, and (4) proprietary chemical synthesis and analysis to produce target drug molecules.</w:t>
      </w:r>
    </w:p>
    <w:p>
      <w:pPr>
        <w:spacing w:after="0" w:line="135" w:lineRule="exact"/>
        <w:rPr>
          <w:rFonts w:ascii="Arial" w:cs="Arial" w:eastAsia="Arial" w:hAnsi="Arial"/>
          <w:sz w:val="15"/>
          <w:szCs w:val="15"/>
          <w:color w:val="auto"/>
        </w:rPr>
      </w:pPr>
    </w:p>
    <w:p>
      <w:pPr>
        <w:ind w:left="1140" w:right="140" w:hanging="379"/>
        <w:spacing w:after="0" w:line="203" w:lineRule="auto"/>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Develop products with differentiated profiles. </w:t>
      </w:r>
      <w:r>
        <w:rPr>
          <w:rFonts w:ascii="Arial" w:cs="Arial" w:eastAsia="Arial" w:hAnsi="Arial"/>
          <w:sz w:val="15"/>
          <w:szCs w:val="15"/>
          <w:color w:val="auto"/>
        </w:rPr>
        <w:t>We aim to develop products with novel mechanisms of action for the intended indications that may yield differentiated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profiles. For example, AXS-05 combines several mechanisms of action resulting in a unique pharmacological profile that may be relevant to the treatment of numerous CNS disorders. The MoSEIC</w:t>
      </w:r>
      <w:r>
        <w:rPr>
          <w:rFonts w:ascii="Arial" w:cs="Arial" w:eastAsia="Arial" w:hAnsi="Arial"/>
          <w:sz w:val="19"/>
          <w:szCs w:val="19"/>
          <w:color w:val="auto"/>
          <w:vertAlign w:val="superscript"/>
        </w:rPr>
        <w:t>TM</w:t>
      </w:r>
      <w:r>
        <w:rPr>
          <w:rFonts w:ascii="Arial" w:cs="Arial" w:eastAsia="Arial" w:hAnsi="Arial"/>
          <w:sz w:val="15"/>
          <w:szCs w:val="15"/>
          <w:color w:val="auto"/>
        </w:rPr>
        <w:t xml:space="preserve"> technology is designed to improve the absorption of drug molecules after oral administration and is utilized in our AXS-07 product candidate. We believe that products with clearly differentiated features will be attractive to patients and their physicians, and will provide us with a competitive commercial advantage.</w:t>
      </w:r>
    </w:p>
    <w:p>
      <w:pPr>
        <w:spacing w:after="0" w:line="136" w:lineRule="exact"/>
        <w:rPr>
          <w:rFonts w:ascii="Arial" w:cs="Arial" w:eastAsia="Arial" w:hAnsi="Arial"/>
          <w:sz w:val="15"/>
          <w:szCs w:val="15"/>
          <w:color w:val="auto"/>
        </w:rPr>
      </w:pPr>
    </w:p>
    <w:p>
      <w:pPr>
        <w:ind w:left="1140" w:right="80" w:hanging="379"/>
        <w:spacing w:after="0" w:line="152" w:lineRule="exact"/>
        <w:tabs>
          <w:tab w:leader="none" w:pos="114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Reduce clinical and regulatory risk, limit development costs, and accelerate time to market. </w:t>
      </w:r>
      <w:r>
        <w:rPr>
          <w:rFonts w:ascii="Arial" w:cs="Arial" w:eastAsia="Arial" w:hAnsi="Arial"/>
          <w:sz w:val="13"/>
          <w:szCs w:val="13"/>
          <w:color w:val="auto"/>
        </w:rPr>
        <w:t>Some of our product candidates incorporate chemical entities with long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histories of clinical use and well</w:t>
      </w:r>
      <w:r>
        <w:rPr>
          <w:rFonts w:ascii="MS PGothic" w:cs="MS PGothic" w:eastAsia="MS PGothic" w:hAnsi="MS PGothic"/>
          <w:sz w:val="13"/>
          <w:szCs w:val="13"/>
          <w:color w:val="auto"/>
        </w:rPr>
        <w:t>‑</w:t>
      </w:r>
      <w:r>
        <w:rPr>
          <w:rFonts w:ascii="Arial" w:cs="Arial" w:eastAsia="Arial" w:hAnsi="Arial"/>
          <w:sz w:val="13"/>
          <w:szCs w:val="13"/>
          <w:color w:val="auto"/>
        </w:rPr>
        <w:t>characterized safety profiles. Use of well</w:t>
      </w:r>
      <w:r>
        <w:rPr>
          <w:rFonts w:ascii="MS PGothic" w:cs="MS PGothic" w:eastAsia="MS PGothic" w:hAnsi="MS PGothic"/>
          <w:sz w:val="13"/>
          <w:szCs w:val="13"/>
          <w:color w:val="auto"/>
        </w:rPr>
        <w:t>‑</w:t>
      </w:r>
      <w:r>
        <w:rPr>
          <w:rFonts w:ascii="Arial" w:cs="Arial" w:eastAsia="Arial" w:hAnsi="Arial"/>
          <w:sz w:val="13"/>
          <w:szCs w:val="13"/>
          <w:color w:val="auto"/>
        </w:rPr>
        <w:t>characterized molecules has allowed us to rapidly complete early clinical development of our product candidates and may reduce the risk of late</w:t>
      </w:r>
      <w:r>
        <w:rPr>
          <w:rFonts w:ascii="MS PGothic" w:cs="MS PGothic" w:eastAsia="MS PGothic" w:hAnsi="MS PGothic"/>
          <w:sz w:val="13"/>
          <w:szCs w:val="13"/>
          <w:color w:val="auto"/>
        </w:rPr>
        <w:t>‑</w:t>
      </w:r>
      <w:r>
        <w:rPr>
          <w:rFonts w:ascii="Arial" w:cs="Arial" w:eastAsia="Arial" w:hAnsi="Arial"/>
          <w:sz w:val="13"/>
          <w:szCs w:val="13"/>
          <w:color w:val="auto"/>
        </w:rPr>
        <w:t>stage clinical failures due to unexpected toxicities. This strategy may allow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135" w:lineRule="exact"/>
        <w:rPr>
          <w:rFonts w:ascii="Arial" w:cs="Arial" w:eastAsia="Arial" w:hAnsi="Arial"/>
          <w:sz w:val="13"/>
          <w:szCs w:val="13"/>
          <w:color w:val="auto"/>
        </w:rPr>
      </w:pPr>
    </w:p>
    <w:p>
      <w:pPr>
        <w:ind w:left="1140" w:right="60" w:hanging="379"/>
        <w:spacing w:after="0" w:line="154" w:lineRule="exact"/>
        <w:tabs>
          <w:tab w:leader="none" w:pos="114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Retain commercial rights in the United States, where appropriate, and selectively partner outside of the United States to maximize the value of our product candidates. </w:t>
      </w:r>
      <w:r>
        <w:rPr>
          <w:rFonts w:ascii="Arial" w:cs="Arial" w:eastAsia="Arial" w:hAnsi="Arial"/>
          <w:sz w:val="15"/>
          <w:szCs w:val="15"/>
          <w:color w:val="auto"/>
        </w:rPr>
        <w:t>We intend to commercialize our product candidates, if approved, in the United States through the establishment of our own focused, cost</w:t>
      </w:r>
      <w:r>
        <w:rPr>
          <w:rFonts w:ascii="MS PGothic" w:cs="MS PGothic" w:eastAsia="MS PGothic" w:hAnsi="MS PGothic"/>
          <w:sz w:val="15"/>
          <w:szCs w:val="15"/>
          <w:color w:val="auto"/>
        </w:rPr>
        <w:t>‑</w:t>
      </w:r>
      <w:r>
        <w:rPr>
          <w:rFonts w:ascii="Arial" w:cs="Arial" w:eastAsia="Arial" w:hAnsi="Arial"/>
          <w:sz w:val="15"/>
          <w:szCs w:val="15"/>
          <w:color w:val="auto"/>
        </w:rPr>
        <w:t>effective sales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marketing organization targeting high</w:t>
      </w:r>
      <w:r>
        <w:rPr>
          <w:rFonts w:ascii="MS PGothic" w:cs="MS PGothic" w:eastAsia="MS PGothic" w:hAnsi="MS PGothic"/>
          <w:sz w:val="15"/>
          <w:szCs w:val="15"/>
          <w:color w:val="auto"/>
        </w:rPr>
        <w:t>‑</w:t>
      </w:r>
      <w:r>
        <w:rPr>
          <w:rFonts w:ascii="Arial" w:cs="Arial" w:eastAsia="Arial" w:hAnsi="Arial"/>
          <w:sz w:val="15"/>
          <w:szCs w:val="15"/>
          <w:color w:val="auto"/>
        </w:rPr>
        <w:t>prescribing specialists.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8" w:name="page9"/>
    <w:bookmarkEnd w:id="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207885" cy="2453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7885" cy="245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447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0159"/>
          </w:cols>
          <w:pgMar w:left="300" w:top="124" w:right="1440" w:bottom="1440" w:gutter="0" w:footer="0" w:header="0"/>
        </w:sectPr>
      </w:pPr>
    </w:p>
    <w:bookmarkStart w:id="9" w:name="page10"/>
    <w:bookmarkEnd w:id="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CNS Product Candidates</w:t>
      </w:r>
    </w:p>
    <w:p>
      <w:pPr>
        <w:spacing w:after="0" w:line="174"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color w:val="auto"/>
        </w:rPr>
        <w:t>AXS</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05</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74" w:lineRule="exact"/>
        <w:rPr>
          <w:sz w:val="20"/>
          <w:szCs w:val="20"/>
          <w:color w:val="auto"/>
        </w:rPr>
      </w:pPr>
    </w:p>
    <w:p>
      <w:pPr>
        <w:ind w:right="80" w:firstLine="751"/>
        <w:spacing w:after="0" w:line="260" w:lineRule="auto"/>
        <w:rPr>
          <w:sz w:val="20"/>
          <w:szCs w:val="20"/>
          <w:color w:val="auto"/>
        </w:rPr>
      </w:pPr>
      <w:r>
        <w:rPr>
          <w:rFonts w:ascii="Arial" w:cs="Arial" w:eastAsia="Arial" w:hAnsi="Arial"/>
          <w:sz w:val="14"/>
          <w:szCs w:val="14"/>
          <w:color w:val="auto"/>
        </w:rPr>
        <w:t>AXS-05 is a novel, oral, investigational NMDA receptor antagonist with multimodal activity under development for the treatment of CNS disorders. AXS-05 consists of a proprietary formulation and dose of dextromethorphan and bupropion and utilizes Axsome’s metabolic inhibition technology. The dextromethorphan component of AXS-05 is an uncompetitive antagonist of the N-methyl-D-aspartate, or NMDA, receptor, an ionotropic glutamate receptor and a sigma-1 receptor agonist. Dextromethorphan is quickly eliminated from the body following administration due to extensive first pass metabolism, which results in low blood levels even at high doses. The bupropion component of AXS-05 serves to increase the bioavailability of dextromethorphan by inhibiting its metabolism and is also a norepinephrine and dopamine reuptake inhibitor.</w:t>
      </w:r>
    </w:p>
    <w:p>
      <w:pPr>
        <w:spacing w:after="0" w:line="144" w:lineRule="exact"/>
        <w:rPr>
          <w:sz w:val="20"/>
          <w:szCs w:val="20"/>
          <w:color w:val="auto"/>
        </w:rPr>
      </w:pPr>
    </w:p>
    <w:p>
      <w:pPr>
        <w:ind w:right="280" w:firstLine="751"/>
        <w:spacing w:after="0" w:line="255" w:lineRule="auto"/>
        <w:rPr>
          <w:sz w:val="20"/>
          <w:szCs w:val="20"/>
          <w:color w:val="auto"/>
        </w:rPr>
      </w:pPr>
      <w:r>
        <w:rPr>
          <w:rFonts w:ascii="Arial" w:cs="Arial" w:eastAsia="Arial" w:hAnsi="Arial"/>
          <w:sz w:val="15"/>
          <w:szCs w:val="15"/>
          <w:color w:val="auto"/>
        </w:rPr>
        <w:t>AXS-05 is potentially applicable to the treatment of a variety of CNS disorders, based on its mechanisms of action. We are developing AXS-05 initially as a therapeutic for major depressive disorder, or MDD, Alzheimer’s disease agitation, or MDD</w:t>
      </w:r>
      <w:r>
        <w:rPr>
          <w:rFonts w:ascii="Arial" w:cs="Arial" w:eastAsia="Arial" w:hAnsi="Arial"/>
          <w:sz w:val="15"/>
          <w:szCs w:val="15"/>
          <w:u w:val="single" w:color="auto"/>
          <w:color w:val="auto"/>
        </w:rPr>
        <w:t>,</w:t>
      </w:r>
      <w:r>
        <w:rPr>
          <w:rFonts w:ascii="Arial" w:cs="Arial" w:eastAsia="Arial" w:hAnsi="Arial"/>
          <w:sz w:val="15"/>
          <w:szCs w:val="15"/>
          <w:color w:val="auto"/>
        </w:rPr>
        <w:t xml:space="preserve"> AD agitation, and as an aid to smoking cessation.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Depression</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We are developing AXS-05 for the treatment of MDD. We believe there is a substantial need for new, more effective treatments for this large, underserved patient population.</w:t>
      </w:r>
    </w:p>
    <w:p>
      <w:pPr>
        <w:spacing w:after="0" w:line="197"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MDD is a debilitating, chronic, biologically 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MDD is highly prevalent and difficult to treat. According to the National Institutes of Health, or NIH, an estimated 7.8% of U.S. adults experience MDD each year, and of them approximately two-thirds had severe impairment associated with their depression. Results of the Sequenced Treatment Alternatives to Relieve Depression, or STAR*D trial, funded by the National Institute of Mental Health, indicate that nearly two-thirds of diagnosed and treated patients do not experience adequate treatment response with first-line therapy, and that the majority of these initial failures also fail second-line treatment.</w:t>
      </w:r>
    </w:p>
    <w:p>
      <w:pPr>
        <w:spacing w:after="0" w:line="158" w:lineRule="exact"/>
        <w:rPr>
          <w:sz w:val="20"/>
          <w:szCs w:val="20"/>
          <w:color w:val="auto"/>
        </w:rPr>
      </w:pPr>
    </w:p>
    <w:p>
      <w:pPr>
        <w:ind w:right="20" w:firstLine="751"/>
        <w:spacing w:after="0" w:line="238" w:lineRule="auto"/>
        <w:rPr>
          <w:sz w:val="20"/>
          <w:szCs w:val="20"/>
          <w:color w:val="auto"/>
        </w:rPr>
      </w:pPr>
      <w:r>
        <w:rPr>
          <w:rFonts w:ascii="Arial" w:cs="Arial" w:eastAsia="Arial" w:hAnsi="Arial"/>
          <w:sz w:val="15"/>
          <w:szCs w:val="15"/>
          <w:color w:val="auto"/>
        </w:rPr>
        <w:t>We have completed one Phase 2 trial and one Phase 3 trial in MDD, one Phase 3 open-label, long-term study in MDD and treatment resistant depression, or TRD, one Phase 2 and one Phase 3 trial in TRD, and several Phase 1 pharmacokinetic clinical trials of AXS-05. In March 2019, we received FDA Breakthrough Therapy designation for AXS-05 for the treatment of MDD. We have submitted an NDA for AXS-05 for the treatment of MDD, supported by the positive results from the ASCEND and GEMINI trials, which was granted Priority Review resulting in a PDUFA target action date of August 22, 2021. On August 20, 2021, the FDA informed us that its review would not be completed by the PDUFA target action date and the review of the application is ongoing.</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GEMINI Study</w:t>
      </w:r>
    </w:p>
    <w:p>
      <w:pPr>
        <w:spacing w:after="0" w:line="174" w:lineRule="exact"/>
        <w:rPr>
          <w:sz w:val="20"/>
          <w:szCs w:val="20"/>
          <w:color w:val="auto"/>
        </w:rPr>
      </w:pPr>
    </w:p>
    <w:p>
      <w:pPr>
        <w:ind w:right="120" w:firstLine="751"/>
        <w:spacing w:after="0"/>
        <w:rPr>
          <w:sz w:val="20"/>
          <w:szCs w:val="20"/>
          <w:color w:val="auto"/>
        </w:rPr>
      </w:pPr>
      <w:r>
        <w:rPr>
          <w:rFonts w:ascii="Arial" w:cs="Arial" w:eastAsia="Arial" w:hAnsi="Arial"/>
          <w:sz w:val="15"/>
          <w:szCs w:val="15"/>
          <w:color w:val="auto"/>
        </w:rPr>
        <w:t>In June 2019, we initiated the GEMINI study, a Phase 3, randomized, double-blind, multicenter, placebo-controlled, U.S. trial of AXS-05 in the treatment of MDD. In December 2019, we announced that AXS-05 achieved the primary endpoint and rapidly and significantly improved symptoms of depression as compared to placebo in the GEMINI study. In this trial, 327 adult patients with confirmed moderate to severe MDD were randomized to treatment with either AXS-05 (45 mg dextromethorphan-105 mg bupropion tablet) or placebo once daily for the first 3 days and twice daily thereafter for a total of 6 weeks.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0" w:name="page11"/>
    <w:bookmarkEnd w:id="1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AXS-05 met the primary endpoint by demonstrating a statistically significant reduction in the Montgomery-Åsberg Depression Rating Scale, or MADRS, total score compared to placebo at Week 6, with mean reductions from baseline of 16.6 points for AXS-05 and 11.9 points for placebo (p=0.002). AXS-05 rapidly and durably improved depressive symptoms as compared to placebo with statistical significance on the MADRS total score demonstrated at Week 1, the earliest time point assessed, and at all time points thereafter. Rates of remission from depression (defined as MADRS ≤10) were statistically significantly greater for AXS-05 compared to placebo at Week 2 (p=0.013) and at every time point thereafter, being achieved by 39.5% of AXS-05 patients compared to 17.3% of placebo patients at Week 6 (p&lt;0.001).</w:t>
      </w:r>
    </w:p>
    <w:p>
      <w:pPr>
        <w:spacing w:after="0" w:line="161" w:lineRule="exact"/>
        <w:rPr>
          <w:sz w:val="20"/>
          <w:szCs w:val="20"/>
          <w:color w:val="auto"/>
        </w:rPr>
      </w:pPr>
    </w:p>
    <w:p>
      <w:pPr>
        <w:ind w:right="100" w:firstLine="751"/>
        <w:spacing w:after="0" w:line="238" w:lineRule="auto"/>
        <w:rPr>
          <w:sz w:val="20"/>
          <w:szCs w:val="20"/>
          <w:color w:val="auto"/>
        </w:rPr>
      </w:pPr>
      <w:r>
        <w:rPr>
          <w:rFonts w:ascii="Arial" w:cs="Arial" w:eastAsia="Arial" w:hAnsi="Arial"/>
          <w:sz w:val="15"/>
          <w:szCs w:val="15"/>
          <w:color w:val="auto"/>
        </w:rPr>
        <w:t>AXS-05 demonstrated rapid onset of action with statistically significant improvement as compared to placebo on numerous endpoints at Week 1, or only 4 days after receiving the target dose of AXS-05. Statistically significant improvements at Week 1 were observed for MADRS total score (key secondary endpoint, p=0.007); Patient Global Impression-Improvement, or PGI-I, (p=0.008); Clinical Global Impression-Severity, or CGI-S, (p=0.013); Clinical Global Impression-Improvement, or CGI-I, (p=0.035); Quick Inventory of Depressive Symptomatology-Self-Rated, or QIDS-SR-16, (p=0.016); Quality of Life Enjoyment and Satisfaction Questionnaire-Short Form, or Q-LES-Q-SF, (p=0.031); and other endpoints.</w:t>
      </w:r>
    </w:p>
    <w:p>
      <w:pPr>
        <w:spacing w:after="0" w:line="161" w:lineRule="exact"/>
        <w:rPr>
          <w:sz w:val="20"/>
          <w:szCs w:val="20"/>
          <w:color w:val="auto"/>
        </w:rPr>
      </w:pPr>
    </w:p>
    <w:p>
      <w:pPr>
        <w:ind w:right="40" w:firstLine="751"/>
        <w:spacing w:after="0" w:line="244" w:lineRule="auto"/>
        <w:rPr>
          <w:sz w:val="20"/>
          <w:szCs w:val="20"/>
          <w:color w:val="auto"/>
        </w:rPr>
      </w:pPr>
      <w:r>
        <w:rPr>
          <w:rFonts w:ascii="Arial" w:cs="Arial" w:eastAsia="Arial" w:hAnsi="Arial"/>
          <w:sz w:val="15"/>
          <w:szCs w:val="15"/>
          <w:color w:val="auto"/>
        </w:rPr>
        <w:t>On all secondary endpoints including the following, AXS-05 demonstrated statistically significant improvement at Week 6 compared to placebo, reflecting increasing treatment effects over time: clinical response on the MADRS total score (defined as ≥50%) (p&lt;0.001); PGI-I (p=0.007); CGI-S (p=0.002); CGI-I (p=0.016); QIDS-SR-16 (p=0.001); Sheehan Disability Scale (SDS) (p=0.002); and Q-LES-Q-SF (p=0.011).</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AXS-05 was well tolerated in the trial. The most commonly reported adverse events in the AXS-05 arm were dizziness, nausea, headache, diarrhea, somnolence, and dry</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mouth.</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ASCEND Study</w:t>
      </w:r>
    </w:p>
    <w:p>
      <w:pPr>
        <w:spacing w:after="0" w:line="174" w:lineRule="exact"/>
        <w:rPr>
          <w:sz w:val="20"/>
          <w:szCs w:val="20"/>
          <w:color w:val="auto"/>
        </w:rPr>
      </w:pPr>
    </w:p>
    <w:p>
      <w:pPr>
        <w:ind w:right="160" w:firstLine="751"/>
        <w:spacing w:after="0"/>
        <w:rPr>
          <w:sz w:val="20"/>
          <w:szCs w:val="20"/>
          <w:color w:val="auto"/>
        </w:rPr>
      </w:pPr>
      <w:r>
        <w:rPr>
          <w:rFonts w:ascii="Arial" w:cs="Arial" w:eastAsia="Arial" w:hAnsi="Arial"/>
          <w:sz w:val="15"/>
          <w:szCs w:val="15"/>
          <w:color w:val="auto"/>
        </w:rPr>
        <w:t>In June 2018, we initiated the ASCEND study, a Phase 2 randomized, double-blind, active-controlled, multi-center, U.S. trial to evaluate the efficacy and safety of AXS-05 in patients with MDD. In January 2019, we announced that AXS-05 met the prespecified primary endpoint and significantly improved symptoms of depression as compared to bupropion in the ASCEND study. In this trial, 80 adult patients with confirmed moderate to severe MDD were treated either with AXS-05 (45 mg dextromethorphan-105 mg bupropion tablet), or the active comparator bupropion (105 mg), twice daily for 6 weeks.</w:t>
      </w:r>
    </w:p>
    <w:p>
      <w:pPr>
        <w:spacing w:after="0" w:line="159" w:lineRule="exact"/>
        <w:rPr>
          <w:sz w:val="20"/>
          <w:szCs w:val="20"/>
          <w:color w:val="auto"/>
        </w:rPr>
      </w:pPr>
    </w:p>
    <w:p>
      <w:pPr>
        <w:ind w:right="80" w:firstLine="751"/>
        <w:spacing w:after="0" w:line="238" w:lineRule="auto"/>
        <w:rPr>
          <w:sz w:val="20"/>
          <w:szCs w:val="20"/>
          <w:color w:val="auto"/>
        </w:rPr>
      </w:pPr>
      <w:r>
        <w:rPr>
          <w:rFonts w:ascii="Arial" w:cs="Arial" w:eastAsia="Arial" w:hAnsi="Arial"/>
          <w:sz w:val="15"/>
          <w:szCs w:val="15"/>
          <w:color w:val="auto"/>
        </w:rPr>
        <w:t>AXS-05 met the prespecified primary endpoint by demonstrating a highly statistically significant reduction in the MADRS total score, averaged over the 6-week treatment period, the overall treatment effect, as compared to bupropion (p&lt;0.001). At Week 6, AXS-05 demonstrated a 17.2 point reduction in the MADRS total score compared to a 12.1 point reduction for bupropion (p=0.013). AXS-05 rapidly reduced depressive symptoms, demonstrating a statistically significant improvement over bupropion on the CGI-I at Week 1 (p=0.045). Starting at Week 1, or only four days after receiving the target dose, AXS-05 achieved numerical superiority over bupropion on the MADRS total score, with statistical significance achieved at Week 2 and maintained at all time points thereafter. At Week 6, 47% of patients who received AXS-05 achieved remission, prospectively defined as a score of 10 or less on the MADRS, compared with 16% of patients who received bupropion (p=0.004).</w:t>
      </w:r>
    </w:p>
    <w:p>
      <w:pPr>
        <w:spacing w:after="0" w:line="158" w:lineRule="exact"/>
        <w:rPr>
          <w:sz w:val="20"/>
          <w:szCs w:val="20"/>
          <w:color w:val="auto"/>
        </w:rPr>
      </w:pPr>
    </w:p>
    <w:p>
      <w:pPr>
        <w:ind w:right="60" w:firstLine="751"/>
        <w:spacing w:after="0"/>
        <w:rPr>
          <w:sz w:val="20"/>
          <w:szCs w:val="20"/>
          <w:color w:val="auto"/>
        </w:rPr>
      </w:pPr>
      <w:r>
        <w:rPr>
          <w:rFonts w:ascii="Arial" w:cs="Arial" w:eastAsia="Arial" w:hAnsi="Arial"/>
          <w:sz w:val="15"/>
          <w:szCs w:val="15"/>
          <w:color w:val="auto"/>
        </w:rPr>
        <w:t>AXS-05 was superior to bupropion on multiple prespecified secondary endpoints, with statistically significant effects demonstrated on most, including the following: MADRS-6 (p=0.007 at Week 6); percentage of responders on MADRS-6, response defined as ≥ 50% reduction from baseline, (p=0.014 at Week 6); CGI-I (p=0.045 at Week 1, and 0.051 at Week 6); CGI-S (p=0.038 at Week 6); percentage of patients achieving remission on MADRS, remission defined as MADRS ≤ 10, (p=0.004 at Week 6). Additionally, the treatment effect observed with bupropion in the study was consistent with that observed in prior published trials.</w:t>
      </w:r>
    </w:p>
    <w:p>
      <w:pPr>
        <w:spacing w:after="0" w:line="159" w:lineRule="exact"/>
        <w:rPr>
          <w:sz w:val="20"/>
          <w:szCs w:val="20"/>
          <w:color w:val="auto"/>
        </w:rPr>
      </w:pPr>
    </w:p>
    <w:p>
      <w:pPr>
        <w:jc w:val="center"/>
        <w:ind w:left="460"/>
        <w:spacing w:after="0"/>
        <w:rPr>
          <w:sz w:val="20"/>
          <w:szCs w:val="20"/>
          <w:color w:val="auto"/>
        </w:rPr>
      </w:pPr>
      <w:r>
        <w:rPr>
          <w:rFonts w:ascii="Arial" w:cs="Arial" w:eastAsia="Arial" w:hAnsi="Arial"/>
          <w:sz w:val="14"/>
          <w:szCs w:val="14"/>
          <w:color w:val="auto"/>
        </w:rPr>
        <w:t>AXS-05 was well tolerated in the trial. The most commonly reported adverse events in the AXS-05 arm were nausea, dizziness, dry mouth, decreased appetite, and anxiety.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1" w:name="page12"/>
    <w:bookmarkEnd w:id="1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COMET Study</w:t>
      </w:r>
    </w:p>
    <w:p>
      <w:pPr>
        <w:spacing w:after="0" w:line="174" w:lineRule="exact"/>
        <w:rPr>
          <w:sz w:val="20"/>
          <w:szCs w:val="20"/>
          <w:color w:val="auto"/>
        </w:rPr>
      </w:pPr>
    </w:p>
    <w:p>
      <w:pPr>
        <w:jc w:val="both"/>
        <w:ind w:right="140" w:firstLine="751"/>
        <w:spacing w:after="0" w:line="244" w:lineRule="auto"/>
        <w:rPr>
          <w:sz w:val="20"/>
          <w:szCs w:val="20"/>
          <w:color w:val="auto"/>
        </w:rPr>
      </w:pPr>
      <w:r>
        <w:rPr>
          <w:rFonts w:ascii="Arial" w:cs="Arial" w:eastAsia="Arial" w:hAnsi="Arial"/>
          <w:sz w:val="15"/>
          <w:szCs w:val="15"/>
          <w:color w:val="auto"/>
        </w:rPr>
        <w:t>In July 2019, we announced that we initiated the COMET Phase 3, open-label study in order to build a patient safety database to support the filing of an NDA for AXS-05 for the treatment of MDD. The COMET trial included three Phase 2 open-label efficacy sub-studies, which were the COMET-AU, the COMET-TRD, and the COMET-SI trials. In December 2020, we announced positive results from the overall COMET study and the three open-label efficacy sub-studies.</w:t>
      </w:r>
    </w:p>
    <w:p>
      <w:pPr>
        <w:spacing w:after="0" w:line="155" w:lineRule="exact"/>
        <w:rPr>
          <w:sz w:val="20"/>
          <w:szCs w:val="20"/>
          <w:color w:val="auto"/>
        </w:rPr>
      </w:pPr>
    </w:p>
    <w:p>
      <w:pPr>
        <w:ind w:right="20" w:firstLine="751"/>
        <w:spacing w:after="0" w:line="238" w:lineRule="auto"/>
        <w:rPr>
          <w:sz w:val="20"/>
          <w:szCs w:val="20"/>
          <w:color w:val="auto"/>
        </w:rPr>
      </w:pPr>
      <w:r>
        <w:rPr>
          <w:rFonts w:ascii="Arial" w:cs="Arial" w:eastAsia="Arial" w:hAnsi="Arial"/>
          <w:sz w:val="15"/>
          <w:szCs w:val="15"/>
          <w:color w:val="auto"/>
        </w:rPr>
        <w:t>A total of 876 patients were enrolled, consisting of 265 patients who rolled over from prior controlled trials with AXS-05 (roll-over patients), and 611 new (de novo) patients who had not previously participated in an AXS-05 trial. At the time of study conclusion, 597 patients had reached at least 6 months, and 110 patients had reached at least 12 months of treatment. The COMET-AU trial evaluated 115 patients with antidepressant unresponsive (AU) MDD, defined as patients with ongoing symptoms of depression despite previously receiving one standard antidepressant pharmacotherapy. The COMET-TRD trial enrolled 70 patients with TRD, defined as patients with ongoing symptoms of depression despite previously receiving two standard antidepressant pharmacotherapies. The COMET-SI trial evaluated 37 patients with suicidal ideation, defined as a score of ≥3 on the Suicidality Item of the MADRS (MADRS-SI score) at baseline.</w:t>
      </w:r>
    </w:p>
    <w:p>
      <w:pPr>
        <w:spacing w:after="0" w:line="158" w:lineRule="exact"/>
        <w:rPr>
          <w:sz w:val="20"/>
          <w:szCs w:val="20"/>
          <w:color w:val="auto"/>
        </w:rPr>
      </w:pPr>
    </w:p>
    <w:p>
      <w:pPr>
        <w:ind w:right="60" w:firstLine="751"/>
        <w:spacing w:after="0" w:line="256" w:lineRule="auto"/>
        <w:rPr>
          <w:sz w:val="20"/>
          <w:szCs w:val="20"/>
          <w:color w:val="auto"/>
        </w:rPr>
      </w:pPr>
      <w:r>
        <w:rPr>
          <w:rFonts w:ascii="Arial" w:cs="Arial" w:eastAsia="Arial" w:hAnsi="Arial"/>
          <w:sz w:val="14"/>
          <w:szCs w:val="14"/>
          <w:color w:val="auto"/>
        </w:rPr>
        <w:t>In the overall COMET trial, AXS-05 treatment resulted in rapid, substantial, and durable improvement in depressive symptoms, measured using the MADRS, which was sustained or increased with long-term treatment. New patients, who had not previously participated in an AXS-05 trial, experienced mean reductions from baseline in the MADRS total score of 14.0 points at Week 2 and 21.1 points at Week 6 (primary time point). Reductions from baseline at 6 and 12 months were 23.9 points and 23.0 points, respectively. Similar findings of rapid and durable improvements in depressive symptoms were demonstrated in the COMET-AU and COMET-TRD substudies. In the COMET-SI trial, a rapid reduction in suicidal ideation was observed with AXS-05 treatment, as demonstrated by reductions in the MADRS-SI score of 67.6% by Week 1, the earliest time point measured, 73.5% by Week 2, and 82.4% by Week 4. Resolution of suicidal ideation with AXS-05 treatment was achieved by 60.0% of patients by Week 1, 68.8% by Week 2, and 77.8% of patients by Week 4. Resolution was defined as a MADRS-SI score of 0 or 1 on a 0 to 6 scale.</w:t>
      </w:r>
    </w:p>
    <w:p>
      <w:pPr>
        <w:spacing w:after="0" w:line="149" w:lineRule="exact"/>
        <w:rPr>
          <w:sz w:val="20"/>
          <w:szCs w:val="20"/>
          <w:color w:val="auto"/>
        </w:rPr>
      </w:pPr>
    </w:p>
    <w:p>
      <w:pPr>
        <w:ind w:firstLine="751"/>
        <w:spacing w:after="0" w:line="244" w:lineRule="auto"/>
        <w:rPr>
          <w:sz w:val="20"/>
          <w:szCs w:val="20"/>
          <w:color w:val="auto"/>
        </w:rPr>
      </w:pPr>
      <w:r>
        <w:rPr>
          <w:rFonts w:ascii="Arial" w:cs="Arial" w:eastAsia="Arial" w:hAnsi="Arial"/>
          <w:sz w:val="15"/>
          <w:szCs w:val="15"/>
          <w:color w:val="auto"/>
        </w:rPr>
        <w:t>AXS-05 was well tolerated with long-term dosing. The safety profile of AXS-05 over the 12-month treatment period was consistent with what was previously reported in short-term controlled trials, with no new safety signals detected. The most commonly reported adverse events in the COMET trial were dizziness, nausea, headache, dry mouth, and decreased appetite.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STRIDE-1 Study</w:t>
      </w:r>
    </w:p>
    <w:p>
      <w:pPr>
        <w:spacing w:after="0" w:line="174" w:lineRule="exact"/>
        <w:rPr>
          <w:sz w:val="20"/>
          <w:szCs w:val="20"/>
          <w:color w:val="auto"/>
        </w:rPr>
      </w:pPr>
    </w:p>
    <w:p>
      <w:pPr>
        <w:ind w:right="40" w:firstLine="751"/>
        <w:spacing w:after="0" w:line="173" w:lineRule="exact"/>
        <w:rPr>
          <w:sz w:val="20"/>
          <w:szCs w:val="20"/>
          <w:color w:val="auto"/>
        </w:rPr>
      </w:pPr>
      <w:r>
        <w:rPr>
          <w:rFonts w:ascii="Arial" w:cs="Arial" w:eastAsia="Arial" w:hAnsi="Arial"/>
          <w:sz w:val="15"/>
          <w:szCs w:val="15"/>
          <w:color w:val="auto"/>
        </w:rPr>
        <w:t>In March 2016, we initiated the STRIDE-1 study, a Phase 3, randomized, double</w:t>
      </w:r>
      <w:r>
        <w:rPr>
          <w:rFonts w:ascii="MS PGothic" w:cs="MS PGothic" w:eastAsia="MS PGothic" w:hAnsi="MS PGothic"/>
          <w:sz w:val="15"/>
          <w:szCs w:val="15"/>
          <w:color w:val="auto"/>
        </w:rPr>
        <w:t>‑</w:t>
      </w:r>
      <w:r>
        <w:rPr>
          <w:rFonts w:ascii="Arial" w:cs="Arial" w:eastAsia="Arial" w:hAnsi="Arial"/>
          <w:sz w:val="15"/>
          <w:szCs w:val="15"/>
          <w:color w:val="auto"/>
        </w:rPr>
        <w:t>blind, active</w:t>
      </w:r>
      <w:r>
        <w:rPr>
          <w:rFonts w:ascii="MS PGothic" w:cs="MS PGothic" w:eastAsia="MS PGothic" w:hAnsi="MS PGothic"/>
          <w:sz w:val="15"/>
          <w:szCs w:val="15"/>
          <w:color w:val="auto"/>
        </w:rPr>
        <w:t>‑</w:t>
      </w:r>
      <w:r>
        <w:rPr>
          <w:rFonts w:ascii="Arial" w:cs="Arial" w:eastAsia="Arial" w:hAnsi="Arial"/>
          <w:sz w:val="15"/>
          <w:szCs w:val="15"/>
          <w:color w:val="auto"/>
        </w:rPr>
        <w:t>controlled, U.S. trial to assess the efficacy and safety of AXS</w:t>
      </w:r>
      <w:r>
        <w:rPr>
          <w:rFonts w:ascii="MS PGothic" w:cs="MS PGothic" w:eastAsia="MS PGothic" w:hAnsi="MS PGothic"/>
          <w:sz w:val="15"/>
          <w:szCs w:val="15"/>
          <w:color w:val="auto"/>
        </w:rPr>
        <w:t>‑</w:t>
      </w:r>
      <w:r>
        <w:rPr>
          <w:rFonts w:ascii="Arial" w:cs="Arial" w:eastAsia="Arial" w:hAnsi="Arial"/>
          <w:sz w:val="15"/>
          <w:szCs w:val="15"/>
          <w:color w:val="auto"/>
        </w:rPr>
        <w:t>05 in the treatment of TRD. In March 2020, we announced that the STRIDE-1 study met its key secondary endpoints, achieving rapid reduction in depressive symptoms but did not achieve statistical significance on the primary endpoint. In this trial, 312 adult patients with confirmed TRD, who had failed two or three prior treatments, were randomized to treatment with either AXS-05 (45 mg dextromethorphan-105 mg bupropion tablet) or the active comparator bupropion (150 mg), twice daily for 6 weeks.</w:t>
      </w:r>
    </w:p>
    <w:p>
      <w:pPr>
        <w:spacing w:after="0" w:line="159" w:lineRule="exact"/>
        <w:rPr>
          <w:sz w:val="20"/>
          <w:szCs w:val="20"/>
          <w:color w:val="auto"/>
        </w:rPr>
      </w:pPr>
    </w:p>
    <w:p>
      <w:pPr>
        <w:ind w:right="20" w:firstLine="751"/>
        <w:spacing w:after="0" w:line="289" w:lineRule="auto"/>
        <w:rPr>
          <w:sz w:val="20"/>
          <w:szCs w:val="20"/>
          <w:color w:val="auto"/>
        </w:rPr>
      </w:pPr>
      <w:r>
        <w:rPr>
          <w:rFonts w:ascii="Arial" w:cs="Arial" w:eastAsia="Arial" w:hAnsi="Arial"/>
          <w:sz w:val="13"/>
          <w:szCs w:val="13"/>
          <w:color w:val="auto"/>
        </w:rPr>
        <w:t>AXS-05 rapidly and significantly improved depressive symptoms in patients with TRD as measured by the Quick Inventory of Depressive Symptomatology-Self-Rated (QIDS-SR-16) averaged over the entire 6-week treatment period, with mean reductions of 3.3 for AXS-05 versus 2.3 for bupropion (p=0.013). Rates of remission from depression (defined as QIDS-SR-16 ≤5) were statistically significantly greater for AXS-05 compared to bupropion at Week 1 (p=0.001) and at every time point thereafter, being achieved by 18.2% of AXS-05 patients compared to 8.2% of bupropion patients at Week 6 (p=0.012). The STRIDE-1 trial did not reach statistical significance on the Week 6 primary endpoint on MADRS.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2" w:name="page13"/>
    <w:bookmarkEnd w:id="1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AXS-05 significantly improved cognitive function in patients with TRD as compared to bupropion, assessed using the Cognitive subscale of the Massachusetts General Hospital Cognitive and Physical Functioning Questionnaire (CPFQ) (p=0.011). The improvement in cognitive function with AXS-05 was rapid as compared to bupropion, reaching statistical significance as early as Week 2 (p=0.01) and at every time point thereafter. The Cognitive subscale of the CPFQ assesses sharpness/mental acuity, and the ability to focus/maintain attention, to remember/recall information, and to find words. Statistical significance for the superiority of AXS-05 versus bupropion was also achieved for the entire CPFQ (p=0.014), which assesses physical in addition to cognitive functioning.</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AXS-05 rapidly and significantly reduced anxiety symptoms in patients with TRD as compared to bupropion, assessed using the Hamilton Anxiety Scale (HAM-A) (p=0.009).</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AXS-05 demonstrated numerical improvement versus the active comparator bupropion for all other efficacy variables assessed.</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AXS-05 was well tolerated in the trial. The most commonly reported adverse events in the AXS-05 arm were dizziness and nausea.</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MERIT Study</w:t>
      </w:r>
    </w:p>
    <w:p>
      <w:pPr>
        <w:spacing w:after="0" w:line="174" w:lineRule="exact"/>
        <w:rPr>
          <w:sz w:val="20"/>
          <w:szCs w:val="20"/>
          <w:color w:val="auto"/>
        </w:rPr>
      </w:pPr>
    </w:p>
    <w:p>
      <w:pPr>
        <w:ind w:right="20" w:firstLine="751"/>
        <w:spacing w:after="0" w:line="172" w:lineRule="exact"/>
        <w:rPr>
          <w:sz w:val="20"/>
          <w:szCs w:val="20"/>
          <w:color w:val="auto"/>
        </w:rPr>
      </w:pPr>
      <w:r>
        <w:rPr>
          <w:rFonts w:ascii="Arial" w:cs="Arial" w:eastAsia="Arial" w:hAnsi="Arial"/>
          <w:sz w:val="14"/>
          <w:szCs w:val="14"/>
          <w:color w:val="auto"/>
        </w:rPr>
        <w:t>In August 2020, we initiated the MERIT study, a Phase 2, randomized, double</w:t>
      </w:r>
      <w:r>
        <w:rPr>
          <w:rFonts w:ascii="MS PGothic" w:cs="MS PGothic" w:eastAsia="MS PGothic" w:hAnsi="MS PGothic"/>
          <w:sz w:val="14"/>
          <w:szCs w:val="14"/>
          <w:color w:val="auto"/>
        </w:rPr>
        <w:t>‑</w:t>
      </w:r>
      <w:r>
        <w:rPr>
          <w:rFonts w:ascii="Arial" w:cs="Arial" w:eastAsia="Arial" w:hAnsi="Arial"/>
          <w:sz w:val="14"/>
          <w:szCs w:val="14"/>
          <w:color w:val="auto"/>
        </w:rPr>
        <w:t>blind, placebo</w:t>
      </w:r>
      <w:r>
        <w:rPr>
          <w:rFonts w:ascii="MS PGothic" w:cs="MS PGothic" w:eastAsia="MS PGothic" w:hAnsi="MS PGothic"/>
          <w:sz w:val="14"/>
          <w:szCs w:val="14"/>
          <w:color w:val="auto"/>
        </w:rPr>
        <w:t>‑</w:t>
      </w:r>
      <w:r>
        <w:rPr>
          <w:rFonts w:ascii="Arial" w:cs="Arial" w:eastAsia="Arial" w:hAnsi="Arial"/>
          <w:sz w:val="14"/>
          <w:szCs w:val="14"/>
          <w:color w:val="auto"/>
        </w:rPr>
        <w:t>controlled, U.S. trial to evaluate AXS-05 compared to placebo in preventing relapse of depressive symptoms in patients with TRD. In August 2021, we announced that the MERIT study achieved the primary and key secondary endpoints by significantly delaying the time to relapse compared to placebo and preventing the relapse of depression. In this trial, a total of 44 TRD patients who experienced a stable remission after up to 12 months of open-label treatment with AXS-05 (45 mg dextromethorphan-105 mg bupropion tablet) twice daily, were randomized 1:1 to continue AXS-05, or to discontinue AXS-05 and switch to placebo, in a double-blind fashion, for at least 26 weeks or until a relapse of depressive symptoms occurred.</w:t>
      </w:r>
    </w:p>
    <w:p>
      <w:pPr>
        <w:spacing w:after="0" w:line="158" w:lineRule="exact"/>
        <w:rPr>
          <w:sz w:val="20"/>
          <w:szCs w:val="20"/>
          <w:color w:val="auto"/>
        </w:rPr>
      </w:pPr>
    </w:p>
    <w:p>
      <w:pPr>
        <w:ind w:right="40" w:firstLine="751"/>
        <w:spacing w:after="0" w:line="244" w:lineRule="auto"/>
        <w:rPr>
          <w:sz w:val="20"/>
          <w:szCs w:val="20"/>
          <w:color w:val="auto"/>
        </w:rPr>
      </w:pPr>
      <w:r>
        <w:rPr>
          <w:rFonts w:ascii="Arial" w:cs="Arial" w:eastAsia="Arial" w:hAnsi="Arial"/>
          <w:sz w:val="15"/>
          <w:szCs w:val="15"/>
          <w:color w:val="auto"/>
        </w:rPr>
        <w:t>AXS-05 met the primary endpoint by substantially and statistically significantly delaying the time to relapse of depressive symptoms as compared to placebo (p=0.002), with no relapses observed with AXS-05 over at least 6 months of double-blind treatment. AXS-05 also met the key secondary endpoint of relapse prevention, based on the rates of relapse during the double-blind treatment period (0.0% of AXS-05 patients, 36.4% of patients switched from AXS-05 to placebo, p=0.004).</w:t>
      </w:r>
    </w:p>
    <w:p>
      <w:pPr>
        <w:spacing w:after="0" w:line="155" w:lineRule="exact"/>
        <w:rPr>
          <w:sz w:val="20"/>
          <w:szCs w:val="20"/>
          <w:color w:val="auto"/>
        </w:rPr>
      </w:pPr>
    </w:p>
    <w:p>
      <w:pPr>
        <w:ind w:right="520" w:firstLine="751"/>
        <w:spacing w:after="0" w:line="255" w:lineRule="auto"/>
        <w:rPr>
          <w:sz w:val="20"/>
          <w:szCs w:val="20"/>
          <w:color w:val="auto"/>
        </w:rPr>
      </w:pPr>
      <w:r>
        <w:rPr>
          <w:rFonts w:ascii="Arial" w:cs="Arial" w:eastAsia="Arial" w:hAnsi="Arial"/>
          <w:sz w:val="15"/>
          <w:szCs w:val="15"/>
          <w:color w:val="auto"/>
        </w:rPr>
        <w:t>AXS-05 was well tolerated in the trial. There were no treatment-emergent adverse events reported in &gt;1 patient in the AXS-05 group. One subject in the AXS-05 group experienced two serious adverse events (gout and bacteremia), both of which were deemed not related to the study medication.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Alzheimer’s Disease (AD) Agitation</w:t>
      </w:r>
    </w:p>
    <w:p>
      <w:pPr>
        <w:spacing w:after="0" w:line="174" w:lineRule="exact"/>
        <w:rPr>
          <w:sz w:val="20"/>
          <w:szCs w:val="20"/>
          <w:color w:val="auto"/>
        </w:rPr>
      </w:pPr>
    </w:p>
    <w:p>
      <w:pPr>
        <w:ind w:right="560" w:firstLine="751"/>
        <w:spacing w:after="0" w:line="255" w:lineRule="auto"/>
        <w:rPr>
          <w:sz w:val="20"/>
          <w:szCs w:val="20"/>
          <w:color w:val="auto"/>
        </w:rPr>
      </w:pPr>
      <w:r>
        <w:rPr>
          <w:rFonts w:ascii="Arial" w:cs="Arial" w:eastAsia="Arial" w:hAnsi="Arial"/>
          <w:sz w:val="15"/>
          <w:szCs w:val="15"/>
          <w:color w:val="auto"/>
        </w:rPr>
        <w:t>We are developing AXS-05 for the treatment of Alzheimer’s disease agitation, or AD agitation. There is currently no FDA-approved pharmacological treatment for the indication of AD agitation.</w:t>
      </w:r>
    </w:p>
    <w:p>
      <w:pPr>
        <w:spacing w:after="0" w:line="147" w:lineRule="exact"/>
        <w:rPr>
          <w:sz w:val="20"/>
          <w:szCs w:val="20"/>
          <w:color w:val="auto"/>
        </w:rPr>
      </w:pPr>
    </w:p>
    <w:p>
      <w:pPr>
        <w:ind w:right="240" w:firstLine="751"/>
        <w:spacing w:after="0" w:line="260" w:lineRule="auto"/>
        <w:rPr>
          <w:sz w:val="20"/>
          <w:szCs w:val="20"/>
          <w:color w:val="auto"/>
        </w:rPr>
      </w:pPr>
      <w:r>
        <w:rPr>
          <w:rFonts w:ascii="Arial" w:cs="Arial" w:eastAsia="Arial" w:hAnsi="Arial"/>
          <w:sz w:val="14"/>
          <w:szCs w:val="14"/>
          <w:color w:val="auto"/>
        </w:rPr>
        <w:t>AD is a progressive neurodegenerative disorder that manifests initially as forgetfulness advancing to severe cognitive impairment and memory loss. It is a common form of dementia and afflicts more than 5 million individuals in the United States, a number that is anticipated to increase to approximately 14 million by 2050. In addition to cognitive decline, individuals diagnosed with AD typically experience behavioral and psychological symptoms including agitation and aggression. These symptoms are seen in a high percentage of AD sufferers, with agitation being reported in up to 70% of patients. Agitation is characterized by emotional distress, aggressive behaviors, disruptive irritability, and disinhibition. Agitation associated with AD has been associated with increased caregiver burden, decreased functioning, earlier nursing home placement, and death.</w:t>
      </w:r>
    </w:p>
    <w:p>
      <w:pPr>
        <w:spacing w:after="0" w:line="144" w:lineRule="exact"/>
        <w:rPr>
          <w:sz w:val="20"/>
          <w:szCs w:val="20"/>
          <w:color w:val="auto"/>
        </w:rPr>
      </w:pPr>
    </w:p>
    <w:p>
      <w:pPr>
        <w:ind w:right="160" w:firstLine="751"/>
        <w:spacing w:after="0"/>
        <w:rPr>
          <w:sz w:val="20"/>
          <w:szCs w:val="20"/>
          <w:color w:val="auto"/>
        </w:rPr>
      </w:pPr>
      <w:r>
        <w:rPr>
          <w:rFonts w:ascii="Arial" w:cs="Arial" w:eastAsia="Arial" w:hAnsi="Arial"/>
          <w:sz w:val="15"/>
          <w:szCs w:val="15"/>
          <w:color w:val="auto"/>
        </w:rPr>
        <w:t>Because there are no FDA-approved pharmacological treatments for the indication of agitation associated with AD, patients are currently treated off-label with various agents including antipsychotics, which have been considered the mainstay of treatment. These treatments however are limited by safety concerns. Typical antipsychotics prescribed for agitation, aggression, or insomnia are associated with functional decline in patients with AD, while studies indicate that atypical antipsychotics may be associated with increased rates of cerebrovascular events and death in patients with dementia.</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3" w:name="page14"/>
    <w:bookmarkEnd w:id="1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firstLine="751"/>
        <w:spacing w:after="0" w:line="255" w:lineRule="auto"/>
        <w:rPr>
          <w:sz w:val="20"/>
          <w:szCs w:val="20"/>
          <w:color w:val="auto"/>
        </w:rPr>
      </w:pPr>
      <w:r>
        <w:rPr>
          <w:rFonts w:ascii="Arial" w:cs="Arial" w:eastAsia="Arial" w:hAnsi="Arial"/>
          <w:sz w:val="15"/>
          <w:szCs w:val="15"/>
          <w:color w:val="auto"/>
        </w:rPr>
        <w:t>In June 2020, we announced that AXS-05 had received FDA Breakthrough Therapy designation for the AD agitation indication. In August 2020, we announced confirmation of the pivotal development status and plan for AXS-05 in the treatment of AD agitation following a Breakthrough Therapy meeting with the FDA.</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ADVANCE-1 Study</w:t>
      </w:r>
    </w:p>
    <w:p>
      <w:pPr>
        <w:spacing w:after="0" w:line="174" w:lineRule="exact"/>
        <w:rPr>
          <w:sz w:val="20"/>
          <w:szCs w:val="20"/>
          <w:color w:val="auto"/>
        </w:rPr>
      </w:pPr>
    </w:p>
    <w:p>
      <w:pPr>
        <w:ind w:right="20" w:firstLine="751"/>
        <w:spacing w:after="0"/>
        <w:rPr>
          <w:sz w:val="20"/>
          <w:szCs w:val="20"/>
          <w:color w:val="auto"/>
        </w:rPr>
      </w:pPr>
      <w:r>
        <w:rPr>
          <w:rFonts w:ascii="Arial" w:cs="Arial" w:eastAsia="Arial" w:hAnsi="Arial"/>
          <w:sz w:val="15"/>
          <w:szCs w:val="15"/>
          <w:color w:val="auto"/>
        </w:rPr>
        <w:t>In July 2017, we initiated the ADVANCE-1 study, a Phase 2/3, randomized, double-blind, controlled, U.S. trial to evaluate the efficacy and safety of AXS-05 in patients with AD agitation. In April 2020, we announced that AXS-05 had achieved its primary endpoint and rapidly and substantially improved agitation in patients with AD in the ADVANCE study. In this trial, 366 Alzheimer’s disease patients were randomized to treatment with AXS-05 (dextromethorphan-bupropion tablet, dose escalated to 45 mg-105 mg twice daily), bupropion (dose escalated to 105 mg twice daily), or matching placebo, for 5 weeks.</w:t>
      </w:r>
    </w:p>
    <w:p>
      <w:pPr>
        <w:spacing w:after="0" w:line="159" w:lineRule="exact"/>
        <w:rPr>
          <w:sz w:val="20"/>
          <w:szCs w:val="20"/>
          <w:color w:val="auto"/>
        </w:rPr>
      </w:pPr>
    </w:p>
    <w:p>
      <w:pPr>
        <w:ind w:right="20" w:firstLine="751"/>
        <w:spacing w:after="0" w:line="270" w:lineRule="auto"/>
        <w:rPr>
          <w:sz w:val="20"/>
          <w:szCs w:val="20"/>
          <w:color w:val="auto"/>
        </w:rPr>
      </w:pPr>
      <w:r>
        <w:rPr>
          <w:rFonts w:ascii="Arial" w:cs="Arial" w:eastAsia="Arial" w:hAnsi="Arial"/>
          <w:sz w:val="14"/>
          <w:szCs w:val="14"/>
          <w:color w:val="auto"/>
        </w:rPr>
        <w:t>AXS-05 met the primary endpoint by demonstrating a statistically significant mean reduction in the Cohen Mansfield Agitation Inventory (CMAI) total score compared to placebo at Week 5, with mean reductions from baseline of 15.4 points for AXS-05 and 11.5 points for placebo (p=0.010). These results represent a mean percentage reduction from baseline of 48% for AXS-05 versus 38% for placebo. AXS-05 was also superior to bupropion on the CMAI total score (p&lt;0.001), establishing component contribution.</w:t>
      </w:r>
    </w:p>
    <w:p>
      <w:pPr>
        <w:spacing w:after="0" w:line="138" w:lineRule="exact"/>
        <w:rPr>
          <w:sz w:val="20"/>
          <w:szCs w:val="20"/>
          <w:color w:val="auto"/>
        </w:rPr>
      </w:pPr>
    </w:p>
    <w:p>
      <w:pPr>
        <w:ind w:right="580" w:firstLine="751"/>
        <w:spacing w:after="0" w:line="255" w:lineRule="auto"/>
        <w:rPr>
          <w:sz w:val="20"/>
          <w:szCs w:val="20"/>
          <w:color w:val="auto"/>
        </w:rPr>
      </w:pPr>
      <w:r>
        <w:rPr>
          <w:rFonts w:ascii="Arial" w:cs="Arial" w:eastAsia="Arial" w:hAnsi="Arial"/>
          <w:sz w:val="15"/>
          <w:szCs w:val="15"/>
          <w:color w:val="auto"/>
        </w:rPr>
        <w:t>AXS-05 rapidly improved agitation symptoms. Improvement on the CMAI total score with AXS-05 was numerically superior to placebo starting at Week 2, achieving statistical significance at Week 3 (p=0.007) only one week after full dosing with AXS-05.</w:t>
      </w:r>
    </w:p>
    <w:p>
      <w:pPr>
        <w:spacing w:after="0" w:line="147" w:lineRule="exact"/>
        <w:rPr>
          <w:sz w:val="20"/>
          <w:szCs w:val="20"/>
          <w:color w:val="auto"/>
        </w:rPr>
      </w:pPr>
    </w:p>
    <w:p>
      <w:pPr>
        <w:ind w:right="120" w:firstLine="751"/>
        <w:spacing w:after="0" w:line="237" w:lineRule="auto"/>
        <w:rPr>
          <w:sz w:val="20"/>
          <w:szCs w:val="20"/>
          <w:color w:val="auto"/>
        </w:rPr>
      </w:pPr>
      <w:r>
        <w:rPr>
          <w:rFonts w:ascii="Arial" w:cs="Arial" w:eastAsia="Arial" w:hAnsi="Arial"/>
          <w:sz w:val="15"/>
          <w:szCs w:val="15"/>
          <w:color w:val="auto"/>
        </w:rPr>
        <w:t>A statistically significantly greater proportion of patients achieved a clinical response on the CMAI, defined as a 30% or greater improvement from baseline, with AXS-05 as compared to placebo (73% versus 57%, p=0.005). These results were consistent with clinicians’ global assessments of change measured using the modified Alzheimer’s Disease Cooperative Study-Clinical Global Impression of Change for Agitation (mADCS-CGIC). AXS-05 demonstrated statistically significantly greater improvement in agitation as compared to placebo on this measure (p=0.036).</w:t>
      </w:r>
    </w:p>
    <w:p>
      <w:pPr>
        <w:spacing w:after="0" w:line="1" w:lineRule="exact"/>
        <w:rPr>
          <w:sz w:val="20"/>
          <w:szCs w:val="20"/>
          <w:color w:val="auto"/>
        </w:rPr>
      </w:pPr>
    </w:p>
    <w:p>
      <w:pPr>
        <w:ind w:right="420"/>
        <w:spacing w:after="0" w:line="239" w:lineRule="auto"/>
        <w:rPr>
          <w:sz w:val="20"/>
          <w:szCs w:val="20"/>
          <w:color w:val="auto"/>
        </w:rPr>
      </w:pPr>
      <w:r>
        <w:rPr>
          <w:rFonts w:ascii="Arial" w:cs="Arial" w:eastAsia="Arial" w:hAnsi="Arial"/>
          <w:sz w:val="15"/>
          <w:szCs w:val="15"/>
          <w:color w:val="auto"/>
        </w:rPr>
        <w:t>AXS-05 was well tolerated in the trial. The most commonly reported adverse events in the AXS-05 arm were somnolence (8.2% for AXS-05 versus 4.1% for bupropion and 3.2% for placebo), dizziness (6.3%, 10.2%, 3.2%, respectively), and diarrhea (4.4%, 6.1%, 4.4%,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Ongoing ACCORD Study</w:t>
      </w:r>
    </w:p>
    <w:p>
      <w:pPr>
        <w:spacing w:after="0" w:line="174" w:lineRule="exact"/>
        <w:rPr>
          <w:sz w:val="20"/>
          <w:szCs w:val="20"/>
          <w:color w:val="auto"/>
        </w:rPr>
      </w:pPr>
    </w:p>
    <w:p>
      <w:pPr>
        <w:ind w:right="160" w:firstLine="751"/>
        <w:spacing w:after="0" w:line="238" w:lineRule="auto"/>
        <w:rPr>
          <w:sz w:val="20"/>
          <w:szCs w:val="20"/>
          <w:color w:val="auto"/>
        </w:rPr>
      </w:pPr>
      <w:r>
        <w:rPr>
          <w:rFonts w:ascii="Arial" w:cs="Arial" w:eastAsia="Arial" w:hAnsi="Arial"/>
          <w:sz w:val="15"/>
          <w:szCs w:val="15"/>
          <w:color w:val="auto"/>
        </w:rPr>
        <w:t>In December 2020, we announced initiation of the Phase 3 ACCORD (Assessing Clinical Outcomes in Alzheimer’s Disease Agitation) trial. ACCORD is a randomized, double-blind, multicenter, placebo-controlled, trial to evaluate the efficacy and safety of AXS-05 in patients with AD agitation. Enrolled patients will first enter a 9-week, open-label stabilization period, during which they will be treated with AXS-05 and monitored for a treatment response based on the CMAI. Patients who experience a treatment response during the stabilization period will then be randomized into the double-blind treatment period, in a 1:1 ratio, to continue treatment with AXS-05 or to switch to placebo, for up to 26 weeks or until a relapse of agitation occurs. The primary endpoint will be the time from randomization to relapse. Assessments will include the CMAI, clinician- and caregiver-rated scales, and safety parameters.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Smoking Cessation</w:t>
      </w:r>
    </w:p>
    <w:p>
      <w:pPr>
        <w:spacing w:after="0" w:line="174" w:lineRule="exact"/>
        <w:rPr>
          <w:sz w:val="20"/>
          <w:szCs w:val="20"/>
          <w:color w:val="auto"/>
        </w:rPr>
      </w:pPr>
    </w:p>
    <w:p>
      <w:pPr>
        <w:ind w:right="100" w:firstLine="751"/>
        <w:spacing w:after="0" w:line="238" w:lineRule="auto"/>
        <w:rPr>
          <w:sz w:val="20"/>
          <w:szCs w:val="20"/>
          <w:color w:val="auto"/>
        </w:rPr>
      </w:pPr>
      <w:r>
        <w:rPr>
          <w:rFonts w:ascii="Arial" w:cs="Arial" w:eastAsia="Arial" w:hAnsi="Arial"/>
          <w:sz w:val="15"/>
          <w:szCs w:val="15"/>
          <w:color w:val="auto"/>
        </w:rPr>
        <w:t>We are developing AXS-05 as an aid to smoking cessation treatment. 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20% of all deaths in developed countries. Direct health care and lost productivity costs as a result of smoking total nearly $300 billion a year in the U.S. alone. It is estimated that only 3% to 5% of cigarette smokers who attempt to quit without assistance are successful for 6 to 12 months, and even with the currently available treatment options, relapse rates remain above 80%.</w:t>
      </w:r>
    </w:p>
    <w:p>
      <w:pPr>
        <w:spacing w:after="0" w:line="161" w:lineRule="exact"/>
        <w:rPr>
          <w:sz w:val="20"/>
          <w:szCs w:val="20"/>
          <w:color w:val="auto"/>
        </w:rPr>
      </w:pPr>
    </w:p>
    <w:p>
      <w:pPr>
        <w:ind w:right="400" w:firstLine="751"/>
        <w:spacing w:after="0" w:line="178" w:lineRule="exact"/>
        <w:rPr>
          <w:sz w:val="20"/>
          <w:szCs w:val="20"/>
          <w:color w:val="auto"/>
        </w:rPr>
      </w:pPr>
      <w:r>
        <w:rPr>
          <w:rFonts w:ascii="Arial" w:cs="Arial" w:eastAsia="Arial" w:hAnsi="Arial"/>
          <w:sz w:val="14"/>
          <w:szCs w:val="14"/>
          <w:color w:val="auto"/>
        </w:rPr>
        <w:t>In December 2017, we entered into a research collaboration agreement with Duke University to evaluate AXS</w:t>
      </w:r>
      <w:r>
        <w:rPr>
          <w:rFonts w:ascii="MS PGothic" w:cs="MS PGothic" w:eastAsia="MS PGothic" w:hAnsi="MS PGothic"/>
          <w:sz w:val="14"/>
          <w:szCs w:val="14"/>
          <w:color w:val="auto"/>
        </w:rPr>
        <w:t>‑</w:t>
      </w:r>
      <w:r>
        <w:rPr>
          <w:rFonts w:ascii="Arial" w:cs="Arial" w:eastAsia="Arial" w:hAnsi="Arial"/>
          <w:sz w:val="14"/>
          <w:szCs w:val="14"/>
          <w:color w:val="auto"/>
        </w:rPr>
        <w:t>05 in a Phase 2 clinical trial in smoking cessation under an Investigator Sponsored IND. In April 2018, we announced the enrollment of the first patient into a Phase 2 clinical trial of AXS-05 for smoking cessation treatment,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4" w:name="page15"/>
    <w:bookmarkEnd w:id="1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120"/>
        <w:spacing w:after="0"/>
        <w:rPr>
          <w:sz w:val="20"/>
          <w:szCs w:val="20"/>
          <w:color w:val="auto"/>
        </w:rPr>
      </w:pPr>
      <w:r>
        <w:rPr>
          <w:rFonts w:ascii="Arial" w:cs="Arial" w:eastAsia="Arial" w:hAnsi="Arial"/>
          <w:sz w:val="15"/>
          <w:szCs w:val="15"/>
          <w:color w:val="auto"/>
        </w:rPr>
        <w:t>which was being conducted under the research collaboration agreement between us and Duke University. In April 2019, we announced that AXS-05 met the prespecified primary endpoint in Phase 2 trial in smoking cessation. In November 2021, we announced we had recevied from the FDA positive Pre-Investigational New Drug Application, or Pre-IND, meeting written guidance on a proposed clinical developmental plan for dextromethorphan-bupropion as an aid to smoking cessation. Based on this feedback, Axsome plans to proceed to a pivotal Phase 2/3 trial in this indication.</w:t>
      </w:r>
    </w:p>
    <w:p>
      <w:pPr>
        <w:spacing w:after="0" w:line="177"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color w:val="auto"/>
        </w:rPr>
        <w:t>AXS</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07</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74" w:lineRule="exact"/>
        <w:rPr>
          <w:sz w:val="20"/>
          <w:szCs w:val="20"/>
          <w:color w:val="auto"/>
        </w:rPr>
      </w:pPr>
    </w:p>
    <w:p>
      <w:pPr>
        <w:ind w:right="60" w:firstLine="751"/>
        <w:spacing w:after="0" w:line="172" w:lineRule="exact"/>
        <w:rPr>
          <w:sz w:val="20"/>
          <w:szCs w:val="20"/>
          <w:color w:val="auto"/>
        </w:rPr>
      </w:pPr>
      <w:r>
        <w:rPr>
          <w:rFonts w:ascii="Arial" w:cs="Arial" w:eastAsia="Arial" w:hAnsi="Arial"/>
          <w:sz w:val="15"/>
          <w:szCs w:val="15"/>
          <w:color w:val="auto"/>
        </w:rPr>
        <w:t>AXS</w:t>
      </w:r>
      <w:r>
        <w:rPr>
          <w:rFonts w:ascii="MS PGothic" w:cs="MS PGothic" w:eastAsia="MS PGothic" w:hAnsi="MS PGothic"/>
          <w:sz w:val="15"/>
          <w:szCs w:val="15"/>
          <w:color w:val="auto"/>
        </w:rPr>
        <w:t>‑</w:t>
      </w:r>
      <w:r>
        <w:rPr>
          <w:rFonts w:ascii="Arial" w:cs="Arial" w:eastAsia="Arial" w:hAnsi="Arial"/>
          <w:sz w:val="15"/>
          <w:szCs w:val="15"/>
          <w:color w:val="auto"/>
        </w:rPr>
        <w:t>07 is novel, oral, rapidly absorbed, multi-mechanistic, investigational medicine. AXS-07 consists of MoSEIC™ meloxicam and rizatriptan. We are developing AXS-07 for the acute treatment of migraine. Meloxicam is a new molecular entity for migraine enabled by Axsome’s MoSEIC technology, which results in rapid absorption of meloxicam while maintaining a long plasma half-life. Rizatriptan is FDA approved for the acute treatment of migraine as a single agent. The distinct mechanism of action and rapid absorption of MoSEIC™ meloxicam, combined with the known efficacy of rizatriptan, is designed to provide potentially rapid, superior and consistent relief of migraine pain, with lower symptom recurrence, as compared to currently available therapies.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Migraine</w:t>
      </w:r>
    </w:p>
    <w:p>
      <w:pPr>
        <w:spacing w:after="0" w:line="174" w:lineRule="exact"/>
        <w:rPr>
          <w:sz w:val="20"/>
          <w:szCs w:val="20"/>
          <w:color w:val="auto"/>
        </w:rPr>
      </w:pPr>
    </w:p>
    <w:p>
      <w:pPr>
        <w:ind w:right="160" w:firstLine="751"/>
        <w:spacing w:after="0" w:line="175" w:lineRule="exact"/>
        <w:rPr>
          <w:sz w:val="20"/>
          <w:szCs w:val="20"/>
          <w:color w:val="auto"/>
        </w:rPr>
      </w:pPr>
      <w:r>
        <w:rPr>
          <w:rFonts w:ascii="Arial" w:cs="Arial" w:eastAsia="Arial" w:hAnsi="Arial"/>
          <w:sz w:val="14"/>
          <w:szCs w:val="14"/>
          <w:color w:val="auto"/>
        </w:rPr>
        <w:t>We are developing AXS</w:t>
      </w:r>
      <w:r>
        <w:rPr>
          <w:rFonts w:ascii="MS PGothic" w:cs="MS PGothic" w:eastAsia="MS PGothic" w:hAnsi="MS PGothic"/>
          <w:sz w:val="14"/>
          <w:szCs w:val="14"/>
          <w:color w:val="auto"/>
        </w:rPr>
        <w:t>‑</w:t>
      </w:r>
      <w:r>
        <w:rPr>
          <w:rFonts w:ascii="Arial" w:cs="Arial" w:eastAsia="Arial" w:hAnsi="Arial"/>
          <w:sz w:val="14"/>
          <w:szCs w:val="14"/>
          <w:color w:val="auto"/>
        </w:rPr>
        <w:t>07 for the acute treatment of migraine. Migraine is a disorder characterized by recurrent attacks of pulsating, unilateral or bilateral head pain, often associated with nausea, photophobia, and phonophobia. Migraine attacks may occur with or without an aura, which is a focal neurological symptom, such as vision changes, that typically precedes other symptoms. Migraine attacks generally last from 4 to 72 hours and are often severe and disabling, requiring bed rest.</w:t>
      </w:r>
    </w:p>
    <w:p>
      <w:pPr>
        <w:spacing w:after="0" w:line="158" w:lineRule="exact"/>
        <w:rPr>
          <w:sz w:val="20"/>
          <w:szCs w:val="20"/>
          <w:color w:val="auto"/>
        </w:rPr>
      </w:pPr>
    </w:p>
    <w:p>
      <w:pPr>
        <w:ind w:right="60" w:firstLine="751"/>
        <w:spacing w:after="0" w:line="263" w:lineRule="auto"/>
        <w:rPr>
          <w:sz w:val="20"/>
          <w:szCs w:val="20"/>
          <w:color w:val="auto"/>
        </w:rPr>
      </w:pPr>
      <w:r>
        <w:rPr>
          <w:rFonts w:ascii="Arial" w:cs="Arial" w:eastAsia="Arial" w:hAnsi="Arial"/>
          <w:sz w:val="14"/>
          <w:szCs w:val="14"/>
          <w:color w:val="auto"/>
        </w:rPr>
        <w:t>Over 37 million Americans suffer from migraine according to the Centers for Disease Control, and it is the leading cause of disability among neurological disorders in the United States according to the American Migraine Foundation. It is estimated that migraine accounts for $78 billion in direct costs, such as doctor visits and medications, and indirect costs, such as missed work and lost productivity, each year in the United States. Published surveys of migraine sufferers indicate that more than 70% are not fully satisfied with their current treatment, that nearly 80% would try a new therapy, and that they desire treatments that work faster, more consistently, and result in less symptom recurrence.</w:t>
      </w:r>
    </w:p>
    <w:p>
      <w:pPr>
        <w:spacing w:after="0" w:line="143"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In February 2019, we reached agreement with the FDA under a Special Protocol Assessment (SPA) for the design, endpoints, and statistical approach of the planned MOMENTUM (Maximizing Outcomes in Treating Acute Migraine) Phase 3 trial of AXS-07 in the acute treatment of migraine. The SPA provides agreement that the overall MOMENTUM trial design (e.g., entry criteria, dose selection, endpoints) and planned analysis adequately address objectives that, if met, will support filing of an NDA of AXS-07 for the indication of acute treatment of migraine in adults with or without aura. In September 2021, we announced that the FDA has accepted for filing the NDA for AXS-07 for the acute treatment of migraine, with a PDUFA target action date of April 30, 2022.</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MOMENTUM Study</w:t>
      </w:r>
    </w:p>
    <w:p>
      <w:pPr>
        <w:spacing w:after="0" w:line="174" w:lineRule="exact"/>
        <w:rPr>
          <w:sz w:val="20"/>
          <w:szCs w:val="20"/>
          <w:color w:val="auto"/>
        </w:rPr>
      </w:pPr>
    </w:p>
    <w:p>
      <w:pPr>
        <w:ind w:right="380" w:firstLine="751"/>
        <w:spacing w:after="0" w:line="255" w:lineRule="auto"/>
        <w:rPr>
          <w:sz w:val="20"/>
          <w:szCs w:val="20"/>
          <w:color w:val="auto"/>
        </w:rPr>
      </w:pPr>
      <w:r>
        <w:rPr>
          <w:rFonts w:ascii="Arial" w:cs="Arial" w:eastAsia="Arial" w:hAnsi="Arial"/>
          <w:sz w:val="15"/>
          <w:szCs w:val="15"/>
          <w:color w:val="auto"/>
        </w:rPr>
        <w:t>In March 2019, we initiated the MOMENTUM study. In December 2019, we announced that AXS-07 achieved co-primary and key secondary endpoints and significantly improved migraine pain, freedom from most bother symptom, and sustained pain freedom, in the MOMENTUM study.</w:t>
      </w:r>
    </w:p>
    <w:p>
      <w:pPr>
        <w:spacing w:after="0" w:line="147" w:lineRule="exact"/>
        <w:rPr>
          <w:sz w:val="20"/>
          <w:szCs w:val="20"/>
          <w:color w:val="auto"/>
        </w:rPr>
      </w:pPr>
    </w:p>
    <w:p>
      <w:pPr>
        <w:ind w:right="120" w:firstLine="751"/>
        <w:spacing w:after="0" w:line="257" w:lineRule="auto"/>
        <w:rPr>
          <w:sz w:val="20"/>
          <w:szCs w:val="20"/>
          <w:color w:val="auto"/>
        </w:rPr>
      </w:pPr>
      <w:r>
        <w:rPr>
          <w:rFonts w:ascii="Arial" w:cs="Arial" w:eastAsia="Arial" w:hAnsi="Arial"/>
          <w:sz w:val="14"/>
          <w:szCs w:val="14"/>
          <w:color w:val="auto"/>
        </w:rPr>
        <w:t>MOMENTUM was a randomized, double-blind, placebo- and active-controlled trial which enrolled only patients with a history of inadequate response to prior acute migraine treatments, assessed using the Migraine Treatment Optimization Questionnaire, or mTOQ-4. A total of 1,594 patients were randomized in a 2:2:2:1 ratio to AXS-07 (20 mg MoSEIC™ meloxicam-10 mg rizatriptan), rizatriptan (10 mg), MoSEIC™ meloxicam (20 mg), or placebo, to treat a single migraine attack of moderate or severe intensity. In addition to a history of inadequate response, enrolled patients exhibited a high rate of characteristics that are strongly associated with poor treatment outcomes including cutaneous allodynia (75.4%), severe migraine pain intensity (41.2%), obesity (43.7%), and morning migraine (36.6%). Rizatriptan, an active comparator in the trial, is considered to be the fastest acting oral triptan and one of the most effective medications currently available for the acute treatment of migraine.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5" w:name="page16"/>
    <w:bookmarkEnd w:id="1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00" w:firstLine="751"/>
        <w:spacing w:after="0" w:line="238" w:lineRule="auto"/>
        <w:rPr>
          <w:sz w:val="20"/>
          <w:szCs w:val="20"/>
          <w:color w:val="auto"/>
        </w:rPr>
      </w:pPr>
      <w:r>
        <w:rPr>
          <w:rFonts w:ascii="Arial" w:cs="Arial" w:eastAsia="Arial" w:hAnsi="Arial"/>
          <w:sz w:val="15"/>
          <w:szCs w:val="15"/>
          <w:color w:val="auto"/>
        </w:rPr>
        <w:t>AXS-07 met the two regulatory co-primary endpoints by demonstrating, with high statistical significance, a greater percentage of patients as compared to placebo achieving pain freedom (19.9% versus 6.7%, p&lt;0.001) and absence of most bothersome symptom (36.9% versus 24.4%, p=0.002), 2 hours after dosing. Superiority of AXS-07 to rizatriptan and MoSEIC™ meloxicam (component contribution) was established as specified in the SPA, by demonstration of a greater percentage of AXS-07 patients achieving sustained pain freedom from 2 to 24 hours after dosing, compared to rizatriptan and MoSEIC™ meloxicam, as well as to placebo (16.1%, 11.2%, 8.8% and 5.3%, respectively; p=0.038, p=0.001, and p&lt;0.001, respectively versus AXS-07).</w:t>
      </w:r>
    </w:p>
    <w:p>
      <w:pPr>
        <w:spacing w:after="0" w:line="161" w:lineRule="exact"/>
        <w:rPr>
          <w:sz w:val="20"/>
          <w:szCs w:val="20"/>
          <w:color w:val="auto"/>
        </w:rPr>
      </w:pPr>
    </w:p>
    <w:p>
      <w:pPr>
        <w:ind w:right="160" w:firstLine="751"/>
        <w:spacing w:after="0" w:line="284" w:lineRule="auto"/>
        <w:rPr>
          <w:sz w:val="20"/>
          <w:szCs w:val="20"/>
          <w:color w:val="auto"/>
        </w:rPr>
      </w:pPr>
      <w:r>
        <w:rPr>
          <w:rFonts w:ascii="Arial" w:cs="Arial" w:eastAsia="Arial" w:hAnsi="Arial"/>
          <w:sz w:val="13"/>
          <w:szCs w:val="13"/>
          <w:color w:val="auto"/>
        </w:rPr>
        <w:t>AXS-07 provided substantially greater and more sustained migraine pain relief compared to placebo and rizatriptan, which translated to a significant reduction in rescue medication use for AXS-07 compared to placebo and rizatriptan. The percentage of patients experiencing sustained pain relief from 2 to 24 hours after dosing was 53.3% for AXS-07, compared to 33.5% for placebo and 43.9% for rizatriptan (p&lt;0.001, p=0.006, respectively versus AXS-07). Sustained pain relief from 2 to 48 hours was also experienced by a statistically significantly greater proportion of AXS-07 patients (46.5%), compared to placebo (31.1%) and rizatriptan (36.5%) patients (p&lt;0.001, p=0.003, respectively versus AXS-07). Rescue medication was used by 23.0% of AXS-07 patients, compared to 43.5% of placebo and 34.7% of rizatriptan patients (p&lt;0.001 for each group versus AXS-07).</w:t>
      </w:r>
    </w:p>
    <w:p>
      <w:pPr>
        <w:spacing w:after="0" w:line="132" w:lineRule="exact"/>
        <w:rPr>
          <w:sz w:val="20"/>
          <w:szCs w:val="20"/>
          <w:color w:val="auto"/>
        </w:rPr>
      </w:pPr>
    </w:p>
    <w:p>
      <w:pPr>
        <w:ind w:right="60" w:firstLine="751"/>
        <w:spacing w:after="0" w:line="263" w:lineRule="auto"/>
        <w:rPr>
          <w:sz w:val="20"/>
          <w:szCs w:val="20"/>
          <w:color w:val="auto"/>
        </w:rPr>
      </w:pPr>
      <w:r>
        <w:rPr>
          <w:rFonts w:ascii="Arial" w:cs="Arial" w:eastAsia="Arial" w:hAnsi="Arial"/>
          <w:sz w:val="14"/>
          <w:szCs w:val="14"/>
          <w:color w:val="auto"/>
        </w:rPr>
        <w:t>AXS-07 provided rapid relief of migraine pain with the percentage of patients achieving pain relief with AXS-07 being numerically greater than with rizatriptan at every time point measured starting at 15 minutes, and statistically significantly greater than with rizatriptan by 60 minutes (p=0.04). The proportions of patients experiencing pain relief 1.5 hours after dosing were 60.5% for AXS-07 compared to 52.5% for rizatriptan and 48.3% for placebo (p=0.019, p=0.004, respectively versus AXS-07). AXS-07 was statistically significantly superior to rizatriptan on several other secondary endpoints including PGI-C (p=0.022) and return to normal functioning at 24 hours (p=0.027).</w:t>
      </w:r>
    </w:p>
    <w:p>
      <w:pPr>
        <w:spacing w:after="0" w:line="143" w:lineRule="exact"/>
        <w:rPr>
          <w:sz w:val="20"/>
          <w:szCs w:val="20"/>
          <w:color w:val="auto"/>
        </w:rPr>
      </w:pPr>
    </w:p>
    <w:p>
      <w:pPr>
        <w:ind w:right="260" w:firstLine="751"/>
        <w:spacing w:after="0" w:line="255" w:lineRule="auto"/>
        <w:rPr>
          <w:sz w:val="20"/>
          <w:szCs w:val="20"/>
          <w:color w:val="auto"/>
        </w:rPr>
      </w:pPr>
      <w:r>
        <w:rPr>
          <w:rFonts w:ascii="Arial" w:cs="Arial" w:eastAsia="Arial" w:hAnsi="Arial"/>
          <w:sz w:val="15"/>
          <w:szCs w:val="15"/>
          <w:color w:val="auto"/>
        </w:rPr>
        <w:t>AXS-07 was well tolerated in the trial. The most commonly reported adverse events with AXS-07 were nausea, dizziness and somnolence, none of which occurred at a rate greater than placebo or greater than 3%.</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INTERCEPT Study</w:t>
      </w:r>
    </w:p>
    <w:p>
      <w:pPr>
        <w:spacing w:after="0" w:line="163" w:lineRule="exact"/>
        <w:rPr>
          <w:sz w:val="20"/>
          <w:szCs w:val="20"/>
          <w:color w:val="auto"/>
        </w:rPr>
      </w:pPr>
    </w:p>
    <w:p>
      <w:pPr>
        <w:ind w:firstLine="751"/>
        <w:spacing w:after="0"/>
        <w:rPr>
          <w:sz w:val="20"/>
          <w:szCs w:val="20"/>
          <w:color w:val="auto"/>
        </w:rPr>
      </w:pPr>
      <w:r>
        <w:rPr>
          <w:rFonts w:ascii="Arial" w:cs="Arial" w:eastAsia="Arial" w:hAnsi="Arial"/>
          <w:sz w:val="15"/>
          <w:szCs w:val="15"/>
          <w:color w:val="auto"/>
        </w:rPr>
        <w:t>In October 2019, we initiated the INTERCEPT study, a Phase 3, randomized, double-blind, multicenter, placebo-controlled trial evaluating the early treatment of migraine with AXS-07. In April 2020, we announced that AXS-07 achieved the co-primary endpoints and prevented migraine pain progression in the INTERCEPT study. In the INTERCEPT study a total of 302 patients were randomized in a 1:1 ratio to treat a single migraine attack with a single dose of AXS-07, or placebo, at the earliest sign of migraine pain, while the pain intensity was mild.</w:t>
      </w:r>
    </w:p>
    <w:p>
      <w:pPr>
        <w:spacing w:after="0" w:line="148" w:lineRule="exact"/>
        <w:rPr>
          <w:sz w:val="20"/>
          <w:szCs w:val="20"/>
          <w:color w:val="auto"/>
        </w:rPr>
      </w:pPr>
    </w:p>
    <w:p>
      <w:pPr>
        <w:ind w:right="100" w:firstLine="751"/>
        <w:spacing w:after="0" w:line="284" w:lineRule="auto"/>
        <w:rPr>
          <w:sz w:val="20"/>
          <w:szCs w:val="20"/>
          <w:color w:val="auto"/>
        </w:rPr>
      </w:pPr>
      <w:r>
        <w:rPr>
          <w:rFonts w:ascii="Arial" w:cs="Arial" w:eastAsia="Arial" w:hAnsi="Arial"/>
          <w:sz w:val="13"/>
          <w:szCs w:val="13"/>
          <w:color w:val="auto"/>
        </w:rPr>
        <w:t>AXS-07 met both of the two co-primary endpoints by demonstrating a statistically significantly greater percentage of patients as compared to placebo achieving pain freedom (32.6% versus 16.3%, p=0.002) and freedom from most bothersome symptom (43.9% versus 26.7%, p=0.003), 2 hours after dosing. AXS-07 durably relieved migraine pain with a statistically significantly greater percentage of patients as compared to placebo achieving sustained pain freedom from 2 to 24 hours after dosing (22.7% versus 12.6%, p=0.030), and from 2 to 48 hours after dosing (20.5% versus 9.6%, p=0.013). AXS-07 rapidly eliminated migraine symptoms, with numerical separation from placebo as early as 30 minutes for migraine pain freedom and most bothersome symptom freedom, achieving statistical significance for migraine pain at 90 minutes (p=0.003) and at every timepoint thereafter.</w:t>
      </w:r>
    </w:p>
    <w:p>
      <w:pPr>
        <w:spacing w:after="0" w:line="121" w:lineRule="exact"/>
        <w:rPr>
          <w:sz w:val="20"/>
          <w:szCs w:val="20"/>
          <w:color w:val="auto"/>
        </w:rPr>
      </w:pPr>
    </w:p>
    <w:p>
      <w:pPr>
        <w:ind w:right="140" w:firstLine="751"/>
        <w:spacing w:after="0"/>
        <w:rPr>
          <w:sz w:val="20"/>
          <w:szCs w:val="20"/>
          <w:color w:val="auto"/>
        </w:rPr>
      </w:pPr>
      <w:r>
        <w:rPr>
          <w:rFonts w:ascii="Arial" w:cs="Arial" w:eastAsia="Arial" w:hAnsi="Arial"/>
          <w:sz w:val="15"/>
          <w:szCs w:val="15"/>
          <w:color w:val="auto"/>
        </w:rPr>
        <w:t>A single dose of AXS-07 significantly prevented progression of migraine pain beyond mild intensity while significantly reducing the use of rescue medication. Freedom from pain progression from 2 to 24 hours after dosing was achieved by 73.5% of AXS-07 patients versus 47.4% of placebo patients (p&lt;0.001). The effect on pain progression translated to a significant reduction in the use of rescue medication, with only 15.3% of AXS-07 patients requiring rescue medication through 24 hours after dosing, versus 42.2% of placebo patients (p&lt;0.001).</w:t>
      </w:r>
    </w:p>
    <w:p>
      <w:pPr>
        <w:spacing w:after="0" w:line="148" w:lineRule="exact"/>
        <w:rPr>
          <w:sz w:val="20"/>
          <w:szCs w:val="20"/>
          <w:color w:val="auto"/>
        </w:rPr>
      </w:pPr>
    </w:p>
    <w:p>
      <w:pPr>
        <w:jc w:val="both"/>
        <w:ind w:right="180" w:firstLine="751"/>
        <w:spacing w:after="0" w:line="244" w:lineRule="auto"/>
        <w:rPr>
          <w:sz w:val="20"/>
          <w:szCs w:val="20"/>
          <w:color w:val="auto"/>
        </w:rPr>
      </w:pPr>
      <w:r>
        <w:rPr>
          <w:rFonts w:ascii="Arial" w:cs="Arial" w:eastAsia="Arial" w:hAnsi="Arial"/>
          <w:sz w:val="15"/>
          <w:szCs w:val="15"/>
          <w:color w:val="auto"/>
        </w:rPr>
        <w:t>AXS-07 substantially and significantly reduced functional disability and demonstrated overall disease improvement. AXS-07 treatment resulted in 73.5% of patients able to perform normal activities at 24 hours compared to 47.4% of placebo patients (p&lt;0.001). On the Patient Global Impression of Change (PGI-C) scale, 52.4% of AXS-07 patients were very much or much improved compared to 27.7% of placebo patients (p&lt;0.001).</w:t>
      </w:r>
    </w:p>
    <w:p>
      <w:pPr>
        <w:spacing w:after="0" w:line="144" w:lineRule="exact"/>
        <w:rPr>
          <w:sz w:val="20"/>
          <w:szCs w:val="20"/>
          <w:color w:val="auto"/>
        </w:rPr>
      </w:pPr>
    </w:p>
    <w:p>
      <w:pPr>
        <w:ind w:right="120" w:firstLine="751"/>
        <w:spacing w:after="0" w:line="255" w:lineRule="auto"/>
        <w:rPr>
          <w:sz w:val="20"/>
          <w:szCs w:val="20"/>
          <w:color w:val="auto"/>
        </w:rPr>
      </w:pPr>
      <w:r>
        <w:rPr>
          <w:rFonts w:ascii="Arial" w:cs="Arial" w:eastAsia="Arial" w:hAnsi="Arial"/>
          <w:sz w:val="15"/>
          <w:szCs w:val="15"/>
          <w:color w:val="auto"/>
        </w:rPr>
        <w:t>AXS-07 was well tolerated in the trial. The most commonly reported adverse events with AXS-07 were somnolence, dizziness, and paresthesia, all of which occurred at a rate of less than five percent.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6" w:name="page17"/>
    <w:bookmarkEnd w:id="1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MOVEMENT Study</w:t>
      </w:r>
    </w:p>
    <w:p>
      <w:pPr>
        <w:spacing w:after="0" w:line="163" w:lineRule="exact"/>
        <w:rPr>
          <w:sz w:val="20"/>
          <w:szCs w:val="20"/>
          <w:color w:val="auto"/>
        </w:rPr>
      </w:pPr>
    </w:p>
    <w:p>
      <w:pPr>
        <w:jc w:val="both"/>
        <w:ind w:right="260" w:firstLine="751"/>
        <w:spacing w:after="0" w:line="244" w:lineRule="auto"/>
        <w:rPr>
          <w:sz w:val="20"/>
          <w:szCs w:val="20"/>
          <w:color w:val="auto"/>
        </w:rPr>
      </w:pPr>
      <w:r>
        <w:rPr>
          <w:rFonts w:ascii="Arial" w:cs="Arial" w:eastAsia="Arial" w:hAnsi="Arial"/>
          <w:sz w:val="15"/>
          <w:szCs w:val="15"/>
          <w:color w:val="auto"/>
        </w:rPr>
        <w:t>In July 2019, we announced that we were enrolling the Phase 3 open-label MOVEMENT (Multimechanistic Treatment over Time of Migraine Symptoms) study in order to build a patient safety database to support the filing of an NDA for AXS-07 in the acute treatment of migraine. In December 2020, we announced positive efficacy and long-term safety results from the MOVEMENT trial of AXS-07 in the acute treatment of migraine.</w:t>
      </w:r>
    </w:p>
    <w:p>
      <w:pPr>
        <w:spacing w:after="0" w:line="155" w:lineRule="exact"/>
        <w:rPr>
          <w:sz w:val="20"/>
          <w:szCs w:val="20"/>
          <w:color w:val="auto"/>
        </w:rPr>
      </w:pPr>
    </w:p>
    <w:p>
      <w:pPr>
        <w:ind w:right="40" w:firstLine="751"/>
        <w:spacing w:after="0" w:line="257" w:lineRule="auto"/>
        <w:rPr>
          <w:sz w:val="20"/>
          <w:szCs w:val="20"/>
          <w:color w:val="auto"/>
        </w:rPr>
      </w:pPr>
      <w:r>
        <w:rPr>
          <w:rFonts w:ascii="Arial" w:cs="Arial" w:eastAsia="Arial" w:hAnsi="Arial"/>
          <w:sz w:val="14"/>
          <w:szCs w:val="14"/>
          <w:color w:val="auto"/>
        </w:rPr>
        <w:t>The MOVEMENT trial evaluated the long-term safety of AXS-07 (20 mg MoSEIC™ meloxicam-10 mg rizatriptan), dosed for up to 12 months, in patients with migraine attacks. The study enrolled patients who had completed the previous pivotal studies of AXS-07: the MOMENTUM and INTERCEPT trials. Enrolled patients were allowed to treat up to 10 migraine attacks per month during the up to 12-month period, with one dose of AXS-07 for each migraine that occurred. The safety and efficacy of AXS-07 was assessed during the trial. A total of 706 patients were enrolled. The trial was concluded once at least 300 patients had treated at least 2 migraines a month for 6 months, and approximately 100 patients had treated at least 2 migraines a month for 12 months, as pre-specified. At the time of study conclusion, 515 patients had reached at least 6 months, and 155 patients had reached at least 12 months of treatment. Over 21,000 migraine attacks were treated with AXS-07 during the trial.</w:t>
      </w:r>
    </w:p>
    <w:p>
      <w:pPr>
        <w:spacing w:after="0" w:line="150" w:lineRule="exact"/>
        <w:rPr>
          <w:sz w:val="20"/>
          <w:szCs w:val="20"/>
          <w:color w:val="auto"/>
        </w:rPr>
      </w:pPr>
    </w:p>
    <w:p>
      <w:pPr>
        <w:ind w:firstLine="751"/>
        <w:spacing w:after="0"/>
        <w:rPr>
          <w:sz w:val="20"/>
          <w:szCs w:val="20"/>
          <w:color w:val="auto"/>
        </w:rPr>
      </w:pPr>
      <w:r>
        <w:rPr>
          <w:rFonts w:ascii="Arial" w:cs="Arial" w:eastAsia="Arial" w:hAnsi="Arial"/>
          <w:sz w:val="15"/>
          <w:szCs w:val="15"/>
          <w:color w:val="auto"/>
        </w:rPr>
        <w:t>In the MOVEMENT trial, administration of AXS-07 resulted in rapid, and substantial relief of migraine pain and associated symptoms. Within 1 hour after dosing, 39% (range: 37-41%) of patients achieved relief of migraine pain, demonstrating the rapid onset of AXS-07. Two hours after administration of AXS-07, relief of migraine pain was achieved by 68% (range: 65-71%) of patients and pain freedom by 38% (range: 37-40%) of patients. Freedom from most bothersome symptom (photophobia, phonophobia, nausea) was achieved by 47% (range: 46-49%) of patients within 2 hours after dosing.</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AXS-07 durably relieved migraine pain with 85% (range: 84-86%) of patients free from rescue medication use through 24 hours, and 83% (range: 82-85%) of patients free</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from rescue medication use through 48 hours after a single administration of AXS-07. Rates of sustained pain relief from 2 to 24 hours and from 2 to 48 hours were 60% (range: 59-62%)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and 59% (58-60%), respectively. Rates of sustained pain freedom from 2 to 24 hours and from 2 to 48 hours were 33% (range: 33-35%) and 32% (range: 32-34%), respectively.</w:t>
      </w:r>
    </w:p>
    <w:p>
      <w:pPr>
        <w:spacing w:after="0" w:line="173" w:lineRule="exact"/>
        <w:rPr>
          <w:sz w:val="20"/>
          <w:szCs w:val="20"/>
          <w:color w:val="auto"/>
        </w:rPr>
      </w:pPr>
    </w:p>
    <w:p>
      <w:pPr>
        <w:ind w:right="60" w:firstLine="751"/>
        <w:spacing w:after="0" w:line="255" w:lineRule="auto"/>
        <w:rPr>
          <w:sz w:val="20"/>
          <w:szCs w:val="20"/>
          <w:color w:val="auto"/>
        </w:rPr>
      </w:pPr>
      <w:r>
        <w:rPr>
          <w:rFonts w:ascii="Arial" w:cs="Arial" w:eastAsia="Arial" w:hAnsi="Arial"/>
          <w:sz w:val="15"/>
          <w:szCs w:val="15"/>
          <w:color w:val="auto"/>
        </w:rPr>
        <w:t>AXS-07 was well tolerated with long-term dosing. The safety profile of AXS-07 over the 12-month treatment period was consistent with that previously reported in short-term controlled trials. The most commonly reported adverse events (≥3%) were nausea, dizziness, and vomiting.</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AXS-12</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74" w:lineRule="exact"/>
        <w:rPr>
          <w:sz w:val="20"/>
          <w:szCs w:val="20"/>
          <w:color w:val="auto"/>
        </w:rPr>
      </w:pPr>
    </w:p>
    <w:p>
      <w:pPr>
        <w:jc w:val="both"/>
        <w:ind w:firstLine="751"/>
        <w:spacing w:after="0" w:line="255" w:lineRule="auto"/>
        <w:rPr>
          <w:sz w:val="20"/>
          <w:szCs w:val="20"/>
          <w:color w:val="auto"/>
        </w:rPr>
      </w:pPr>
      <w:r>
        <w:rPr>
          <w:rFonts w:ascii="Arial" w:cs="Arial" w:eastAsia="Arial" w:hAnsi="Arial"/>
          <w:sz w:val="15"/>
          <w:szCs w:val="15"/>
          <w:color w:val="auto"/>
        </w:rPr>
        <w:t>AXS-12, reboxetine, is a novel, oral, investigational medicine that we are initially developing for the treatment of the symptoms of narcolepsy. AXS-12 is a highly selective and potent norepinephrine reuptake inhibitor.</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Narcolepsy</w:t>
      </w:r>
    </w:p>
    <w:p>
      <w:pPr>
        <w:spacing w:after="0" w:line="174" w:lineRule="exact"/>
        <w:rPr>
          <w:sz w:val="20"/>
          <w:szCs w:val="20"/>
          <w:color w:val="auto"/>
        </w:rPr>
      </w:pPr>
    </w:p>
    <w:p>
      <w:pPr>
        <w:ind w:firstLine="751"/>
        <w:spacing w:after="0" w:line="289" w:lineRule="auto"/>
        <w:rPr>
          <w:sz w:val="20"/>
          <w:szCs w:val="20"/>
          <w:color w:val="auto"/>
        </w:rPr>
      </w:pPr>
      <w:r>
        <w:rPr>
          <w:rFonts w:ascii="Arial" w:cs="Arial" w:eastAsia="Arial" w:hAnsi="Arial"/>
          <w:sz w:val="13"/>
          <w:szCs w:val="13"/>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7" w:name="page18"/>
    <w:bookmarkEnd w:id="1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60" w:firstLine="751"/>
        <w:spacing w:after="0" w:line="260" w:lineRule="auto"/>
        <w:rPr>
          <w:sz w:val="20"/>
          <w:szCs w:val="20"/>
          <w:color w:val="auto"/>
        </w:rPr>
      </w:pPr>
      <w:r>
        <w:rPr>
          <w:rFonts w:ascii="Arial" w:cs="Arial" w:eastAsia="Arial" w:hAnsi="Arial"/>
          <w:sz w:val="14"/>
          <w:szCs w:val="14"/>
          <w:color w:val="auto"/>
        </w:rPr>
        <w:t>In October 2018, we received Orphan Drug Designation from the FDA for AXS-12 for the treatment of narcolepsy. In January 2020, we entered into an exclusive license agreement with Pfizer Inc. for Pfizer’s clinical and nonclinical data, and intellectual property for reboxetine, the active pharmaceutical ingredient in AXS-12. In September 2020, we announced the Phase 2 CONCERT study and a single Phase 3 study would be sufficient to support the filing of an NDA. In July 2021, we announced that we were notified by the FDA that the FDA has rescinded our Breakthrough Therapy Designation for our AXS-12 product candidate for the treatment of cataplexy in narcolepsy, due to the FDA approving an additional drug product for the treatment of cataplexy in narcolepsy subsequent to granting AXS-12 Breakthrough Therapy Designation.</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CONCERT Study</w:t>
      </w:r>
    </w:p>
    <w:p>
      <w:pPr>
        <w:spacing w:after="0" w:line="174" w:lineRule="exact"/>
        <w:rPr>
          <w:sz w:val="20"/>
          <w:szCs w:val="20"/>
          <w:color w:val="auto"/>
        </w:rPr>
      </w:pPr>
    </w:p>
    <w:p>
      <w:pPr>
        <w:ind w:right="520" w:firstLine="751"/>
        <w:spacing w:after="0" w:line="255" w:lineRule="auto"/>
        <w:rPr>
          <w:sz w:val="20"/>
          <w:szCs w:val="20"/>
          <w:color w:val="auto"/>
        </w:rPr>
      </w:pPr>
      <w:r>
        <w:rPr>
          <w:rFonts w:ascii="Arial" w:cs="Arial" w:eastAsia="Arial" w:hAnsi="Arial"/>
          <w:sz w:val="15"/>
          <w:szCs w:val="15"/>
          <w:color w:val="auto"/>
        </w:rPr>
        <w:t>In January 2019, we initiated the CONCERT study to evaluate the efficacy and safety of AXS-12 in narcolepsy. In December 2019, we announced that AXS-12 met the prespecified primary endpoint and significantly reduced the total number of cataplexy attacks in the CONCERT trial.</w:t>
      </w:r>
    </w:p>
    <w:p>
      <w:pPr>
        <w:spacing w:after="0" w:line="147" w:lineRule="exact"/>
        <w:rPr>
          <w:sz w:val="20"/>
          <w:szCs w:val="20"/>
          <w:color w:val="auto"/>
        </w:rPr>
      </w:pPr>
    </w:p>
    <w:p>
      <w:pPr>
        <w:ind w:right="160" w:firstLine="751"/>
        <w:spacing w:after="0" w:line="331" w:lineRule="auto"/>
        <w:rPr>
          <w:sz w:val="20"/>
          <w:szCs w:val="20"/>
          <w:color w:val="auto"/>
        </w:rPr>
      </w:pPr>
      <w:r>
        <w:rPr>
          <w:rFonts w:ascii="Arial" w:cs="Arial" w:eastAsia="Arial" w:hAnsi="Arial"/>
          <w:sz w:val="13"/>
          <w:szCs w:val="13"/>
          <w:color w:val="auto"/>
        </w:rPr>
        <w:t>CONCERT was a Phase 2, randomized, double-blind, placebo-controlled, crossover, multicenter, U.S. trial in which 21 patients with a diagnosis of narcolepsy with cataplexy were all treated with orally administered AXS-12 for 2 weeks, and with placebo for 2 weeks, with the treatment periods separated by 1 week of down-titration and washout.</w:t>
      </w:r>
    </w:p>
    <w:p>
      <w:pPr>
        <w:spacing w:after="0" w:line="101" w:lineRule="exact"/>
        <w:rPr>
          <w:sz w:val="20"/>
          <w:szCs w:val="20"/>
          <w:color w:val="auto"/>
        </w:rPr>
      </w:pPr>
    </w:p>
    <w:p>
      <w:pPr>
        <w:ind w:right="100" w:firstLine="751"/>
        <w:spacing w:after="0" w:line="260" w:lineRule="auto"/>
        <w:rPr>
          <w:sz w:val="20"/>
          <w:szCs w:val="20"/>
          <w:color w:val="auto"/>
        </w:rPr>
      </w:pPr>
      <w:r>
        <w:rPr>
          <w:rFonts w:ascii="Arial" w:cs="Arial" w:eastAsia="Arial" w:hAnsi="Arial"/>
          <w:sz w:val="14"/>
          <w:szCs w:val="14"/>
          <w:color w:val="auto"/>
        </w:rPr>
        <w:t>AXS-12 met the prespecified primary endpoint by demonstrating a highly statistically significant reduction from baseline in the mean weekly number of cataplexy attacks, averaged for the 2-week treatment period, the overall treatment effect, as compared to placebo (p&lt;0.001). At Week 2, AXS-12 demonstrated a mean reduction of 14.6 cataplexy attacks per week compared to a reduction of 2.6 attacks per week for placebo (p=0.002), representing mean reductions of 48.8% and 8.6% from baseline, respectively. The proportion of patients achieving a 50% or greater reduction in the weekly number of cataplexy attacks was 76.2% for AXS-12, compared to 30.0% for placebo (p=0.003) at Week 2. The improvement in cataplexy was rapid with AXS-12 demonstrating significant benefit over placebo as early as Week 1 (p&lt;0.001).</w:t>
      </w:r>
    </w:p>
    <w:p>
      <w:pPr>
        <w:spacing w:after="0" w:line="144" w:lineRule="exact"/>
        <w:rPr>
          <w:sz w:val="20"/>
          <w:szCs w:val="20"/>
          <w:color w:val="auto"/>
        </w:rPr>
      </w:pPr>
    </w:p>
    <w:p>
      <w:pPr>
        <w:ind w:right="60" w:firstLine="751"/>
        <w:spacing w:after="0" w:line="289" w:lineRule="auto"/>
        <w:rPr>
          <w:sz w:val="20"/>
          <w:szCs w:val="20"/>
          <w:color w:val="auto"/>
        </w:rPr>
      </w:pPr>
      <w:r>
        <w:rPr>
          <w:rFonts w:ascii="Arial" w:cs="Arial" w:eastAsia="Arial" w:hAnsi="Arial"/>
          <w:sz w:val="13"/>
          <w:szCs w:val="13"/>
          <w:color w:val="auto"/>
        </w:rPr>
        <w:t>AXS-12 significantly improved EDS symptoms compared to placebo, as measured by the Epworth Sleepiness Scale, or ESS, and by the frequency of inadvertent naps. The improvement on the ESS with AXS-12 treatment was twice that observed with placebo, with reductions from baseline in the ESS score of 6.0 and 3.1, respectively for AXS-12 and placebo (p=0.003). AXS-12 treatment resulted in a 31.8% mean reduction from baseline in the average weekly number of inadvertent naps versus a 5.3% mean reduction for placebo (p&lt;0.001) at Week 2. The improvement in frequency of inadvertent naps was rapid with AXS-12 demonstrating significant benefit over placebo as early as Week 1 (p=0.038).</w:t>
      </w:r>
    </w:p>
    <w:p>
      <w:pPr>
        <w:spacing w:after="0" w:line="129" w:lineRule="exact"/>
        <w:rPr>
          <w:sz w:val="20"/>
          <w:szCs w:val="20"/>
          <w:color w:val="auto"/>
        </w:rPr>
      </w:pPr>
    </w:p>
    <w:p>
      <w:pPr>
        <w:ind w:right="60" w:firstLine="751"/>
        <w:spacing w:after="0" w:line="289" w:lineRule="auto"/>
        <w:rPr>
          <w:sz w:val="20"/>
          <w:szCs w:val="20"/>
          <w:color w:val="auto"/>
        </w:rPr>
      </w:pPr>
      <w:r>
        <w:rPr>
          <w:rFonts w:ascii="Arial" w:cs="Arial" w:eastAsia="Arial" w:hAnsi="Arial"/>
          <w:sz w:val="13"/>
          <w:szCs w:val="13"/>
          <w:color w:val="auto"/>
        </w:rPr>
        <w:t>AXS-12 significantly improved cognitive function compared to placebo over the 2-week treatment period as measured by the Ability to Concentrate item of the Narcolepsy Symptom Assessment Questionnaire (NSAQ), which was assessed daily (p&lt;0.001). For this assessment, patients rated their ability to concentrate on a 5-point scale (1=very good to 5=very poor). At the end of treatment, 42.9% of patients had an ability to concentrate that was “good” to “very good” with AXS-12 treatment, compared to 25.0% of patients with placebo, and 0% of patients at baseline. The improvement in the ability to concentrate was rapid with AXS-12 demonstrating significant improvement over placebo as early as Week 1 (p=0.007).</w:t>
      </w:r>
    </w:p>
    <w:p>
      <w:pPr>
        <w:spacing w:after="0" w:line="129" w:lineRule="exact"/>
        <w:rPr>
          <w:sz w:val="20"/>
          <w:szCs w:val="20"/>
          <w:color w:val="auto"/>
        </w:rPr>
      </w:pPr>
    </w:p>
    <w:p>
      <w:pPr>
        <w:ind w:firstLine="751"/>
        <w:spacing w:after="0"/>
        <w:rPr>
          <w:sz w:val="20"/>
          <w:szCs w:val="20"/>
          <w:color w:val="auto"/>
        </w:rPr>
      </w:pPr>
      <w:r>
        <w:rPr>
          <w:rFonts w:ascii="Arial" w:cs="Arial" w:eastAsia="Arial" w:hAnsi="Arial"/>
          <w:sz w:val="15"/>
          <w:szCs w:val="15"/>
          <w:color w:val="auto"/>
        </w:rPr>
        <w:t>AXS-12 significantly improved sleep quality, as measured by overall improvement and by number of awakenings at night, and reduced sleep-related symptoms, as compared to placebo. AXS-12 treatment resulted in 45.0% of patients reporting improved sleep quality versus 5.3% of patients with placebo (p=0.007). AXS-12 treatment resulted in 30.0% of patients reporting a reduction in the number of awakenings at night versus 5.3% of patients with placebo (p=0.044). AXS-12 treatment also resulted in greater proportions of patients with reductions in sleep paralysis episodes, and in hypnagogic hallucinations, as compared to placebo (p=ns).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AXS-12 was well tolerated in the trial. The most commonly reported adverse events with AXS-12 treatment were anxiety, constipation, and insomnia.</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SYMPHONY Study</w:t>
      </w:r>
    </w:p>
    <w:p>
      <w:pPr>
        <w:spacing w:after="0" w:line="163" w:lineRule="exact"/>
        <w:rPr>
          <w:sz w:val="20"/>
          <w:szCs w:val="20"/>
          <w:color w:val="auto"/>
        </w:rPr>
      </w:pPr>
    </w:p>
    <w:p>
      <w:pPr>
        <w:ind w:right="300" w:firstLine="751"/>
        <w:spacing w:after="0" w:line="255" w:lineRule="auto"/>
        <w:rPr>
          <w:sz w:val="20"/>
          <w:szCs w:val="20"/>
          <w:color w:val="auto"/>
        </w:rPr>
      </w:pPr>
      <w:r>
        <w:rPr>
          <w:rFonts w:ascii="Arial" w:cs="Arial" w:eastAsia="Arial" w:hAnsi="Arial"/>
          <w:sz w:val="15"/>
          <w:szCs w:val="15"/>
          <w:color w:val="auto"/>
        </w:rPr>
        <w:t>In September 2021, we enrolled the first patient in SYMPHONY (Study Evaluating a Mechanistic Approach to Treating Narcolepsy), a Phase 3, randomized, double-blind, placebo-controlled trial of AXS-12 in patients with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8" w:name="page19"/>
    <w:bookmarkEnd w:id="1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narcolepsy. Topline results from the SYMPHONY trial are anticipated in the first half of 2023. Approximately 90 patients will be randomized in a 1:1 ratio to treatment with AXS-12 or placebo for 5 weeks. The primary endpoint will be the frequency of cataplexy attacks. Other symptoms of narcolepsy as well as safety will be assessed throughout the study.</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AXS-14</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74" w:lineRule="exact"/>
        <w:rPr>
          <w:sz w:val="20"/>
          <w:szCs w:val="20"/>
          <w:color w:val="auto"/>
        </w:rPr>
      </w:pPr>
    </w:p>
    <w:p>
      <w:pPr>
        <w:ind w:right="600" w:firstLine="751"/>
        <w:spacing w:after="0" w:line="255" w:lineRule="auto"/>
        <w:rPr>
          <w:sz w:val="20"/>
          <w:szCs w:val="20"/>
          <w:color w:val="auto"/>
        </w:rPr>
      </w:pPr>
      <w:r>
        <w:rPr>
          <w:rFonts w:ascii="Arial" w:cs="Arial" w:eastAsia="Arial" w:hAnsi="Arial"/>
          <w:sz w:val="15"/>
          <w:szCs w:val="15"/>
          <w:color w:val="auto"/>
        </w:rPr>
        <w:t xml:space="preserve">AXS-14, esreboxetine, is a highly selective and potent norepinephrine reuptake inhibitor for the treatment of fibromyalgia and other conditions. Esreboxetine, the </w:t>
      </w:r>
      <w:r>
        <w:rPr>
          <w:rFonts w:ascii="Arial" w:cs="Arial" w:eastAsia="Arial" w:hAnsi="Arial"/>
          <w:sz w:val="15"/>
          <w:szCs w:val="15"/>
          <w:i w:val="1"/>
          <w:iCs w:val="1"/>
          <w:color w:val="auto"/>
        </w:rPr>
        <w:t>SS</w:t>
      </w:r>
      <w:r>
        <w:rPr>
          <w:rFonts w:ascii="Arial" w:cs="Arial" w:eastAsia="Arial" w:hAnsi="Arial"/>
          <w:sz w:val="15"/>
          <w:szCs w:val="15"/>
          <w:color w:val="auto"/>
        </w:rPr>
        <w:t>-enantiomer of reboxetine, is more potent and selective than racemic reboxetine.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Fibromyalgia</w:t>
      </w:r>
    </w:p>
    <w:p>
      <w:pPr>
        <w:spacing w:after="0" w:line="174" w:lineRule="exact"/>
        <w:rPr>
          <w:sz w:val="20"/>
          <w:szCs w:val="20"/>
          <w:color w:val="auto"/>
        </w:rPr>
      </w:pPr>
    </w:p>
    <w:p>
      <w:pPr>
        <w:ind w:right="20" w:firstLine="751"/>
        <w:spacing w:after="0" w:line="300" w:lineRule="auto"/>
        <w:rPr>
          <w:sz w:val="20"/>
          <w:szCs w:val="20"/>
          <w:color w:val="auto"/>
        </w:rPr>
      </w:pPr>
      <w:r>
        <w:rPr>
          <w:rFonts w:ascii="Arial" w:cs="Arial" w:eastAsia="Arial" w:hAnsi="Arial"/>
          <w:sz w:val="13"/>
          <w:szCs w:val="13"/>
          <w:color w:val="auto"/>
        </w:rPr>
        <w:t>Fibromyalgia is a chronic disorder often characterized by widespread pain, fatigue, disturbed sleep, depression, and cognitive impairment. Other symptoms of this disorder can include tingling in the hands and feet and headaches. Fibromyalgia is considered to be mediated mainly in the central nervous system. Approximately 5 million Americans, 90% of whom are women, are estimated to suffer from fibromyalgia. Treatment options for fibromyalgia are limited with only three pharmacologic treatments currently approved by the FDA.</w:t>
      </w:r>
    </w:p>
    <w:p>
      <w:pPr>
        <w:spacing w:after="0" w:line="121" w:lineRule="exact"/>
        <w:rPr>
          <w:sz w:val="20"/>
          <w:szCs w:val="20"/>
          <w:color w:val="auto"/>
        </w:rPr>
      </w:pPr>
    </w:p>
    <w:p>
      <w:pPr>
        <w:jc w:val="both"/>
        <w:ind w:right="280" w:firstLine="751"/>
        <w:spacing w:after="0" w:line="244" w:lineRule="auto"/>
        <w:rPr>
          <w:sz w:val="20"/>
          <w:szCs w:val="20"/>
          <w:color w:val="auto"/>
        </w:rPr>
      </w:pPr>
      <w:r>
        <w:rPr>
          <w:rFonts w:ascii="Arial" w:cs="Arial" w:eastAsia="Arial" w:hAnsi="Arial"/>
          <w:sz w:val="15"/>
          <w:szCs w:val="15"/>
          <w:color w:val="auto"/>
        </w:rPr>
        <w:t>In January 2020, Axsome received from Pfizer an exclusive license to develop and commercialize esreboxetine in the U.S. for fibromyalgia and all other indications. The license encompasses nonclinical and clinical data for esreboxetine including results from a positive Phase 3 and a positive Phase 2 trial of esreboxetine in the treatment of fibromyalgia conducted by Pfizer.</w:t>
      </w:r>
    </w:p>
    <w:p>
      <w:pPr>
        <w:spacing w:after="0" w:line="155"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In a Phase 3 trial conducted by Pfizer in 1,122 patients with fibromyalgia treated with esreboxetine or placebo for 14 weeks, the study met the two primary endpoints demonstrating statistically significant improvements compared to placebo in the weekly mean pain score (p&lt;0.001, p&lt;0.001, and p=0.025, for 4 mg, 8 mg and 10 mg daily doses, respectively), and the Fibromyalgia Impact Questionnaire, or FIQ, total score (p&lt;0.001, p&lt;0.001, and p=0.023, for 4 mg, 8 mg and 10 mg doses, respectively). Esreboxetine also resulted in statistically significant improvements as compared to placebo on the PGI-C scale (p=0.002, p=0.001, and p=0.007, for 4 mg, 8 mg and 10 mg doses, respectively), and in fatigue as measured using the Global Fatigue Index (p=0.001 and p=0.001, for 4 mg and 8 mg daily doses, respectively).</w:t>
      </w:r>
    </w:p>
    <w:p>
      <w:pPr>
        <w:spacing w:after="0" w:line="161" w:lineRule="exact"/>
        <w:rPr>
          <w:sz w:val="20"/>
          <w:szCs w:val="20"/>
          <w:color w:val="auto"/>
        </w:rPr>
      </w:pPr>
    </w:p>
    <w:p>
      <w:pPr>
        <w:ind w:right="100" w:firstLine="751"/>
        <w:spacing w:after="0"/>
        <w:rPr>
          <w:sz w:val="20"/>
          <w:szCs w:val="20"/>
          <w:color w:val="auto"/>
        </w:rPr>
      </w:pPr>
      <w:r>
        <w:rPr>
          <w:rFonts w:ascii="Arial" w:cs="Arial" w:eastAsia="Arial" w:hAnsi="Arial"/>
          <w:sz w:val="15"/>
          <w:szCs w:val="15"/>
          <w:color w:val="auto"/>
        </w:rPr>
        <w:t>In a Phase 2 trial conducted by Pfizer in 267 patients with fibromyalgia treated with esreboxetine (dose escalated to 8 mg/day) or placebo for 8 weeks, esreboxetine met its primary endpoint demonstrating statistically significant improvements compared to placebo in the weekly mean pain score (p=0.006). The study also demonstrated statistically significant improvements in additional efficacy outcomes including the FIQ total score (p&lt;0.001), the PGIC scale (p&lt;0.001), and fatigue as measured using the Multidimensional Assessment of Fatigue scale (p&lt;0.001).</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plan to file an NDA in 2023 for AXS-14 for the treatment of fibromyalgia.</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Pain and Primary Care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continue to own and maintain the intellectual property covering our pain and primary care assets that we are not currently developing.</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Commercial Agreements</w:t>
      </w:r>
    </w:p>
    <w:p>
      <w:pPr>
        <w:spacing w:after="0" w:line="178" w:lineRule="exact"/>
        <w:rPr>
          <w:sz w:val="20"/>
          <w:szCs w:val="20"/>
          <w:color w:val="auto"/>
        </w:rPr>
      </w:pPr>
    </w:p>
    <w:p>
      <w:pPr>
        <w:ind w:right="400" w:firstLine="751"/>
        <w:spacing w:after="0" w:line="178" w:lineRule="exact"/>
        <w:rPr>
          <w:sz w:val="20"/>
          <w:szCs w:val="20"/>
          <w:color w:val="auto"/>
        </w:rPr>
      </w:pPr>
      <w:r>
        <w:rPr>
          <w:rFonts w:ascii="Arial" w:cs="Arial" w:eastAsia="Arial" w:hAnsi="Arial"/>
          <w:sz w:val="13"/>
          <w:szCs w:val="13"/>
          <w:color w:val="auto"/>
        </w:rPr>
        <w:t>We have customary clinical supply agreements and customary agreements with clinical research organizations to help manage our clinical trials. Each of our commercial agreements are non</w:t>
      </w:r>
      <w:r>
        <w:rPr>
          <w:rFonts w:ascii="MS PGothic" w:cs="MS PGothic" w:eastAsia="MS PGothic" w:hAnsi="MS PGothic"/>
          <w:sz w:val="13"/>
          <w:szCs w:val="13"/>
          <w:color w:val="auto"/>
        </w:rPr>
        <w:t>‑</w:t>
      </w:r>
      <w:r>
        <w:rPr>
          <w:rFonts w:ascii="Arial" w:cs="Arial" w:eastAsia="Arial" w:hAnsi="Arial"/>
          <w:sz w:val="13"/>
          <w:szCs w:val="13"/>
          <w:color w:val="auto"/>
        </w:rPr>
        <w:t>exclusive, and we have no material contractual obligations under such agreements, except to the extent we order supply or request services to be performed.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19" w:name="page20"/>
    <w:bookmarkEnd w:id="1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License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Exclusive License Agreement with Pfizer</w:t>
      </w:r>
    </w:p>
    <w:p>
      <w:pPr>
        <w:spacing w:after="0" w:line="174" w:lineRule="exact"/>
        <w:rPr>
          <w:sz w:val="20"/>
          <w:szCs w:val="20"/>
          <w:color w:val="auto"/>
        </w:rPr>
      </w:pPr>
    </w:p>
    <w:p>
      <w:pPr>
        <w:ind w:firstLine="751"/>
        <w:spacing w:after="0" w:line="252" w:lineRule="auto"/>
        <w:rPr>
          <w:sz w:val="20"/>
          <w:szCs w:val="20"/>
          <w:color w:val="auto"/>
        </w:rPr>
      </w:pPr>
      <w:r>
        <w:rPr>
          <w:rFonts w:ascii="Arial" w:cs="Arial" w:eastAsia="Arial" w:hAnsi="Arial"/>
          <w:sz w:val="14"/>
          <w:szCs w:val="14"/>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 million, based on the average closing price of our common stock for the 10 prior trading days of $97.538, in consideration for the license and rights. Pfizer also received an upfront cash payment of $3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seeking and maintaining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Exclusive License Agreements with Antecip</w:t>
      </w:r>
    </w:p>
    <w:p>
      <w:pPr>
        <w:spacing w:after="0" w:line="174" w:lineRule="exact"/>
        <w:rPr>
          <w:sz w:val="20"/>
          <w:szCs w:val="20"/>
          <w:color w:val="auto"/>
        </w:rPr>
      </w:pPr>
    </w:p>
    <w:p>
      <w:pPr>
        <w:ind w:right="60" w:firstLine="751"/>
        <w:spacing w:after="0" w:line="170" w:lineRule="exact"/>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w:t>
      </w:r>
      <w:r>
        <w:rPr>
          <w:rFonts w:ascii="MS PGothic" w:cs="MS PGothic" w:eastAsia="MS PGothic" w:hAnsi="MS PGothic"/>
          <w:sz w:val="14"/>
          <w:szCs w:val="14"/>
          <w:color w:val="auto"/>
        </w:rPr>
        <w:t>‑</w:t>
      </w:r>
      <w:r>
        <w:rPr>
          <w:rFonts w:ascii="Arial" w:cs="Arial" w:eastAsia="Arial" w:hAnsi="Arial"/>
          <w:sz w:val="14"/>
          <w:szCs w:val="14"/>
          <w:color w:val="auto"/>
        </w:rPr>
        <w:t>05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w:t>
      </w:r>
      <w:r>
        <w:rPr>
          <w:rFonts w:ascii="MS PGothic" w:cs="MS PGothic" w:eastAsia="MS PGothic" w:hAnsi="MS PGothic"/>
          <w:sz w:val="14"/>
          <w:szCs w:val="14"/>
          <w:color w:val="auto"/>
        </w:rPr>
        <w:t>‑</w:t>
      </w:r>
      <w:r>
        <w:rPr>
          <w:rFonts w:ascii="Arial" w:cs="Arial" w:eastAsia="Arial" w:hAnsi="Arial"/>
          <w:sz w:val="14"/>
          <w:szCs w:val="14"/>
          <w:color w:val="auto"/>
        </w:rPr>
        <w:t>05. Under the terms of the agreements, we are required to pay to Antecip a royalty equal to 3.0% for AXS</w:t>
      </w:r>
      <w:r>
        <w:rPr>
          <w:rFonts w:ascii="MS PGothic" w:cs="MS PGothic" w:eastAsia="MS PGothic" w:hAnsi="MS PGothic"/>
          <w:sz w:val="14"/>
          <w:szCs w:val="14"/>
          <w:color w:val="auto"/>
        </w:rPr>
        <w:t>‑</w:t>
      </w:r>
      <w:r>
        <w:rPr>
          <w:rFonts w:ascii="Arial" w:cs="Arial" w:eastAsia="Arial" w:hAnsi="Arial"/>
          <w:sz w:val="14"/>
          <w:szCs w:val="14"/>
          <w:color w:val="auto"/>
        </w:rPr>
        <w:t>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w:t>
      </w:r>
      <w:r>
        <w:rPr>
          <w:rFonts w:ascii="MS PGothic" w:cs="MS PGothic" w:eastAsia="MS PGothic" w:hAnsi="MS PGothic"/>
          <w:sz w:val="14"/>
          <w:szCs w:val="14"/>
          <w:color w:val="auto"/>
        </w:rPr>
        <w:t>‑</w:t>
      </w:r>
      <w:r>
        <w:rPr>
          <w:rFonts w:ascii="Arial" w:cs="Arial" w:eastAsia="Arial" w:hAnsi="Arial"/>
          <w:sz w:val="14"/>
          <w:szCs w:val="14"/>
          <w:color w:val="auto"/>
        </w:rPr>
        <w:t>by</w:t>
      </w:r>
      <w:r>
        <w:rPr>
          <w:rFonts w:ascii="MS PGothic" w:cs="MS PGothic" w:eastAsia="MS PGothic" w:hAnsi="MS PGothic"/>
          <w:sz w:val="14"/>
          <w:szCs w:val="14"/>
          <w:color w:val="auto"/>
        </w:rPr>
        <w:t>‑</w:t>
      </w:r>
      <w:r>
        <w:rPr>
          <w:rFonts w:ascii="Arial" w:cs="Arial" w:eastAsia="Arial" w:hAnsi="Arial"/>
          <w:sz w:val="14"/>
          <w:szCs w:val="14"/>
          <w:color w:val="auto"/>
        </w:rPr>
        <w:t>product and country</w:t>
      </w:r>
      <w:r>
        <w:rPr>
          <w:rFonts w:ascii="MS PGothic" w:cs="MS PGothic" w:eastAsia="MS PGothic" w:hAnsi="MS PGothic"/>
          <w:sz w:val="14"/>
          <w:szCs w:val="14"/>
          <w:color w:val="auto"/>
        </w:rPr>
        <w:t>‑</w:t>
      </w:r>
      <w:r>
        <w:rPr>
          <w:rFonts w:ascii="Arial" w:cs="Arial" w:eastAsia="Arial" w:hAnsi="Arial"/>
          <w:sz w:val="14"/>
          <w:szCs w:val="14"/>
          <w:color w:val="auto"/>
        </w:rPr>
        <w:t>by</w:t>
      </w:r>
      <w:r>
        <w:rPr>
          <w:rFonts w:ascii="MS PGothic" w:cs="MS PGothic" w:eastAsia="MS PGothic" w:hAnsi="MS PGothic"/>
          <w:sz w:val="14"/>
          <w:szCs w:val="14"/>
          <w:color w:val="auto"/>
        </w:rPr>
        <w:t>‑</w:t>
      </w:r>
      <w:r>
        <w:rPr>
          <w:rFonts w:ascii="Arial" w:cs="Arial" w:eastAsia="Arial" w:hAnsi="Arial"/>
          <w:sz w:val="14"/>
          <w:szCs w:val="14"/>
          <w:color w:val="auto"/>
        </w:rPr>
        <w:t>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w:t>
      </w:r>
      <w:r>
        <w:rPr>
          <w:rFonts w:ascii="MS PGothic" w:cs="MS PGothic" w:eastAsia="MS PGothic" w:hAnsi="MS PGothic"/>
          <w:sz w:val="14"/>
          <w:szCs w:val="14"/>
          <w:color w:val="auto"/>
        </w:rPr>
        <w:t>‑</w:t>
      </w:r>
      <w:r>
        <w:rPr>
          <w:rFonts w:ascii="Arial" w:cs="Arial" w:eastAsia="Arial" w:hAnsi="Arial"/>
          <w:sz w:val="14"/>
          <w:szCs w:val="14"/>
          <w:color w:val="auto"/>
        </w:rPr>
        <w:t>up, royalty</w:t>
      </w:r>
      <w:r>
        <w:rPr>
          <w:rFonts w:ascii="MS PGothic" w:cs="MS PGothic" w:eastAsia="MS PGothic" w:hAnsi="MS PGothic"/>
          <w:sz w:val="14"/>
          <w:szCs w:val="14"/>
          <w:color w:val="auto"/>
        </w:rPr>
        <w:t>‑</w:t>
      </w:r>
      <w:r>
        <w:rPr>
          <w:rFonts w:ascii="Arial" w:cs="Arial" w:eastAsia="Arial" w:hAnsi="Arial"/>
          <w:sz w:val="14"/>
          <w:szCs w:val="14"/>
          <w:color w:val="auto"/>
        </w:rPr>
        <w:t>free, perpetual non</w:t>
      </w:r>
      <w:r>
        <w:rPr>
          <w:rFonts w:ascii="MS PGothic" w:cs="MS PGothic" w:eastAsia="MS PGothic" w:hAnsi="MS PGothic"/>
          <w:sz w:val="14"/>
          <w:szCs w:val="14"/>
          <w:color w:val="auto"/>
        </w:rPr>
        <w:t>‑</w:t>
      </w:r>
      <w:r>
        <w:rPr>
          <w:rFonts w:ascii="Arial" w:cs="Arial" w:eastAsia="Arial" w:hAnsi="Arial"/>
          <w:sz w:val="14"/>
          <w:szCs w:val="14"/>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78" w:lineRule="exact"/>
        <w:rPr>
          <w:sz w:val="20"/>
          <w:szCs w:val="20"/>
          <w:color w:val="auto"/>
        </w:rPr>
      </w:pPr>
    </w:p>
    <w:p>
      <w:pPr>
        <w:ind w:right="220" w:firstLine="751"/>
        <w:spacing w:after="0" w:line="263" w:lineRule="auto"/>
        <w:rPr>
          <w:sz w:val="20"/>
          <w:szCs w:val="20"/>
          <w:color w:val="auto"/>
        </w:rPr>
      </w:pPr>
      <w:r>
        <w:rPr>
          <w:rFonts w:ascii="Arial" w:cs="Arial" w:eastAsia="Arial" w:hAnsi="Arial"/>
          <w:sz w:val="14"/>
          <w:szCs w:val="14"/>
          <w:color w:val="auto"/>
        </w:rPr>
        <w:t>We seek to protect our product candidates and our technology through a combination of patents, trade secrets, proprietary know-how,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0" w:name="page21"/>
    <w:bookmarkEnd w:id="2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0" w:firstLine="751"/>
        <w:spacing w:after="0" w:line="170" w:lineRule="exact"/>
        <w:rPr>
          <w:sz w:val="20"/>
          <w:szCs w:val="20"/>
          <w:color w:val="auto"/>
        </w:rPr>
      </w:pPr>
      <w:r>
        <w:rPr>
          <w:rFonts w:ascii="Arial" w:cs="Arial" w:eastAsia="Arial" w:hAnsi="Arial"/>
          <w:sz w:val="14"/>
          <w:szCs w:val="14"/>
          <w:color w:val="auto"/>
        </w:rPr>
        <w:t>As of February 22, 2022, our intellectual property portfolio contains 192 issued patents and more than 165 pending applications in the United States and worldwide. More than fifty issued United States patents and more than 40 issued foreign patents covering our AXS</w:t>
      </w:r>
      <w:r>
        <w:rPr>
          <w:rFonts w:ascii="MS PGothic" w:cs="MS PGothic" w:eastAsia="MS PGothic" w:hAnsi="MS PGothic"/>
          <w:sz w:val="14"/>
          <w:szCs w:val="14"/>
          <w:color w:val="auto"/>
        </w:rPr>
        <w:t>‑</w:t>
      </w:r>
      <w:r>
        <w:rPr>
          <w:rFonts w:ascii="Arial" w:cs="Arial" w:eastAsia="Arial" w:hAnsi="Arial"/>
          <w:sz w:val="14"/>
          <w:szCs w:val="14"/>
          <w:color w:val="auto"/>
        </w:rPr>
        <w:t>05 product candidate has claims covering method of treatment, pharmaceutical composition, drug delivery, and pharmacokinetics with protection extending through 2034, and 2040. More than forty issued United States patents and more than 40 issued foreign patents covering our AXS</w:t>
      </w:r>
      <w:r>
        <w:rPr>
          <w:rFonts w:ascii="MS PGothic" w:cs="MS PGothic" w:eastAsia="MS PGothic" w:hAnsi="MS PGothic"/>
          <w:sz w:val="14"/>
          <w:szCs w:val="14"/>
          <w:color w:val="auto"/>
        </w:rPr>
        <w:t>‑</w:t>
      </w:r>
      <w:r>
        <w:rPr>
          <w:rFonts w:ascii="Arial" w:cs="Arial" w:eastAsia="Arial" w:hAnsi="Arial"/>
          <w:sz w:val="14"/>
          <w:szCs w:val="14"/>
          <w:color w:val="auto"/>
        </w:rPr>
        <w:t>07 product candidate, and related compounds, have claims covering various aspects, including pharmacokinetics, pharmaceutical composition, method of delivery, and methods of use with protection extending through 2036. Three issued United States patents covering our AXS</w:t>
      </w:r>
      <w:r>
        <w:rPr>
          <w:rFonts w:ascii="MS PGothic" w:cs="MS PGothic" w:eastAsia="MS PGothic" w:hAnsi="MS PGothic"/>
          <w:sz w:val="14"/>
          <w:szCs w:val="14"/>
          <w:color w:val="auto"/>
        </w:rPr>
        <w:t>‑</w:t>
      </w:r>
      <w:r>
        <w:rPr>
          <w:rFonts w:ascii="Arial" w:cs="Arial" w:eastAsia="Arial" w:hAnsi="Arial"/>
          <w:sz w:val="14"/>
          <w:szCs w:val="14"/>
          <w:color w:val="auto"/>
        </w:rPr>
        <w:t>12 product candidate with protection extending through 2039. We have pending PCT applications, as well as pending applications in Australia, Brazil, Belize, Canada, Chile, China, Colombia, Costa Rica, Ecuador, El Salvador, Europe, Guatemala, Honduras, Hong Kong, Israel, Japan, Malaysia, Mexico, Nicaragua, Panama, Peru, Singapore, South Korea, and New Zealand. We have other patent applications with claims covering the other programs in our pipeline, including those that are not relevant to our current programs in development. We have licensed the patents and pending applications which cover AXS</w:t>
      </w:r>
      <w:r>
        <w:rPr>
          <w:rFonts w:ascii="MS PGothic" w:cs="MS PGothic" w:eastAsia="MS PGothic" w:hAnsi="MS PGothic"/>
          <w:sz w:val="14"/>
          <w:szCs w:val="14"/>
          <w:color w:val="auto"/>
        </w:rPr>
        <w:t>‑</w:t>
      </w:r>
      <w:r>
        <w:rPr>
          <w:rFonts w:ascii="Arial" w:cs="Arial" w:eastAsia="Arial" w:hAnsi="Arial"/>
          <w:sz w:val="14"/>
          <w:szCs w:val="14"/>
          <w:color w:val="auto"/>
        </w:rPr>
        <w:t>05 from Antecip. All of the other components of our intellectual property portfolio are owned by us.</w:t>
      </w:r>
    </w:p>
    <w:p>
      <w:pPr>
        <w:spacing w:after="0" w:line="159" w:lineRule="exact"/>
        <w:rPr>
          <w:sz w:val="20"/>
          <w:szCs w:val="20"/>
          <w:color w:val="auto"/>
        </w:rPr>
      </w:pPr>
    </w:p>
    <w:p>
      <w:pPr>
        <w:ind w:firstLine="751"/>
        <w:spacing w:after="0" w:line="272" w:lineRule="auto"/>
        <w:rPr>
          <w:sz w:val="20"/>
          <w:szCs w:val="20"/>
          <w:color w:val="auto"/>
        </w:rPr>
      </w:pPr>
      <w:r>
        <w:rPr>
          <w:rFonts w:ascii="Arial" w:cs="Arial" w:eastAsia="Arial" w:hAnsi="Arial"/>
          <w:sz w:val="13"/>
          <w:szCs w:val="13"/>
          <w:color w:val="auto"/>
        </w:rPr>
        <w:t>Many pharmaceutical companies, biotechnology companies, and academic institutions are competing with us in the field of CNS disorders and filing patent applications potentially relevant to our business. In order to contend with the inevitable possibility of third-party intellectual property conflicts, from time to time we review and assess the third-party intellectual property landscape for competitive and other developments that may inform or impact our intellectual property development and commercialization strategies. With respect to third-party intellectual property, it is impossible to establish with certainty that our product candidates or discovery platform will be free of claims by third- party intellectual property holders or whether we will require licenses from such third parties.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If the third-party patent owner disagrees with our conclusion and we continue with the business activity in question, we might have patent litigation forced upon us. Alternatively, we might decide to initiate litigation in an attempt to have a court declare the third 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 how, and continuing technological innovation to develop and maintain a competitive position. We seek to protect our proprietary information, including our trade secrets and proprietary know 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Sales and Marketing</w:t>
      </w:r>
    </w:p>
    <w:p>
      <w:pPr>
        <w:spacing w:after="0" w:line="178" w:lineRule="exact"/>
        <w:rPr>
          <w:sz w:val="20"/>
          <w:szCs w:val="20"/>
          <w:color w:val="auto"/>
        </w:rPr>
      </w:pPr>
    </w:p>
    <w:p>
      <w:pPr>
        <w:ind w:right="20" w:firstLine="751"/>
        <w:spacing w:after="0" w:line="279" w:lineRule="auto"/>
        <w:rPr>
          <w:sz w:val="20"/>
          <w:szCs w:val="20"/>
          <w:color w:val="auto"/>
        </w:rPr>
      </w:pPr>
      <w:r>
        <w:rPr>
          <w:rFonts w:ascii="Arial" w:cs="Arial" w:eastAsia="Arial" w:hAnsi="Arial"/>
          <w:sz w:val="13"/>
          <w:szCs w:val="13"/>
          <w:color w:val="auto"/>
        </w:rPr>
        <w:t>We intend to build a commercial infrastructure in the United States in advance of anticipated drug approval of our product candidates. We believe that we can cost effectively implement a targeted sales force required to commercialize our products, if approved, in the United States. Support for this team will include sales management, internal sales support, distribution support, and an internal marketing group. Additional requisite capabilities will include Value and Access inclusive of focused management of key accounts such as managed care organizations, group purchasing organizations, and government accounts. We may seek co-promotion partners for our sales efforts to achieve broader reach or call frequency with other United States target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21" w:name="page22"/>
    <w:bookmarkEnd w:id="2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implement this infrastructure, we will have to allocate management resources and make significant financial investments including some prior to product approval.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51" w:lineRule="exact"/>
        <w:rPr>
          <w:sz w:val="20"/>
          <w:szCs w:val="20"/>
          <w:color w:val="auto"/>
        </w:rPr>
      </w:pPr>
    </w:p>
    <w:p>
      <w:pPr>
        <w:ind w:right="40" w:firstLine="751"/>
        <w:spacing w:after="0" w:line="149" w:lineRule="exact"/>
        <w:rPr>
          <w:sz w:val="20"/>
          <w:szCs w:val="20"/>
          <w:color w:val="auto"/>
        </w:rPr>
      </w:pPr>
      <w:r>
        <w:rPr>
          <w:rFonts w:ascii="Arial" w:cs="Arial" w:eastAsia="Arial" w:hAnsi="Arial"/>
          <w:sz w:val="14"/>
          <w:szCs w:val="14"/>
          <w:color w:val="auto"/>
        </w:rPr>
        <w:t>Our industry is highly competitive and subject to rapid and significant technological change. The large size and expanding scope of the CNS markets make them attractive therapeutic areas for biopharmaceutical businesses. Our potential competitors include pharmaceutical, biotechnology, and specialty pharmaceutical companies.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convenience, price, the level of branded and generic competition, and the availability of reimbursement from government and other third</w:t>
      </w:r>
      <w:r>
        <w:rPr>
          <w:rFonts w:ascii="MS PGothic" w:cs="MS PGothic" w:eastAsia="MS PGothic" w:hAnsi="MS PGothic"/>
          <w:sz w:val="14"/>
          <w:szCs w:val="14"/>
          <w:color w:val="auto"/>
        </w:rPr>
        <w:t>‑</w:t>
      </w:r>
      <w:r>
        <w:rPr>
          <w:rFonts w:ascii="Arial" w:cs="Arial" w:eastAsia="Arial" w:hAnsi="Arial"/>
          <w:sz w:val="14"/>
          <w:szCs w:val="14"/>
          <w:color w:val="auto"/>
        </w:rPr>
        <w:t>party payors.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CNS Product Candidates</w:t>
      </w:r>
    </w:p>
    <w:p>
      <w:pPr>
        <w:spacing w:after="0" w:line="178"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AXS</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05 Competition</w:t>
      </w:r>
    </w:p>
    <w:p>
      <w:pPr>
        <w:spacing w:after="0" w:line="174" w:lineRule="exact"/>
        <w:rPr>
          <w:sz w:val="20"/>
          <w:szCs w:val="20"/>
          <w:color w:val="auto"/>
        </w:rPr>
      </w:pPr>
    </w:p>
    <w:p>
      <w:pPr>
        <w:ind w:right="80" w:firstLine="751"/>
        <w:spacing w:after="0" w:line="237" w:lineRule="auto"/>
        <w:rPr>
          <w:sz w:val="20"/>
          <w:szCs w:val="20"/>
          <w:color w:val="auto"/>
        </w:rPr>
      </w:pPr>
      <w:r>
        <w:rPr>
          <w:rFonts w:ascii="Arial" w:cs="Arial" w:eastAsia="Arial" w:hAnsi="Arial"/>
          <w:sz w:val="15"/>
          <w:szCs w:val="15"/>
          <w:color w:val="auto"/>
        </w:rPr>
        <w:t>Patients with MDD are typically treated with a variety of anti-depressant medications. Some of these treatments include: Prozac, which is marketed by Eli Lilly and Company; Zoloft, which is marketed by Pfizer, Inc.; Trintellix, which is marketed by Takeda Pharmaceuticals America, Inc and H. Lundbeck A/S; Viibryd, which is marketed by Abbvie; Effexor, which is marketed by Pfizer, Inc.; and Wellbutrin, which is marketed by GlaxoSmithKline. We are aware of several companies developing compounds for the treatment of depression including Relmada Therapeutics, Inc., Sage Therapeutics, Inc. and Minerva Neurosciences. We are aware of other companies working to develop therapeutics for the treatment of agitation associated with AD, including Otsuka Pharmaceutical Co. Ltd., which is working to develop a combination of deuterated dextromethorphan and quinidine for this indication. Products approved for smoking cessation include Chantix, which is marketed by Pfizer, Inc.; Zyban, which is marketed by GlaxoSmithKline; and various nicotine replacement therapies including skin patches, chewing gums, and lozenges.</w:t>
      </w:r>
    </w:p>
    <w:p>
      <w:pPr>
        <w:spacing w:after="0" w:line="159"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AXS</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07 Competition</w:t>
      </w:r>
    </w:p>
    <w:p>
      <w:pPr>
        <w:spacing w:after="0" w:line="174" w:lineRule="exact"/>
        <w:rPr>
          <w:sz w:val="20"/>
          <w:szCs w:val="20"/>
          <w:color w:val="auto"/>
        </w:rPr>
      </w:pPr>
    </w:p>
    <w:p>
      <w:pPr>
        <w:ind w:firstLine="751"/>
        <w:spacing w:after="0" w:line="244" w:lineRule="auto"/>
        <w:rPr>
          <w:sz w:val="20"/>
          <w:szCs w:val="20"/>
          <w:color w:val="auto"/>
        </w:rPr>
      </w:pPr>
      <w:r>
        <w:rPr>
          <w:rFonts w:ascii="Arial" w:cs="Arial" w:eastAsia="Arial" w:hAnsi="Arial"/>
          <w:sz w:val="15"/>
          <w:szCs w:val="15"/>
          <w:color w:val="auto"/>
        </w:rPr>
        <w:t>There are a number of products approved for the acute treatment of migraine including Maxalt, which is marketed by Merck &amp; Co., Inc., Treximet, which is marketed by Pernix Therapeutics Holdings, Inc., Reyvow, which is marketed by Eli Lilly and Company; Nurtec, which is marketed by Biohaven Pharmaceuticals, and Ubrelvy, which is marketed by AbbVie, and Trudhesa which is marketed by Impel.</w:t>
      </w:r>
    </w:p>
    <w:p>
      <w:pPr>
        <w:spacing w:after="0" w:line="155"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AXS</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12 Competition</w:t>
      </w:r>
    </w:p>
    <w:p>
      <w:pPr>
        <w:spacing w:after="0" w:line="174" w:lineRule="exact"/>
        <w:rPr>
          <w:sz w:val="20"/>
          <w:szCs w:val="20"/>
          <w:color w:val="auto"/>
        </w:rPr>
      </w:pPr>
    </w:p>
    <w:p>
      <w:pPr>
        <w:jc w:val="both"/>
        <w:ind w:right="20" w:firstLine="751"/>
        <w:spacing w:after="0" w:line="270" w:lineRule="auto"/>
        <w:rPr>
          <w:sz w:val="20"/>
          <w:szCs w:val="20"/>
          <w:color w:val="auto"/>
        </w:rPr>
      </w:pPr>
      <w:r>
        <w:rPr>
          <w:rFonts w:ascii="Arial" w:cs="Arial" w:eastAsia="Arial" w:hAnsi="Arial"/>
          <w:sz w:val="14"/>
          <w:szCs w:val="14"/>
          <w:color w:val="auto"/>
        </w:rPr>
        <w:t>Products approved to treat the symptoms of narcolepsy include Ritalin, which is marketed by Novartis Pharmaceuticals; Provigil and Nuvigil, which are both marketed by Teva Pharmaceutical Industries Ltd; Xyrem, Xywav and Sunosi, which are all marketed by Jazz Pharmaceuticals plc; and Wakix which is marketed by Harmony Biosciences LLC. We are aware of several companies developing compounds for the treatment of the symptoms of narcolepsy including Avadel Pharmaceuticals plc and Jazz Pharmaceuticals plc.</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22" w:name="page23"/>
    <w:bookmarkEnd w:id="2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AXS-14 Competition</w:t>
      </w:r>
    </w:p>
    <w:p>
      <w:pPr>
        <w:spacing w:after="0" w:line="174" w:lineRule="exact"/>
        <w:rPr>
          <w:sz w:val="20"/>
          <w:szCs w:val="20"/>
          <w:color w:val="auto"/>
        </w:rPr>
      </w:pPr>
    </w:p>
    <w:p>
      <w:pPr>
        <w:ind w:right="240" w:firstLine="751"/>
        <w:spacing w:after="0" w:line="244" w:lineRule="auto"/>
        <w:rPr>
          <w:sz w:val="20"/>
          <w:szCs w:val="20"/>
          <w:color w:val="auto"/>
        </w:rPr>
      </w:pPr>
      <w:r>
        <w:rPr>
          <w:rFonts w:ascii="Arial" w:cs="Arial" w:eastAsia="Arial" w:hAnsi="Arial"/>
          <w:sz w:val="15"/>
          <w:szCs w:val="15"/>
          <w:color w:val="auto"/>
        </w:rPr>
        <w:t>Products approved to treat fibromyalgia include Cymbalta, which is marketed by Eli Lilly and Company; Lyrica, which is marketed by Pfizer, Inc.; and Savella, which is marketed by AbbVie. We are aware of other companies working to develop therapeutics for the treatment of fibromyalgia including Astellas Pharma, Inc.; Aptinyx Inc.; Innovative Med Concepts, Inc.; Teva Pharmaceutical Industries Ltd; and Tonix Pharmaceutical Holding Corp.</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w:t>
      </w:r>
    </w:p>
    <w:p>
      <w:pPr>
        <w:spacing w:after="0" w:line="178" w:lineRule="exact"/>
        <w:rPr>
          <w:sz w:val="20"/>
          <w:szCs w:val="20"/>
          <w:color w:val="auto"/>
        </w:rPr>
      </w:pPr>
    </w:p>
    <w:p>
      <w:pPr>
        <w:ind w:firstLine="751"/>
        <w:spacing w:after="0" w:line="281" w:lineRule="auto"/>
        <w:rPr>
          <w:sz w:val="20"/>
          <w:szCs w:val="20"/>
          <w:color w:val="auto"/>
        </w:rPr>
      </w:pPr>
      <w:r>
        <w:rPr>
          <w:rFonts w:ascii="Arial" w:cs="Arial" w:eastAsia="Arial" w:hAnsi="Arial"/>
          <w:sz w:val="13"/>
          <w:szCs w:val="13"/>
          <w:color w:val="auto"/>
        </w:rPr>
        <w:t>Manufacturing of the drug substance and drug product for our drugs and product candidates are done by third parties and must comply with FDA current good manufacturing practice, or cGMP, regulations. Our product candidates are comprised of synthetic small molecules made through a series of organic chemistry steps starting with commercially available organic chemical raw materials. We do not currently own or operate any manufacturing facilities for the clinical or commercial production of our drug candidates. We conduct manufacturing activities under individual purchase orders with independent contract manufacturing organizations, or CMOs, to supply our clinical trials. We conduct periodic quality audits of their facilities. We believe that our existing suppliers of our product candidate active pharmaceutical ingredients and finished products will be capable of providing sufficient quantities of each to meet our clinical trial supply needs. Other CMOs may be used in the future for clinical supplies and, subject to approval, commercial manufacturing.</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 and Product Approval</w:t>
      </w:r>
    </w:p>
    <w:p>
      <w:pPr>
        <w:spacing w:after="0" w:line="178" w:lineRule="exact"/>
        <w:rPr>
          <w:sz w:val="20"/>
          <w:szCs w:val="20"/>
          <w:color w:val="auto"/>
        </w:rPr>
      </w:pPr>
    </w:p>
    <w:p>
      <w:pPr>
        <w:ind w:right="40" w:firstLine="751"/>
        <w:spacing w:after="0" w:line="276" w:lineRule="auto"/>
        <w:rPr>
          <w:sz w:val="20"/>
          <w:szCs w:val="20"/>
          <w:color w:val="auto"/>
        </w:rPr>
      </w:pPr>
      <w:r>
        <w:rPr>
          <w:rFonts w:ascii="Arial" w:cs="Arial" w:eastAsia="Arial" w:hAnsi="Arial"/>
          <w:sz w:val="13"/>
          <w:szCs w:val="13"/>
          <w:color w:val="auto"/>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adverse event reporting and pharmacovigilance, marketing, import, and export of pharmaceutical products such as those we are developing, and for which we are seeking FDA approval.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FDA Regulation</w:t>
      </w:r>
    </w:p>
    <w:p>
      <w:pPr>
        <w:spacing w:after="0" w:line="174" w:lineRule="exact"/>
        <w:rPr>
          <w:sz w:val="20"/>
          <w:szCs w:val="20"/>
          <w:color w:val="auto"/>
        </w:rPr>
      </w:pPr>
    </w:p>
    <w:p>
      <w:pPr>
        <w:ind w:right="120" w:firstLine="751"/>
        <w:spacing w:after="0" w:line="255" w:lineRule="auto"/>
        <w:rPr>
          <w:sz w:val="20"/>
          <w:szCs w:val="20"/>
          <w:color w:val="auto"/>
        </w:rPr>
      </w:pPr>
      <w:r>
        <w:rPr>
          <w:rFonts w:ascii="Arial" w:cs="Arial" w:eastAsia="Arial" w:hAnsi="Arial"/>
          <w:sz w:val="15"/>
          <w:szCs w:val="15"/>
          <w:color w:val="auto"/>
        </w:rPr>
        <w:t>In the United States, the FDA regulates drugs under the Federal Food, Drug, and Cosmetic Act, or FDCA, and its implementing regulations. The process required by the FDA before product candidates may be marketed in the United States generally involves the following:</w:t>
      </w:r>
    </w:p>
    <w:p>
      <w:pPr>
        <w:spacing w:after="0" w:line="147" w:lineRule="exact"/>
        <w:rPr>
          <w:sz w:val="20"/>
          <w:szCs w:val="20"/>
          <w:color w:val="auto"/>
        </w:rPr>
      </w:pPr>
    </w:p>
    <w:p>
      <w:pPr>
        <w:ind w:left="1140" w:hanging="379"/>
        <w:spacing w:after="0"/>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completion of preclinical laboratory tests, animal studies, and formulation studies in compliance with the FDA’s Good Laboratory Practice, or GLP, regulations;</w:t>
      </w:r>
    </w:p>
    <w:p>
      <w:pPr>
        <w:spacing w:after="0" w:line="185" w:lineRule="exact"/>
        <w:rPr>
          <w:rFonts w:ascii="Arial" w:cs="Arial" w:eastAsia="Arial" w:hAnsi="Arial"/>
          <w:sz w:val="14"/>
          <w:szCs w:val="14"/>
          <w:color w:val="auto"/>
        </w:rPr>
      </w:pPr>
    </w:p>
    <w:p>
      <w:pPr>
        <w:ind w:left="1140" w:hanging="379"/>
        <w:spacing w:after="0"/>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color w:val="auto"/>
        </w:rPr>
        <w:t>submission to the FDA of an IND which must become effective before human clinical trials may begin;</w:t>
      </w:r>
    </w:p>
    <w:p>
      <w:pPr>
        <w:spacing w:after="0" w:line="173" w:lineRule="exact"/>
        <w:rPr>
          <w:rFonts w:ascii="Arial" w:cs="Arial" w:eastAsia="Arial" w:hAnsi="Arial"/>
          <w:sz w:val="15"/>
          <w:szCs w:val="15"/>
          <w:color w:val="auto"/>
        </w:rPr>
      </w:pPr>
    </w:p>
    <w:p>
      <w:pPr>
        <w:ind w:left="1140" w:hanging="379"/>
        <w:spacing w:after="0"/>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approval by an independent Institutional Review Board, or IRB, for each clinical site or centrally, before each trial may be initiated;</w:t>
      </w:r>
    </w:p>
    <w:p>
      <w:pPr>
        <w:spacing w:after="0" w:line="173" w:lineRule="exact"/>
        <w:rPr>
          <w:rFonts w:ascii="Arial" w:cs="Arial" w:eastAsia="Arial" w:hAnsi="Arial"/>
          <w:sz w:val="15"/>
          <w:szCs w:val="15"/>
          <w:color w:val="auto"/>
        </w:rPr>
      </w:pPr>
    </w:p>
    <w:p>
      <w:pPr>
        <w:ind w:left="1140" w:right="80" w:hanging="379"/>
        <w:spacing w:after="0" w:line="178" w:lineRule="exact"/>
        <w:tabs>
          <w:tab w:leader="none" w:pos="11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adequate and well</w:t>
      </w:r>
      <w:r>
        <w:rPr>
          <w:rFonts w:ascii="MS PGothic" w:cs="MS PGothic" w:eastAsia="MS PGothic" w:hAnsi="MS PGothic"/>
          <w:sz w:val="15"/>
          <w:szCs w:val="15"/>
          <w:color w:val="auto"/>
        </w:rPr>
        <w:t>‑</w:t>
      </w:r>
      <w:r>
        <w:rPr>
          <w:rFonts w:ascii="Arial" w:cs="Arial" w:eastAsia="Arial" w:hAnsi="Arial"/>
          <w:sz w:val="15"/>
          <w:szCs w:val="15"/>
          <w:color w:val="auto"/>
        </w:rPr>
        <w:t>controlled human clinical trials to establish the safety and efficacy of the proposed drug candidates for its intended use, performed in accordance with current Good Clinical Practices, or GCP;</w:t>
      </w:r>
    </w:p>
    <w:p>
      <w:pPr>
        <w:spacing w:after="0" w:line="158" w:lineRule="exact"/>
        <w:rPr>
          <w:rFonts w:ascii="Arial" w:cs="Arial" w:eastAsia="Arial" w:hAnsi="Arial"/>
          <w:sz w:val="15"/>
          <w:szCs w:val="15"/>
          <w:color w:val="auto"/>
        </w:rPr>
      </w:pPr>
    </w:p>
    <w:p>
      <w:pPr>
        <w:ind w:left="5560" w:right="160" w:hanging="4799"/>
        <w:spacing w:after="0" w:line="504" w:lineRule="auto"/>
        <w:tabs>
          <w:tab w:leader="none" w:pos="1127" w:val="left"/>
        </w:tabs>
        <w:numPr>
          <w:ilvl w:val="0"/>
          <w:numId w:val="6"/>
        </w:numPr>
        <w:rPr>
          <w:rFonts w:ascii="Arial" w:cs="Arial" w:eastAsia="Arial" w:hAnsi="Arial"/>
          <w:sz w:val="15"/>
          <w:szCs w:val="15"/>
          <w:color w:val="auto"/>
        </w:rPr>
      </w:pPr>
      <w:r>
        <w:rPr>
          <w:rFonts w:ascii="Arial" w:cs="Arial" w:eastAsia="Arial" w:hAnsi="Arial"/>
          <w:sz w:val="15"/>
          <w:szCs w:val="15"/>
          <w:color w:val="auto"/>
        </w:rPr>
        <w:t>development of manufacturing processes in compliance with current Good Manufacturing Practices (cGMPs) to ensure the drug’s identity, strength, quality, and purity;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-82550</wp:posOffset>
            </wp:positionV>
            <wp:extent cx="718121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23" w:name="page24"/>
    <w:bookmarkEnd w:id="2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left="1140" w:hanging="379"/>
        <w:spacing w:after="0"/>
        <w:tabs>
          <w:tab w:leader="none" w:pos="11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compilation of required information and submission to the FDA of an NDA;</w:t>
      </w:r>
    </w:p>
    <w:p>
      <w:pPr>
        <w:spacing w:after="0" w:line="173" w:lineRule="exact"/>
        <w:rPr>
          <w:rFonts w:ascii="Arial" w:cs="Arial" w:eastAsia="Arial" w:hAnsi="Arial"/>
          <w:sz w:val="15"/>
          <w:szCs w:val="15"/>
          <w:color w:val="auto"/>
        </w:rPr>
      </w:pPr>
    </w:p>
    <w:p>
      <w:pPr>
        <w:ind w:left="1140" w:hanging="379"/>
        <w:spacing w:after="0"/>
        <w:tabs>
          <w:tab w:leader="none" w:pos="1140" w:val="left"/>
        </w:tabs>
        <w:numPr>
          <w:ilvl w:val="0"/>
          <w:numId w:val="7"/>
        </w:numPr>
        <w:rPr>
          <w:rFonts w:ascii="Arial" w:cs="Arial" w:eastAsia="Arial" w:hAnsi="Arial"/>
          <w:sz w:val="15"/>
          <w:szCs w:val="15"/>
          <w:color w:val="auto"/>
        </w:rPr>
      </w:pPr>
      <w:r>
        <w:rPr>
          <w:rFonts w:ascii="Arial" w:cs="Arial" w:eastAsia="Arial" w:hAnsi="Arial"/>
          <w:sz w:val="15"/>
          <w:szCs w:val="15"/>
          <w:color w:val="auto"/>
        </w:rPr>
        <w:t>satisfactory completion of an FDA advisory committee review, if applicable;</w:t>
      </w:r>
    </w:p>
    <w:p>
      <w:pPr>
        <w:spacing w:after="0" w:line="173" w:lineRule="exact"/>
        <w:rPr>
          <w:rFonts w:ascii="Arial" w:cs="Arial" w:eastAsia="Arial" w:hAnsi="Arial"/>
          <w:sz w:val="15"/>
          <w:szCs w:val="15"/>
          <w:color w:val="auto"/>
        </w:rPr>
      </w:pPr>
    </w:p>
    <w:p>
      <w:pPr>
        <w:jc w:val="both"/>
        <w:ind w:left="1140" w:right="40" w:hanging="379"/>
        <w:spacing w:after="0" w:line="244" w:lineRule="auto"/>
        <w:tabs>
          <w:tab w:leader="none" w:pos="1140" w:val="left"/>
        </w:tabs>
        <w:numPr>
          <w:ilvl w:val="0"/>
          <w:numId w:val="7"/>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55" w:lineRule="exact"/>
        <w:rPr>
          <w:rFonts w:ascii="Arial" w:cs="Arial" w:eastAsia="Arial" w:hAnsi="Arial"/>
          <w:sz w:val="15"/>
          <w:szCs w:val="15"/>
          <w:color w:val="auto"/>
        </w:rPr>
      </w:pPr>
    </w:p>
    <w:p>
      <w:pPr>
        <w:ind w:left="1140" w:hanging="379"/>
        <w:spacing w:after="0"/>
        <w:tabs>
          <w:tab w:leader="none" w:pos="1140" w:val="left"/>
        </w:tabs>
        <w:numPr>
          <w:ilvl w:val="0"/>
          <w:numId w:val="7"/>
        </w:numPr>
        <w:rPr>
          <w:rFonts w:ascii="Arial" w:cs="Arial" w:eastAsia="Arial" w:hAnsi="Arial"/>
          <w:sz w:val="15"/>
          <w:szCs w:val="15"/>
          <w:color w:val="auto"/>
        </w:rPr>
      </w:pPr>
      <w:r>
        <w:rPr>
          <w:rFonts w:ascii="Arial" w:cs="Arial" w:eastAsia="Arial" w:hAnsi="Arial"/>
          <w:sz w:val="15"/>
          <w:szCs w:val="15"/>
          <w:color w:val="auto"/>
        </w:rPr>
        <w:t>FDA review and approval of the NDA to permit commercial marketing for particular indications for use.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Preclinical Studies and IND Submission</w:t>
      </w:r>
    </w:p>
    <w:p>
      <w:pPr>
        <w:spacing w:after="0" w:line="174" w:lineRule="exact"/>
        <w:rPr>
          <w:sz w:val="20"/>
          <w:szCs w:val="20"/>
          <w:color w:val="auto"/>
        </w:rPr>
      </w:pPr>
    </w:p>
    <w:p>
      <w:pPr>
        <w:ind w:right="220" w:firstLine="751"/>
        <w:spacing w:after="0" w:line="257" w:lineRule="auto"/>
        <w:rPr>
          <w:sz w:val="20"/>
          <w:szCs w:val="20"/>
          <w:color w:val="auto"/>
        </w:rPr>
      </w:pPr>
      <w:r>
        <w:rPr>
          <w:rFonts w:ascii="Arial" w:cs="Arial" w:eastAsia="Arial" w:hAnsi="Arial"/>
          <w:sz w:val="14"/>
          <w:szCs w:val="14"/>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Good Laboratory Practice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150" w:lineRule="exact"/>
        <w:rPr>
          <w:sz w:val="20"/>
          <w:szCs w:val="20"/>
          <w:color w:val="auto"/>
        </w:rPr>
      </w:pPr>
    </w:p>
    <w:p>
      <w:pPr>
        <w:ind w:right="20" w:firstLine="751"/>
        <w:spacing w:after="0" w:line="173" w:lineRule="exact"/>
        <w:rPr>
          <w:sz w:val="20"/>
          <w:szCs w:val="20"/>
          <w:color w:val="auto"/>
        </w:rPr>
      </w:pPr>
      <w:r>
        <w:rPr>
          <w:rFonts w:ascii="Arial" w:cs="Arial" w:eastAsia="Arial" w:hAnsi="Arial"/>
          <w:sz w:val="15"/>
          <w:szCs w:val="15"/>
          <w:color w:val="auto"/>
        </w:rPr>
        <w:t>An IND automatically becomes effective 30 days after receipt by the FDA, unless the FDA, within the 30</w:t>
      </w:r>
      <w:r>
        <w:rPr>
          <w:rFonts w:ascii="MS PGothic" w:cs="MS PGothic" w:eastAsia="MS PGothic" w:hAnsi="MS PGothic"/>
          <w:sz w:val="15"/>
          <w:szCs w:val="15"/>
          <w:color w:val="auto"/>
        </w:rPr>
        <w:t>‑</w:t>
      </w:r>
      <w:r>
        <w:rPr>
          <w:rFonts w:ascii="Arial" w:cs="Arial" w:eastAsia="Arial" w:hAnsi="Arial"/>
          <w:sz w:val="15"/>
          <w:szCs w:val="15"/>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Clinical Trials</w:t>
      </w:r>
    </w:p>
    <w:p>
      <w:pPr>
        <w:spacing w:after="0" w:line="174" w:lineRule="exact"/>
        <w:rPr>
          <w:sz w:val="20"/>
          <w:szCs w:val="20"/>
          <w:color w:val="auto"/>
        </w:rPr>
      </w:pPr>
    </w:p>
    <w:p>
      <w:pPr>
        <w:ind w:firstLine="751"/>
        <w:spacing w:after="0" w:line="275" w:lineRule="auto"/>
        <w:rPr>
          <w:sz w:val="20"/>
          <w:szCs w:val="20"/>
          <w:color w:val="auto"/>
        </w:rPr>
      </w:pPr>
      <w:r>
        <w:rPr>
          <w:rFonts w:ascii="Arial" w:cs="Arial" w:eastAsia="Arial" w:hAnsi="Arial"/>
          <w:sz w:val="13"/>
          <w:szCs w:val="13"/>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41" w:lineRule="exact"/>
        <w:rPr>
          <w:sz w:val="20"/>
          <w:szCs w:val="20"/>
          <w:color w:val="auto"/>
        </w:rPr>
      </w:pPr>
    </w:p>
    <w:p>
      <w:pPr>
        <w:ind w:right="20" w:firstLine="751"/>
        <w:spacing w:after="0" w:line="255" w:lineRule="auto"/>
        <w:rPr>
          <w:sz w:val="20"/>
          <w:szCs w:val="20"/>
          <w:color w:val="auto"/>
        </w:rPr>
      </w:pPr>
      <w:r>
        <w:rPr>
          <w:rFonts w:ascii="Arial" w:cs="Arial" w:eastAsia="Arial" w:hAnsi="Arial"/>
          <w:sz w:val="15"/>
          <w:szCs w:val="15"/>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24" w:name="page25"/>
    <w:bookmarkEnd w:id="2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60" w:firstLine="751"/>
        <w:spacing w:after="0" w:line="263" w:lineRule="auto"/>
        <w:rPr>
          <w:sz w:val="20"/>
          <w:szCs w:val="20"/>
          <w:color w:val="auto"/>
        </w:rPr>
      </w:pPr>
      <w:r>
        <w:rPr>
          <w:rFonts w:ascii="Arial" w:cs="Arial" w:eastAsia="Arial" w:hAnsi="Arial"/>
          <w:sz w:val="14"/>
          <w:szCs w:val="14"/>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143" w:lineRule="exact"/>
        <w:rPr>
          <w:sz w:val="20"/>
          <w:szCs w:val="20"/>
          <w:color w:val="auto"/>
        </w:rPr>
      </w:pPr>
    </w:p>
    <w:p>
      <w:pPr>
        <w:ind w:right="60" w:firstLine="751"/>
        <w:spacing w:after="0" w:line="300" w:lineRule="auto"/>
        <w:rPr>
          <w:sz w:val="20"/>
          <w:szCs w:val="20"/>
          <w:color w:val="auto"/>
        </w:rPr>
      </w:pPr>
      <w:r>
        <w:rPr>
          <w:rFonts w:ascii="Arial" w:cs="Arial" w:eastAsia="Arial" w:hAnsi="Arial"/>
          <w:sz w:val="13"/>
          <w:szCs w:val="13"/>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In general, for purposes of NDA approval, human clinical trials are typically conducted in three sequential phases, which may overlap or be combined.</w:t>
      </w:r>
    </w:p>
    <w:p>
      <w:pPr>
        <w:spacing w:after="0" w:line="163" w:lineRule="exact"/>
        <w:rPr>
          <w:sz w:val="20"/>
          <w:szCs w:val="20"/>
          <w:color w:val="auto"/>
        </w:rPr>
      </w:pPr>
    </w:p>
    <w:p>
      <w:pPr>
        <w:ind w:left="1140" w:right="40" w:hanging="379"/>
        <w:spacing w:after="0" w:line="160" w:lineRule="exact"/>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Phase 1</w:t>
      </w:r>
      <w:r>
        <w:rPr>
          <w:rFonts w:ascii="Arial" w:cs="Arial" w:eastAsia="Arial" w:hAnsi="Arial"/>
          <w:sz w:val="15"/>
          <w:szCs w:val="15"/>
          <w:color w:val="auto"/>
        </w:rPr>
        <w:t>—Studies are initially conducted in healthy human volunteers or subjects with the target disease or condition and test the product candidate for safety, dosage</w:t>
      </w:r>
      <w:r>
        <w:rPr>
          <w:rFonts w:ascii="Arial" w:cs="Arial" w:eastAsia="Arial" w:hAnsi="Arial"/>
          <w:sz w:val="15"/>
          <w:szCs w:val="15"/>
          <w:i w:val="1"/>
          <w:iCs w:val="1"/>
          <w:color w:val="auto"/>
        </w:rPr>
        <w:t xml:space="preserve"> </w:t>
      </w:r>
      <w:r>
        <w:rPr>
          <w:rFonts w:ascii="Arial" w:cs="Arial" w:eastAsia="Arial" w:hAnsi="Arial"/>
          <w:sz w:val="15"/>
          <w:szCs w:val="15"/>
          <w:color w:val="auto"/>
        </w:rPr>
        <w:t>tolerance, structure</w:t>
      </w:r>
      <w:r>
        <w:rPr>
          <w:rFonts w:ascii="MS PGothic" w:cs="MS PGothic" w:eastAsia="MS PGothic" w:hAnsi="MS PGothic"/>
          <w:sz w:val="15"/>
          <w:szCs w:val="15"/>
          <w:color w:val="auto"/>
        </w:rPr>
        <w:t>‑</w:t>
      </w:r>
      <w:r>
        <w:rPr>
          <w:rFonts w:ascii="Arial" w:cs="Arial" w:eastAsia="Arial" w:hAnsi="Arial"/>
          <w:sz w:val="15"/>
          <w:szCs w:val="15"/>
          <w:color w:val="auto"/>
        </w:rPr>
        <w:t>activity relationships, mechanism of action, absorption, metabolism, distribution, and excretion. If possible, Phase 1 trials may also be used to gain an initial indication of product effectiveness.</w:t>
      </w:r>
    </w:p>
    <w:p>
      <w:pPr>
        <w:spacing w:after="0" w:line="135" w:lineRule="exact"/>
        <w:rPr>
          <w:rFonts w:ascii="Arial" w:cs="Arial" w:eastAsia="Arial" w:hAnsi="Arial"/>
          <w:sz w:val="15"/>
          <w:szCs w:val="15"/>
          <w:color w:val="auto"/>
        </w:rPr>
      </w:pPr>
    </w:p>
    <w:p>
      <w:pPr>
        <w:ind w:left="1140" w:right="60" w:hanging="379"/>
        <w:spacing w:after="0" w:line="232" w:lineRule="auto"/>
        <w:tabs>
          <w:tab w:leader="none" w:pos="114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Phase 2</w:t>
      </w:r>
      <w:r>
        <w:rPr>
          <w:rFonts w:ascii="Arial" w:cs="Arial" w:eastAsia="Arial" w:hAnsi="Arial"/>
          <w:sz w:val="15"/>
          <w:szCs w:val="15"/>
          <w:color w:val="auto"/>
        </w:rPr>
        <w:t>—Controlled studies are conducted in limited subject populations with a specified disease or condition to evaluate preliminary efficacy, identify optimal dosages,</w:t>
      </w:r>
      <w:r>
        <w:rPr>
          <w:rFonts w:ascii="Arial" w:cs="Arial" w:eastAsia="Arial" w:hAnsi="Arial"/>
          <w:sz w:val="15"/>
          <w:szCs w:val="15"/>
          <w:i w:val="1"/>
          <w:iCs w:val="1"/>
          <w:color w:val="auto"/>
        </w:rPr>
        <w:t xml:space="preserve"> </w:t>
      </w:r>
      <w:r>
        <w:rPr>
          <w:rFonts w:ascii="Arial" w:cs="Arial" w:eastAsia="Arial" w:hAnsi="Arial"/>
          <w:sz w:val="15"/>
          <w:szCs w:val="15"/>
          <w:color w:val="auto"/>
        </w:rPr>
        <w:t>dosage tolerance and schedule, possible adverse effects and safety risks, and expanded evidence of safety.</w:t>
      </w:r>
    </w:p>
    <w:p>
      <w:pPr>
        <w:spacing w:after="0" w:line="135" w:lineRule="exact"/>
        <w:rPr>
          <w:rFonts w:ascii="Arial" w:cs="Arial" w:eastAsia="Arial" w:hAnsi="Arial"/>
          <w:sz w:val="15"/>
          <w:szCs w:val="15"/>
          <w:color w:val="auto"/>
        </w:rPr>
      </w:pPr>
    </w:p>
    <w:p>
      <w:pPr>
        <w:ind w:left="1140" w:right="120" w:hanging="379"/>
        <w:spacing w:after="0" w:line="160" w:lineRule="exact"/>
        <w:tabs>
          <w:tab w:leader="none" w:pos="114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Phase 3—</w:t>
      </w:r>
      <w:r>
        <w:rPr>
          <w:rFonts w:ascii="Arial" w:cs="Arial" w:eastAsia="Arial" w:hAnsi="Arial"/>
          <w:sz w:val="13"/>
          <w:szCs w:val="13"/>
          <w:color w:val="auto"/>
        </w:rPr>
        <w:t>These adequate and well</w:t>
      </w:r>
      <w:r>
        <w:rPr>
          <w:rFonts w:ascii="MS PGothic" w:cs="MS PGothic" w:eastAsia="MS PGothic" w:hAnsi="MS PGothic"/>
          <w:sz w:val="13"/>
          <w:szCs w:val="13"/>
          <w:color w:val="auto"/>
        </w:rPr>
        <w:t>‑</w:t>
      </w:r>
      <w:r>
        <w:rPr>
          <w:rFonts w:ascii="Arial" w:cs="Arial" w:eastAsia="Arial" w:hAnsi="Arial"/>
          <w:sz w:val="13"/>
          <w:szCs w:val="13"/>
          <w:color w:val="auto"/>
        </w:rPr>
        <w:t>controlled clinical trials are undertaken in expanded subject populations, generally at geographically dispersed clinical trial sites, to</w:t>
      </w:r>
      <w:r>
        <w:rPr>
          <w:rFonts w:ascii="Arial" w:cs="Arial" w:eastAsia="Arial" w:hAnsi="Arial"/>
          <w:sz w:val="13"/>
          <w:szCs w:val="13"/>
          <w:i w:val="1"/>
          <w:iCs w:val="1"/>
          <w:color w:val="auto"/>
        </w:rPr>
        <w:t xml:space="preserve"> </w:t>
      </w:r>
      <w:r>
        <w:rPr>
          <w:rFonts w:ascii="Arial" w:cs="Arial" w:eastAsia="Arial" w:hAnsi="Arial"/>
          <w:sz w:val="13"/>
          <w:szCs w:val="13"/>
          <w:color w:val="auto"/>
        </w:rPr>
        <w:t>generate enough data to provide statistically significant evidence of clinical efficacy and safety of the product for approval, to establish the overall risk</w:t>
      </w:r>
      <w:r>
        <w:rPr>
          <w:rFonts w:ascii="MS PGothic" w:cs="MS PGothic" w:eastAsia="MS PGothic" w:hAnsi="MS PGothic"/>
          <w:sz w:val="13"/>
          <w:szCs w:val="13"/>
          <w:color w:val="auto"/>
        </w:rPr>
        <w:t>‑</w:t>
      </w:r>
      <w:r>
        <w:rPr>
          <w:rFonts w:ascii="Arial" w:cs="Arial" w:eastAsia="Arial" w:hAnsi="Arial"/>
          <w:sz w:val="13"/>
          <w:szCs w:val="13"/>
          <w:color w:val="auto"/>
        </w:rPr>
        <w:t>benefit profile of the product, and to provide adequate information for the labeling of the product. Typically, two Phase 3 trials are required by the FDA for product approval.</w:t>
      </w:r>
    </w:p>
    <w:p>
      <w:pPr>
        <w:spacing w:after="0" w:line="136" w:lineRule="exact"/>
        <w:rPr>
          <w:sz w:val="20"/>
          <w:szCs w:val="20"/>
          <w:color w:val="auto"/>
        </w:rPr>
      </w:pPr>
    </w:p>
    <w:p>
      <w:pPr>
        <w:ind w:right="60" w:firstLine="751"/>
        <w:spacing w:after="0" w:line="223" w:lineRule="auto"/>
        <w:rPr>
          <w:sz w:val="20"/>
          <w:szCs w:val="20"/>
          <w:color w:val="auto"/>
        </w:rPr>
      </w:pPr>
      <w:r>
        <w:rPr>
          <w:rFonts w:ascii="Arial" w:cs="Arial" w:eastAsia="Arial" w:hAnsi="Arial"/>
          <w:sz w:val="14"/>
          <w:szCs w:val="14"/>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39" w:lineRule="exact"/>
        <w:rPr>
          <w:sz w:val="20"/>
          <w:szCs w:val="20"/>
          <w:color w:val="auto"/>
        </w:rPr>
      </w:pPr>
    </w:p>
    <w:p>
      <w:pPr>
        <w:jc w:val="both"/>
        <w:ind w:firstLine="751"/>
        <w:spacing w:after="0" w:line="264" w:lineRule="auto"/>
        <w:rPr>
          <w:sz w:val="20"/>
          <w:szCs w:val="20"/>
          <w:color w:val="auto"/>
        </w:rPr>
      </w:pPr>
      <w:r>
        <w:rPr>
          <w:rFonts w:ascii="Arial" w:cs="Arial" w:eastAsia="Arial" w:hAnsi="Arial"/>
          <w:sz w:val="13"/>
          <w:szCs w:val="13"/>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21" w:lineRule="exact"/>
        <w:rPr>
          <w:sz w:val="20"/>
          <w:szCs w:val="20"/>
          <w:color w:val="auto"/>
        </w:rPr>
      </w:pPr>
    </w:p>
    <w:p>
      <w:pPr>
        <w:ind w:right="220" w:firstLine="751"/>
        <w:spacing w:after="0" w:line="214" w:lineRule="auto"/>
        <w:rPr>
          <w:sz w:val="20"/>
          <w:szCs w:val="20"/>
          <w:color w:val="auto"/>
        </w:rPr>
      </w:pPr>
      <w:r>
        <w:rPr>
          <w:rFonts w:ascii="Arial" w:cs="Arial" w:eastAsia="Arial" w:hAnsi="Arial"/>
          <w:sz w:val="15"/>
          <w:szCs w:val="15"/>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5" w:name="page26"/>
    <w:bookmarkEnd w:id="2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firstLine="751"/>
        <w:spacing w:after="0" w:line="170" w:lineRule="exact"/>
        <w:rPr>
          <w:sz w:val="20"/>
          <w:szCs w:val="20"/>
          <w:color w:val="auto"/>
        </w:rPr>
      </w:pPr>
      <w:r>
        <w:rPr>
          <w:rFonts w:ascii="Arial" w:cs="Arial" w:eastAsia="Arial" w:hAnsi="Arial"/>
          <w:sz w:val="14"/>
          <w:szCs w:val="14"/>
          <w:color w:val="auto"/>
        </w:rPr>
        <w:t>During the development of a new drug, a sponsor may be able to request a Special Protocol Assessment, or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r>
      <w:r>
        <w:rPr>
          <w:rFonts w:ascii="MS PGothic" w:cs="MS PGothic" w:eastAsia="MS PGothic" w:hAnsi="MS PGothic"/>
          <w:sz w:val="14"/>
          <w:szCs w:val="14"/>
          <w:color w:val="auto"/>
        </w:rPr>
        <w:t>‑</w:t>
      </w:r>
      <w:r>
        <w:rPr>
          <w:rFonts w:ascii="Arial" w:cs="Arial" w:eastAsia="Arial" w:hAnsi="Arial"/>
          <w:sz w:val="14"/>
          <w:szCs w:val="14"/>
          <w:color w:val="auto"/>
        </w:rPr>
        <w:t>upon clinical trial protocol is followed, the clinical trial endpoints are achieved, and there is a favorable risk</w:t>
      </w:r>
      <w:r>
        <w:rPr>
          <w:rFonts w:ascii="MS PGothic" w:cs="MS PGothic" w:eastAsia="MS PGothic" w:hAnsi="MS PGothic"/>
          <w:sz w:val="14"/>
          <w:szCs w:val="14"/>
          <w:color w:val="auto"/>
        </w:rPr>
        <w:t>‑</w:t>
      </w:r>
      <w:r>
        <w:rPr>
          <w:rFonts w:ascii="Arial" w:cs="Arial" w:eastAsia="Arial" w:hAnsi="Arial"/>
          <w:sz w:val="14"/>
          <w:szCs w:val="14"/>
          <w:color w:val="auto"/>
        </w:rPr>
        <w:t>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NDA Submission, Review by the FDA, and Marketing Approval</w:t>
      </w:r>
    </w:p>
    <w:p>
      <w:pPr>
        <w:spacing w:after="0" w:line="174" w:lineRule="exact"/>
        <w:rPr>
          <w:sz w:val="20"/>
          <w:szCs w:val="20"/>
          <w:color w:val="auto"/>
        </w:rPr>
      </w:pPr>
    </w:p>
    <w:p>
      <w:pPr>
        <w:ind w:right="100" w:firstLine="751"/>
        <w:spacing w:after="0" w:line="257" w:lineRule="auto"/>
        <w:rPr>
          <w:sz w:val="20"/>
          <w:szCs w:val="20"/>
          <w:color w:val="auto"/>
        </w:rPr>
      </w:pPr>
      <w:r>
        <w:rPr>
          <w:rFonts w:ascii="Arial" w:cs="Arial" w:eastAsia="Arial" w:hAnsi="Arial"/>
          <w:sz w:val="14"/>
          <w:szCs w:val="14"/>
          <w:color w:val="auto"/>
        </w:rPr>
        <w:t>Assuming successful completion of the required clinical and preclinical testing, the results of product development, including chemistry, manufacturing, and control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or PDUFA.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pacing w:after="0" w:line="150" w:lineRule="exact"/>
        <w:rPr>
          <w:sz w:val="20"/>
          <w:szCs w:val="20"/>
          <w:color w:val="auto"/>
        </w:rPr>
      </w:pPr>
    </w:p>
    <w:p>
      <w:pPr>
        <w:ind w:right="60" w:firstLine="751"/>
        <w:spacing w:after="0" w:line="252" w:lineRule="auto"/>
        <w:rPr>
          <w:sz w:val="20"/>
          <w:szCs w:val="20"/>
          <w:color w:val="auto"/>
        </w:rPr>
      </w:pPr>
      <w:r>
        <w:rPr>
          <w:rFonts w:ascii="Arial" w:cs="Arial" w:eastAsia="Arial" w:hAnsi="Arial"/>
          <w:sz w:val="14"/>
          <w:szCs w:val="14"/>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158" w:lineRule="exact"/>
        <w:rPr>
          <w:sz w:val="20"/>
          <w:szCs w:val="20"/>
          <w:color w:val="auto"/>
        </w:rPr>
      </w:pPr>
    </w:p>
    <w:p>
      <w:pPr>
        <w:ind w:right="120" w:firstLine="751"/>
        <w:spacing w:after="0" w:line="173" w:lineRule="exact"/>
        <w:rPr>
          <w:sz w:val="20"/>
          <w:szCs w:val="20"/>
          <w:color w:val="auto"/>
        </w:rPr>
      </w:pPr>
      <w:r>
        <w:rPr>
          <w:rFonts w:ascii="Arial" w:cs="Arial" w:eastAsia="Arial" w:hAnsi="Arial"/>
          <w:sz w:val="15"/>
          <w:szCs w:val="15"/>
          <w:color w:val="auto"/>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5"/>
          <w:szCs w:val="15"/>
          <w:color w:val="auto"/>
        </w:rPr>
        <w:t>‑</w:t>
      </w:r>
      <w:r>
        <w:rPr>
          <w:rFonts w:ascii="Arial" w:cs="Arial" w:eastAsia="Arial" w:hAnsi="Arial"/>
          <w:sz w:val="15"/>
          <w:szCs w:val="15"/>
          <w:color w:val="auto"/>
        </w:rPr>
        <w:t>depth substantive review of the NDA.</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26" w:name="page27"/>
    <w:bookmarkEnd w:id="2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60" w:firstLine="751"/>
        <w:spacing w:after="0" w:line="238" w:lineRule="auto"/>
        <w:rPr>
          <w:sz w:val="20"/>
          <w:szCs w:val="20"/>
          <w:color w:val="auto"/>
        </w:rPr>
      </w:pPr>
      <w:r>
        <w:rPr>
          <w:rFonts w:ascii="Arial" w:cs="Arial" w:eastAsia="Arial" w:hAnsi="Arial"/>
          <w:sz w:val="15"/>
          <w:szCs w:val="15"/>
          <w:color w:val="auto"/>
        </w:rPr>
        <w:t>The FDA has agreed to a set of performance goals and procedures under PDUFA to review 90% of all applications within ten months from the 60-day filing date for its initial review of a standard NDA for a New Molecular Entity, or NME.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61" w:lineRule="exact"/>
        <w:rPr>
          <w:sz w:val="20"/>
          <w:szCs w:val="20"/>
          <w:color w:val="auto"/>
        </w:rPr>
      </w:pPr>
    </w:p>
    <w:p>
      <w:pPr>
        <w:jc w:val="both"/>
        <w:ind w:right="80" w:firstLine="751"/>
        <w:spacing w:after="0" w:line="331" w:lineRule="auto"/>
        <w:rPr>
          <w:sz w:val="20"/>
          <w:szCs w:val="20"/>
          <w:color w:val="auto"/>
        </w:rPr>
      </w:pPr>
      <w:r>
        <w:rPr>
          <w:rFonts w:ascii="Arial" w:cs="Arial" w:eastAsia="Arial" w:hAnsi="Arial"/>
          <w:sz w:val="13"/>
          <w:szCs w:val="13"/>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01" w:lineRule="exact"/>
        <w:rPr>
          <w:sz w:val="20"/>
          <w:szCs w:val="20"/>
          <w:color w:val="auto"/>
        </w:rPr>
      </w:pPr>
    </w:p>
    <w:p>
      <w:pPr>
        <w:jc w:val="both"/>
        <w:ind w:right="60" w:firstLine="751"/>
        <w:spacing w:after="0" w:line="244" w:lineRule="auto"/>
        <w:rPr>
          <w:sz w:val="20"/>
          <w:szCs w:val="20"/>
          <w:color w:val="auto"/>
        </w:rPr>
      </w:pPr>
      <w:r>
        <w:rPr>
          <w:rFonts w:ascii="Arial" w:cs="Arial" w:eastAsia="Arial" w:hAnsi="Arial"/>
          <w:sz w:val="15"/>
          <w:szCs w:val="15"/>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155" w:lineRule="exact"/>
        <w:rPr>
          <w:sz w:val="20"/>
          <w:szCs w:val="20"/>
          <w:color w:val="auto"/>
        </w:rPr>
      </w:pPr>
    </w:p>
    <w:p>
      <w:pPr>
        <w:ind w:right="200" w:firstLine="751"/>
        <w:spacing w:after="0" w:line="171" w:lineRule="exact"/>
        <w:rPr>
          <w:sz w:val="20"/>
          <w:szCs w:val="20"/>
          <w:color w:val="auto"/>
        </w:rPr>
      </w:pPr>
      <w:r>
        <w:rPr>
          <w:rFonts w:ascii="Arial" w:cs="Arial" w:eastAsia="Arial" w:hAnsi="Arial"/>
          <w:sz w:val="15"/>
          <w:szCs w:val="15"/>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5"/>
          <w:szCs w:val="15"/>
          <w:color w:val="auto"/>
        </w:rPr>
        <w:t>‑</w:t>
      </w:r>
      <w:r>
        <w:rPr>
          <w:rFonts w:ascii="Arial" w:cs="Arial" w:eastAsia="Arial" w:hAnsi="Arial"/>
          <w:sz w:val="15"/>
          <w:szCs w:val="15"/>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 Moreover, due to the ongoing COVID-19 pandemic, the FDA may delay Pre-Approval Inspections. Because of the global pandemic, decision-making around facility inspections by the FDA (including Pre-Approval Inspections) continues to evolve.</w:t>
      </w:r>
    </w:p>
    <w:p>
      <w:pPr>
        <w:spacing w:after="0" w:line="159" w:lineRule="exact"/>
        <w:rPr>
          <w:sz w:val="20"/>
          <w:szCs w:val="20"/>
          <w:color w:val="auto"/>
        </w:rPr>
      </w:pPr>
    </w:p>
    <w:p>
      <w:pPr>
        <w:ind w:right="200" w:firstLine="751"/>
        <w:spacing w:after="0" w:line="238" w:lineRule="auto"/>
        <w:rPr>
          <w:sz w:val="20"/>
          <w:szCs w:val="20"/>
          <w:color w:val="auto"/>
        </w:rPr>
      </w:pPr>
      <w:r>
        <w:rPr>
          <w:rFonts w:ascii="Arial" w:cs="Arial" w:eastAsia="Arial" w:hAnsi="Arial"/>
          <w:sz w:val="15"/>
          <w:szCs w:val="15"/>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clinical, chemistry, manufacturing, and control ("CMC"), or other data and information. Uncertainties can be presented by reviewers’ ability to exercise judgment and discretion during the review process. Even if such data and information are submitted, the FDA and may ultimately decide that the NDA does not satisfy the criteria for approval. Data obtained from clinical trials are not always conclusive and the FDA may interpret data differently than an applicant interprets the same data.</w:t>
      </w:r>
    </w:p>
    <w:p>
      <w:pPr>
        <w:spacing w:after="0" w:line="161" w:lineRule="exact"/>
        <w:rPr>
          <w:sz w:val="20"/>
          <w:szCs w:val="20"/>
          <w:color w:val="auto"/>
        </w:rPr>
      </w:pPr>
    </w:p>
    <w:p>
      <w:pPr>
        <w:ind w:firstLine="751"/>
        <w:spacing w:after="0" w:line="254" w:lineRule="auto"/>
        <w:rPr>
          <w:sz w:val="20"/>
          <w:szCs w:val="20"/>
          <w:color w:val="auto"/>
        </w:rPr>
      </w:pPr>
      <w:r>
        <w:rPr>
          <w:rFonts w:ascii="Arial" w:cs="Arial" w:eastAsia="Arial" w:hAnsi="Arial"/>
          <w:sz w:val="14"/>
          <w:szCs w:val="14"/>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or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153" w:lineRule="exact"/>
        <w:rPr>
          <w:sz w:val="20"/>
          <w:szCs w:val="20"/>
          <w:color w:val="auto"/>
        </w:rPr>
      </w:pPr>
    </w:p>
    <w:p>
      <w:pPr>
        <w:jc w:val="both"/>
        <w:ind w:right="260" w:firstLine="751"/>
        <w:spacing w:after="0" w:line="244" w:lineRule="auto"/>
        <w:rPr>
          <w:sz w:val="20"/>
          <w:szCs w:val="20"/>
          <w:color w:val="auto"/>
        </w:rPr>
      </w:pPr>
      <w:r>
        <w:rPr>
          <w:rFonts w:ascii="Arial" w:cs="Arial" w:eastAsia="Arial" w:hAnsi="Arial"/>
          <w:sz w:val="15"/>
          <w:szCs w:val="15"/>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7" w:name="page28"/>
    <w:bookmarkEnd w:id="2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180" w:firstLine="751"/>
        <w:spacing w:after="0" w:line="172" w:lineRule="exact"/>
        <w:rPr>
          <w:sz w:val="20"/>
          <w:szCs w:val="20"/>
          <w:color w:val="auto"/>
        </w:rPr>
      </w:pPr>
      <w:r>
        <w:rPr>
          <w:rFonts w:ascii="Arial" w:cs="Arial" w:eastAsia="Arial" w:hAnsi="Arial"/>
          <w:sz w:val="15"/>
          <w:szCs w:val="15"/>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5"/>
          <w:szCs w:val="15"/>
          <w:color w:val="auto"/>
        </w:rPr>
        <w:t>‑</w:t>
      </w:r>
      <w:r>
        <w:rPr>
          <w:rFonts w:ascii="Arial" w:cs="Arial" w:eastAsia="Arial" w:hAnsi="Arial"/>
          <w:sz w:val="15"/>
          <w:szCs w:val="15"/>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61" w:lineRule="exact"/>
        <w:rPr>
          <w:sz w:val="20"/>
          <w:szCs w:val="20"/>
          <w:color w:val="auto"/>
        </w:rPr>
      </w:pPr>
    </w:p>
    <w:p>
      <w:pPr>
        <w:ind w:right="200" w:firstLine="751"/>
        <w:spacing w:after="0" w:line="173" w:lineRule="exact"/>
        <w:rPr>
          <w:sz w:val="20"/>
          <w:szCs w:val="20"/>
          <w:color w:val="auto"/>
        </w:rPr>
      </w:pPr>
      <w:r>
        <w:rPr>
          <w:rFonts w:ascii="Arial" w:cs="Arial" w:eastAsia="Arial" w:hAnsi="Arial"/>
          <w:sz w:val="15"/>
          <w:szCs w:val="15"/>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5"/>
          <w:szCs w:val="15"/>
          <w:color w:val="auto"/>
        </w:rPr>
        <w:t>‑</w:t>
      </w:r>
      <w:r>
        <w:rPr>
          <w:rFonts w:ascii="Arial" w:cs="Arial" w:eastAsia="Arial" w:hAnsi="Arial"/>
          <w:sz w:val="15"/>
          <w:szCs w:val="15"/>
          <w:color w:val="auto"/>
        </w:rPr>
        <w:t xml:space="preserve"> and post</w:t>
      </w:r>
      <w:r>
        <w:rPr>
          <w:rFonts w:ascii="MS PGothic" w:cs="MS PGothic" w:eastAsia="MS PGothic" w:hAnsi="MS PGothic"/>
          <w:sz w:val="15"/>
          <w:szCs w:val="15"/>
          <w:color w:val="auto"/>
        </w:rPr>
        <w:t>‑</w:t>
      </w:r>
      <w:r>
        <w:rPr>
          <w:rFonts w:ascii="Arial" w:cs="Arial" w:eastAsia="Arial" w:hAnsi="Arial"/>
          <w:sz w:val="15"/>
          <w:szCs w:val="15"/>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505(b)(2) Approval Process</w:t>
      </w:r>
    </w:p>
    <w:p>
      <w:pPr>
        <w:spacing w:after="0" w:line="174" w:lineRule="exact"/>
        <w:rPr>
          <w:sz w:val="20"/>
          <w:szCs w:val="20"/>
          <w:color w:val="auto"/>
        </w:rPr>
      </w:pPr>
    </w:p>
    <w:p>
      <w:pPr>
        <w:ind w:right="80" w:firstLine="751"/>
        <w:spacing w:after="0" w:line="170" w:lineRule="exact"/>
        <w:rPr>
          <w:sz w:val="20"/>
          <w:szCs w:val="20"/>
          <w:color w:val="auto"/>
        </w:rPr>
      </w:pPr>
      <w:r>
        <w:rPr>
          <w:rFonts w:ascii="Arial" w:cs="Arial" w:eastAsia="Arial" w:hAnsi="Arial"/>
          <w:sz w:val="15"/>
          <w:szCs w:val="15"/>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5"/>
          <w:szCs w:val="15"/>
          <w:color w:val="auto"/>
        </w:rPr>
        <w:t>‑</w:t>
      </w:r>
      <w:r>
        <w:rPr>
          <w:rFonts w:ascii="Arial" w:cs="Arial" w:eastAsia="Arial" w:hAnsi="Arial"/>
          <w:sz w:val="15"/>
          <w:szCs w:val="15"/>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Orange Book Listing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Section 505 of the FDCA describes three types of marketing applications that may be submitted to the FDA to request marketing authorization for a new drug. A section 505(b)</w:t>
      </w:r>
    </w:p>
    <w:p>
      <w:pPr>
        <w:spacing w:after="0" w:line="30" w:lineRule="exact"/>
        <w:rPr>
          <w:sz w:val="20"/>
          <w:szCs w:val="20"/>
          <w:color w:val="auto"/>
        </w:rPr>
      </w:pPr>
    </w:p>
    <w:p>
      <w:pPr>
        <w:ind w:firstLine="9"/>
        <w:spacing w:after="0" w:line="169" w:lineRule="exact"/>
        <w:tabs>
          <w:tab w:leader="none" w:pos="211" w:val="left"/>
        </w:tabs>
        <w:numPr>
          <w:ilvl w:val="0"/>
          <w:numId w:val="9"/>
        </w:numPr>
        <w:rPr>
          <w:rFonts w:ascii="Arial" w:cs="Arial" w:eastAsia="Arial" w:hAnsi="Arial"/>
          <w:sz w:val="13"/>
          <w:szCs w:val="13"/>
          <w:color w:val="auto"/>
        </w:rPr>
      </w:pPr>
      <w:r>
        <w:rPr>
          <w:rFonts w:ascii="Arial" w:cs="Arial" w:eastAsia="Arial" w:hAnsi="Arial"/>
          <w:sz w:val="13"/>
          <w:szCs w:val="13"/>
          <w:color w:val="auto"/>
        </w:rPr>
        <w:t>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or ANDA.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3"/>
          <w:szCs w:val="13"/>
          <w:color w:val="auto"/>
        </w:rPr>
        <w:t>‑</w:t>
      </w:r>
      <w:r>
        <w:rPr>
          <w:rFonts w:ascii="Arial" w:cs="Arial" w:eastAsia="Arial" w:hAnsi="Arial"/>
          <w:sz w:val="13"/>
          <w:szCs w:val="13"/>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162" w:lineRule="exact"/>
        <w:rPr>
          <w:sz w:val="20"/>
          <w:szCs w:val="20"/>
          <w:color w:val="auto"/>
        </w:rPr>
      </w:pPr>
    </w:p>
    <w:p>
      <w:pPr>
        <w:jc w:val="both"/>
        <w:ind w:right="120" w:firstLine="751"/>
        <w:spacing w:after="0" w:line="244" w:lineRule="auto"/>
        <w:rPr>
          <w:sz w:val="20"/>
          <w:szCs w:val="20"/>
          <w:color w:val="auto"/>
        </w:rPr>
      </w:pPr>
      <w:r>
        <w:rPr>
          <w:rFonts w:ascii="Arial" w:cs="Arial" w:eastAsia="Arial" w:hAnsi="Arial"/>
          <w:sz w:val="15"/>
          <w:szCs w:val="15"/>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Arial" w:cs="Arial" w:eastAsia="Arial" w:hAnsi="Arial"/>
          <w:sz w:val="15"/>
          <w:szCs w:val="15"/>
          <w:i w:val="1"/>
          <w:iCs w:val="1"/>
          <w:color w:val="auto"/>
        </w:rPr>
        <w:t>Approved Drug Products with Therapeutic Equivalence Evaluations</w:t>
      </w:r>
      <w:r>
        <w:rPr>
          <w:rFonts w:ascii="Arial" w:cs="Arial" w:eastAsia="Arial" w:hAnsi="Arial"/>
          <w:sz w:val="15"/>
          <w:szCs w:val="15"/>
          <w:color w:val="auto"/>
        </w:rPr>
        <w:t>, also known as the Orange Book.</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28" w:name="page29"/>
    <w:bookmarkEnd w:id="2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60" w:firstLine="751"/>
        <w:spacing w:after="0" w:line="255" w:lineRule="auto"/>
        <w:rPr>
          <w:sz w:val="20"/>
          <w:szCs w:val="20"/>
          <w:color w:val="auto"/>
        </w:rPr>
      </w:pPr>
      <w:r>
        <w:rPr>
          <w:rFonts w:ascii="Arial" w:cs="Arial" w:eastAsia="Arial" w:hAnsi="Arial"/>
          <w:sz w:val="14"/>
          <w:szCs w:val="14"/>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151" w:lineRule="exact"/>
        <w:rPr>
          <w:sz w:val="20"/>
          <w:szCs w:val="20"/>
          <w:color w:val="auto"/>
        </w:rPr>
      </w:pPr>
    </w:p>
    <w:p>
      <w:pPr>
        <w:ind w:right="120" w:firstLine="751"/>
        <w:spacing w:after="0" w:line="172" w:lineRule="exact"/>
        <w:rPr>
          <w:sz w:val="20"/>
          <w:szCs w:val="20"/>
          <w:color w:val="auto"/>
        </w:rPr>
      </w:pPr>
      <w:r>
        <w:rPr>
          <w:rFonts w:ascii="Arial" w:cs="Arial" w:eastAsia="Arial" w:hAnsi="Arial"/>
          <w:sz w:val="15"/>
          <w:szCs w:val="15"/>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5"/>
          <w:szCs w:val="15"/>
          <w:color w:val="auto"/>
        </w:rPr>
        <w:t>‑</w:t>
      </w:r>
      <w:r>
        <w:rPr>
          <w:rFonts w:ascii="Arial" w:cs="Arial" w:eastAsia="Arial" w:hAnsi="Arial"/>
          <w:sz w:val="15"/>
          <w:szCs w:val="15"/>
          <w:color w:val="auto"/>
        </w:rPr>
        <w:t>month stay.</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In practice, where an ANDA or 505(b)(2) NDA applicant files a paragraph IV certification, the NDA holder or patent owners often take action to trigger the automatic</w:t>
      </w:r>
    </w:p>
    <w:p>
      <w:pPr>
        <w:spacing w:after="0" w:line="19"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30</w:t>
      </w:r>
      <w:r>
        <w:rPr>
          <w:rFonts w:ascii="MS PGothic" w:cs="MS PGothic" w:eastAsia="MS PGothic" w:hAnsi="MS PGothic"/>
          <w:sz w:val="13"/>
          <w:szCs w:val="13"/>
          <w:color w:val="auto"/>
        </w:rPr>
        <w:t>‑</w:t>
      </w:r>
      <w:r>
        <w:rPr>
          <w:rFonts w:ascii="Arial" w:cs="Arial" w:eastAsia="Arial" w:hAnsi="Arial"/>
          <w:sz w:val="13"/>
          <w:szCs w:val="13"/>
          <w:color w:val="auto"/>
        </w:rPr>
        <w:t>month stay, resulting in patent litigation that may take many months or years to resolve. Thus, approval of an ANDA or 505(b)(2) application could be delayed for a significant period of</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time depending on the patent certification the applicant makes and the reference drug sponsor’s decision to initiate patent litigation.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Regulatory Exclusivity</w:t>
      </w:r>
    </w:p>
    <w:p>
      <w:pPr>
        <w:spacing w:after="0" w:line="174" w:lineRule="exact"/>
        <w:rPr>
          <w:sz w:val="20"/>
          <w:szCs w:val="20"/>
          <w:color w:val="auto"/>
        </w:rPr>
      </w:pPr>
    </w:p>
    <w:p>
      <w:pPr>
        <w:ind w:right="40" w:firstLine="751"/>
        <w:spacing w:after="0" w:line="256" w:lineRule="auto"/>
        <w:rPr>
          <w:sz w:val="20"/>
          <w:szCs w:val="20"/>
          <w:color w:val="auto"/>
        </w:rPr>
      </w:pPr>
      <w:r>
        <w:rPr>
          <w:rFonts w:ascii="Arial" w:cs="Arial" w:eastAsia="Arial" w:hAnsi="Arial"/>
          <w:sz w:val="14"/>
          <w:szCs w:val="14"/>
          <w:color w:val="auto"/>
        </w:rPr>
        <w:t>Regulatory exclusivity provisions under the FDCA can also delay the submission or the approval effective date of certain applications. A regulatory exclusivity can provide the holder of an approved NDA protection from new competition in the marketplace for the innovation represented by its approved drug. Five years of exclusivity are available for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49" w:lineRule="exact"/>
        <w:rPr>
          <w:sz w:val="20"/>
          <w:szCs w:val="20"/>
          <w:color w:val="auto"/>
        </w:rPr>
      </w:pPr>
    </w:p>
    <w:p>
      <w:pPr>
        <w:ind w:firstLine="751"/>
        <w:spacing w:after="0" w:line="171" w:lineRule="exact"/>
        <w:rPr>
          <w:sz w:val="20"/>
          <w:szCs w:val="20"/>
          <w:color w:val="auto"/>
        </w:rPr>
      </w:pPr>
      <w:r>
        <w:rPr>
          <w:rFonts w:ascii="Arial" w:cs="Arial" w:eastAsia="Arial" w:hAnsi="Arial"/>
          <w:sz w:val="14"/>
          <w:szCs w:val="14"/>
          <w:color w:val="auto"/>
        </w:rPr>
        <w:t xml:space="preserve">Three years of exclusivity are available to the holder of an NDA, including a 505(b)(2) NDA, for a particular condition of approval, or change to a marketed product, such as a new formulation or indication for a drug </w:t>
      </w:r>
      <w:r>
        <w:rPr>
          <w:rFonts w:ascii="Arial" w:cs="Arial" w:eastAsia="Arial" w:hAnsi="Arial"/>
          <w:sz w:val="14"/>
          <w:szCs w:val="14"/>
          <w:color w:val="333333"/>
        </w:rPr>
        <w:t>product that contains an active moiety that has been previously approved, when the application contains reports of new clinical investigations, other</w:t>
      </w:r>
      <w:r>
        <w:rPr>
          <w:rFonts w:ascii="Arial" w:cs="Arial" w:eastAsia="Arial" w:hAnsi="Arial"/>
          <w:sz w:val="14"/>
          <w:szCs w:val="14"/>
          <w:color w:val="auto"/>
        </w:rPr>
        <w:t xml:space="preserve"> </w:t>
      </w:r>
      <w:r>
        <w:rPr>
          <w:rFonts w:ascii="Arial" w:cs="Arial" w:eastAsia="Arial" w:hAnsi="Arial"/>
          <w:sz w:val="14"/>
          <w:szCs w:val="14"/>
          <w:color w:val="333333"/>
        </w:rPr>
        <w:t xml:space="preserve">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(NCI) was essential to approval of the application containing those changes. </w:t>
      </w:r>
      <w:r>
        <w:rPr>
          <w:rFonts w:ascii="Arial" w:cs="Arial" w:eastAsia="Arial" w:hAnsi="Arial"/>
          <w:sz w:val="14"/>
          <w:szCs w:val="14"/>
          <w:color w:val="000000"/>
        </w:rPr>
        <w:t>During the NCI exclusivity period, FDA may not approve an ANDA or 505(b)(2) NDA by another company for the condition of the new drug’s approval. NCE and NCI</w:t>
      </w:r>
      <w:r>
        <w:rPr>
          <w:rFonts w:ascii="Arial" w:cs="Arial" w:eastAsia="Arial" w:hAnsi="Arial"/>
          <w:sz w:val="14"/>
          <w:szCs w:val="14"/>
          <w:color w:val="333333"/>
        </w:rPr>
        <w:t xml:space="preserve"> </w:t>
      </w:r>
      <w:r>
        <w:rPr>
          <w:rFonts w:ascii="Arial" w:cs="Arial" w:eastAsia="Arial" w:hAnsi="Arial"/>
          <w:sz w:val="14"/>
          <w:szCs w:val="14"/>
          <w:color w:val="000000"/>
        </w:rPr>
        <w:t>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4"/>
          <w:szCs w:val="14"/>
          <w:color w:val="000000"/>
        </w:rPr>
        <w:t>‑</w:t>
      </w:r>
      <w:r>
        <w:rPr>
          <w:rFonts w:ascii="Arial" w:cs="Arial" w:eastAsia="Arial" w:hAnsi="Arial"/>
          <w:sz w:val="14"/>
          <w:szCs w:val="14"/>
          <w:color w:val="000000"/>
        </w:rPr>
        <w:t>controlled clinical trials necessary to demonstrate safety and efficacy.</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29" w:name="page30"/>
    <w:bookmarkEnd w:id="2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40" w:firstLine="751"/>
        <w:spacing w:after="0" w:line="170" w:lineRule="exact"/>
        <w:rPr>
          <w:sz w:val="20"/>
          <w:szCs w:val="20"/>
          <w:color w:val="auto"/>
        </w:rPr>
      </w:pPr>
      <w:r>
        <w:rPr>
          <w:rFonts w:ascii="Arial" w:cs="Arial" w:eastAsia="Arial" w:hAnsi="Arial"/>
          <w:sz w:val="14"/>
          <w:szCs w:val="14"/>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4"/>
          <w:szCs w:val="14"/>
          <w:color w:val="auto"/>
        </w:rPr>
        <w:t>‑</w:t>
      </w:r>
      <w:r>
        <w:rPr>
          <w:rFonts w:ascii="Arial" w:cs="Arial" w:eastAsia="Arial" w:hAnsi="Arial"/>
          <w:sz w:val="14"/>
          <w:szCs w:val="14"/>
          <w:color w:val="auto"/>
        </w:rPr>
        <w:t>patent exclusivity periods described above as well as applicable patent terms. This six</w:t>
      </w:r>
      <w:r>
        <w:rPr>
          <w:rFonts w:ascii="MS PGothic" w:cs="MS PGothic" w:eastAsia="MS PGothic" w:hAnsi="MS PGothic"/>
          <w:sz w:val="14"/>
          <w:szCs w:val="14"/>
          <w:color w:val="auto"/>
        </w:rPr>
        <w:t>‑</w:t>
      </w:r>
      <w:r>
        <w:rPr>
          <w:rFonts w:ascii="Arial" w:cs="Arial" w:eastAsia="Arial" w:hAnsi="Arial"/>
          <w:sz w:val="14"/>
          <w:szCs w:val="14"/>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161" w:lineRule="exact"/>
        <w:rPr>
          <w:sz w:val="20"/>
          <w:szCs w:val="20"/>
          <w:color w:val="auto"/>
        </w:rPr>
      </w:pPr>
    </w:p>
    <w:p>
      <w:pPr>
        <w:ind w:right="120" w:firstLine="751"/>
        <w:spacing w:after="0" w:line="171" w:lineRule="exact"/>
        <w:rPr>
          <w:sz w:val="20"/>
          <w:szCs w:val="20"/>
          <w:color w:val="auto"/>
        </w:rPr>
      </w:pPr>
      <w:r>
        <w:rPr>
          <w:rFonts w:ascii="Arial" w:cs="Arial" w:eastAsia="Arial" w:hAnsi="Arial"/>
          <w:sz w:val="14"/>
          <w:szCs w:val="14"/>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4"/>
          <w:szCs w:val="14"/>
          <w:color w:val="auto"/>
        </w:rPr>
        <w:t>‑</w:t>
      </w:r>
      <w:r>
        <w:rPr>
          <w:rFonts w:ascii="Arial" w:cs="Arial" w:eastAsia="Arial" w:hAnsi="Arial"/>
          <w:sz w:val="14"/>
          <w:szCs w:val="14"/>
          <w:color w:val="auto"/>
        </w:rPr>
        <w:t>fee waivers.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Special FDA Expedited Review and Approval Programs</w:t>
      </w:r>
    </w:p>
    <w:p>
      <w:pPr>
        <w:spacing w:after="0" w:line="174" w:lineRule="exact"/>
        <w:rPr>
          <w:sz w:val="20"/>
          <w:szCs w:val="20"/>
          <w:color w:val="auto"/>
        </w:rPr>
      </w:pPr>
    </w:p>
    <w:p>
      <w:pPr>
        <w:ind w:firstLine="751"/>
        <w:spacing w:after="0"/>
        <w:rPr>
          <w:sz w:val="20"/>
          <w:szCs w:val="20"/>
          <w:color w:val="auto"/>
        </w:rPr>
      </w:pPr>
      <w:r>
        <w:rPr>
          <w:rFonts w:ascii="Arial" w:cs="Arial" w:eastAsia="Arial" w:hAnsi="Arial"/>
          <w:sz w:val="15"/>
          <w:szCs w:val="15"/>
          <w:color w:val="auto"/>
        </w:rPr>
        <w:t>The FDA has various programs, including Fast Track designation, Priority Review and Breakthrough designation, which are intended to expedite or simplify the process for the development and FDA review of certain drug products that are intended for the treatment of serious or life 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59" w:lineRule="exact"/>
        <w:rPr>
          <w:sz w:val="20"/>
          <w:szCs w:val="20"/>
          <w:color w:val="auto"/>
        </w:rPr>
      </w:pPr>
    </w:p>
    <w:p>
      <w:pPr>
        <w:ind w:right="60" w:firstLine="751"/>
        <w:spacing w:after="0"/>
        <w:rPr>
          <w:sz w:val="20"/>
          <w:szCs w:val="20"/>
          <w:color w:val="auto"/>
        </w:rPr>
      </w:pPr>
      <w:r>
        <w:rPr>
          <w:rFonts w:ascii="Arial" w:cs="Arial" w:eastAsia="Arial" w:hAnsi="Arial"/>
          <w:sz w:val="15"/>
          <w:szCs w:val="15"/>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159" w:lineRule="exact"/>
        <w:rPr>
          <w:sz w:val="20"/>
          <w:szCs w:val="20"/>
          <w:color w:val="auto"/>
        </w:rPr>
      </w:pPr>
    </w:p>
    <w:p>
      <w:pPr>
        <w:jc w:val="both"/>
        <w:ind w:right="40" w:firstLine="751"/>
        <w:spacing w:after="0"/>
        <w:rPr>
          <w:sz w:val="20"/>
          <w:szCs w:val="20"/>
          <w:color w:val="auto"/>
        </w:rPr>
      </w:pPr>
      <w:r>
        <w:rPr>
          <w:rFonts w:ascii="Arial" w:cs="Arial" w:eastAsia="Arial" w:hAnsi="Arial"/>
          <w:sz w:val="15"/>
          <w:szCs w:val="15"/>
          <w:color w:val="auto"/>
        </w:rPr>
        <w:t>In addition, if an applicant obtains “rolling review” the FDA may accept and initiate review of sections of an NDA before the application submission is complete, although it is not guaranteed that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59" w:lineRule="exact"/>
        <w:rPr>
          <w:sz w:val="20"/>
          <w:szCs w:val="20"/>
          <w:color w:val="auto"/>
        </w:rPr>
      </w:pPr>
    </w:p>
    <w:p>
      <w:pPr>
        <w:ind w:firstLine="751"/>
        <w:spacing w:after="0" w:line="172" w:lineRule="exact"/>
        <w:rPr>
          <w:sz w:val="20"/>
          <w:szCs w:val="20"/>
          <w:color w:val="auto"/>
        </w:rPr>
      </w:pPr>
      <w:r>
        <w:rPr>
          <w:rFonts w:ascii="Arial" w:cs="Arial" w:eastAsia="Arial" w:hAnsi="Arial"/>
          <w:sz w:val="15"/>
          <w:szCs w:val="15"/>
          <w:color w:val="auto"/>
        </w:rPr>
        <w:t>In some cases, a Fast Track product may be eligible for Accelerated Approval or Priority Review. 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PGothic" w:cs="MS PGothic" w:eastAsia="MS PGothic" w:hAnsi="MS PGothic"/>
          <w:sz w:val="15"/>
          <w:szCs w:val="15"/>
          <w:color w:val="auto"/>
        </w:rPr>
        <w:t>‑</w:t>
      </w:r>
      <w:r>
        <w:rPr>
          <w:rFonts w:ascii="Arial" w:cs="Arial" w:eastAsia="Arial" w:hAnsi="Arial"/>
          <w:sz w:val="15"/>
          <w:szCs w:val="15"/>
          <w:color w:val="auto"/>
        </w:rPr>
        <w:t>day filing date for NMEs and within six months of the submission receipt date for non</w:t>
      </w:r>
      <w:r>
        <w:rPr>
          <w:rFonts w:ascii="MS PGothic" w:cs="MS PGothic" w:eastAsia="MS PGothic" w:hAnsi="MS PGothic"/>
          <w:sz w:val="15"/>
          <w:szCs w:val="15"/>
          <w:color w:val="auto"/>
        </w:rPr>
        <w:t>‑</w:t>
      </w:r>
      <w:r>
        <w:rPr>
          <w:rFonts w:ascii="Arial" w:cs="Arial" w:eastAsia="Arial" w:hAnsi="Arial"/>
          <w:sz w:val="15"/>
          <w:szCs w:val="15"/>
          <w:color w:val="auto"/>
        </w:rPr>
        <w:t>NMEs. Products that are eligible for Fast Track designation may also be considered appropriate to receive a Priority Review.</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0" w:name="page31"/>
    <w:bookmarkEnd w:id="3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3"/>
          <w:szCs w:val="13"/>
          <w:color w:val="auto"/>
        </w:rPr>
        <w:t>Moreover, under the provisions of the Food and Drug Administration Safety and Innovation Act, or FDASIA, enacted in 2012, a sponsor can request designation of a product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candidate as a “breakthrough therapy.” A breakthrough therapy is defined as a drug that is intended, alone or in combination with one or more other drugs, to treat a serious or</w:t>
      </w:r>
    </w:p>
    <w:p>
      <w:pPr>
        <w:spacing w:after="0" w:line="7"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life</w:t>
      </w:r>
      <w:r>
        <w:rPr>
          <w:rFonts w:ascii="MS PGothic" w:cs="MS PGothic" w:eastAsia="MS PGothic" w:hAnsi="MS PGothic"/>
          <w:sz w:val="13"/>
          <w:szCs w:val="13"/>
          <w:color w:val="auto"/>
        </w:rPr>
        <w:t>‑</w:t>
      </w:r>
      <w:r>
        <w:rPr>
          <w:rFonts w:ascii="Arial" w:cs="Arial" w:eastAsia="Arial" w:hAnsi="Arial"/>
          <w:sz w:val="13"/>
          <w:szCs w:val="13"/>
          <w:color w:val="auto"/>
        </w:rPr>
        <w:t>threatening disease or condition, and preliminary clinical evidence indicates that the drug may demonstrate substantial improvement over existing therapies on one or more clinically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significant endpoints, such as substantial treatment effects observed early in clinical development. Drugs designated as breakthrough therapies are eligible for the Fast Track designation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features as described above, intensive guidance on an efficient drug development program beginning as early as Phase 1 trials, and a commitment from the FDA to involve senior managers</w:t>
      </w:r>
    </w:p>
    <w:p>
      <w:pPr>
        <w:spacing w:after="0" w:line="18"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and experienced review staff in a proactive collaborative, cross</w:t>
      </w:r>
      <w:r>
        <w:rPr>
          <w:rFonts w:ascii="MS PGothic" w:cs="MS PGothic" w:eastAsia="MS PGothic" w:hAnsi="MS PGothic"/>
          <w:sz w:val="15"/>
          <w:szCs w:val="15"/>
          <w:color w:val="auto"/>
        </w:rPr>
        <w:t>‑</w:t>
      </w:r>
      <w:r>
        <w:rPr>
          <w:rFonts w:ascii="Arial" w:cs="Arial" w:eastAsia="Arial" w:hAnsi="Arial"/>
          <w:sz w:val="15"/>
          <w:szCs w:val="15"/>
          <w:color w:val="auto"/>
        </w:rPr>
        <w:t>disciplinary review.</w:t>
      </w:r>
    </w:p>
    <w:p>
      <w:pPr>
        <w:spacing w:after="0" w:line="162" w:lineRule="exact"/>
        <w:rPr>
          <w:sz w:val="20"/>
          <w:szCs w:val="20"/>
          <w:color w:val="auto"/>
        </w:rPr>
      </w:pPr>
    </w:p>
    <w:p>
      <w:pPr>
        <w:ind w:right="40" w:firstLine="751"/>
        <w:spacing w:after="0" w:line="255" w:lineRule="auto"/>
        <w:rPr>
          <w:sz w:val="20"/>
          <w:szCs w:val="20"/>
          <w:color w:val="auto"/>
        </w:rPr>
      </w:pPr>
      <w:r>
        <w:rPr>
          <w:rFonts w:ascii="Arial" w:cs="Arial" w:eastAsia="Arial" w:hAnsi="Arial"/>
          <w:sz w:val="15"/>
          <w:szCs w:val="15"/>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47" w:lineRule="exact"/>
        <w:rPr>
          <w:sz w:val="20"/>
          <w:szCs w:val="20"/>
          <w:color w:val="auto"/>
        </w:rPr>
      </w:pPr>
    </w:p>
    <w:p>
      <w:pPr>
        <w:spacing w:after="0" w:line="173" w:lineRule="exact"/>
        <w:rPr>
          <w:sz w:val="20"/>
          <w:szCs w:val="20"/>
          <w:color w:val="auto"/>
        </w:rPr>
      </w:pPr>
      <w:r>
        <w:rPr>
          <w:rFonts w:ascii="Arial" w:cs="Arial" w:eastAsia="Arial" w:hAnsi="Arial"/>
          <w:sz w:val="15"/>
          <w:szCs w:val="15"/>
          <w:i w:val="1"/>
          <w:iCs w:val="1"/>
          <w:color w:val="auto"/>
        </w:rPr>
        <w:t>Post</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approval Requirements</w:t>
      </w:r>
    </w:p>
    <w:p>
      <w:pPr>
        <w:spacing w:after="0" w:line="174" w:lineRule="exact"/>
        <w:rPr>
          <w:sz w:val="20"/>
          <w:szCs w:val="20"/>
          <w:color w:val="auto"/>
        </w:rPr>
      </w:pPr>
    </w:p>
    <w:p>
      <w:pPr>
        <w:ind w:right="60" w:firstLine="751"/>
        <w:spacing w:after="0" w:line="238" w:lineRule="auto"/>
        <w:rPr>
          <w:sz w:val="20"/>
          <w:szCs w:val="20"/>
          <w:color w:val="auto"/>
        </w:rPr>
      </w:pPr>
      <w:r>
        <w:rPr>
          <w:rFonts w:ascii="Arial" w:cs="Arial" w:eastAsia="Arial" w:hAnsi="Arial"/>
          <w:sz w:val="15"/>
          <w:szCs w:val="15"/>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61" w:lineRule="exact"/>
        <w:rPr>
          <w:sz w:val="20"/>
          <w:szCs w:val="20"/>
          <w:color w:val="auto"/>
        </w:rPr>
      </w:pPr>
    </w:p>
    <w:p>
      <w:pPr>
        <w:ind w:right="140" w:firstLine="751"/>
        <w:spacing w:after="0" w:line="172" w:lineRule="exact"/>
        <w:rPr>
          <w:sz w:val="20"/>
          <w:szCs w:val="20"/>
          <w:color w:val="auto"/>
        </w:rPr>
      </w:pPr>
      <w:r>
        <w:rPr>
          <w:rFonts w:ascii="Arial" w:cs="Arial" w:eastAsia="Arial" w:hAnsi="Arial"/>
          <w:sz w:val="15"/>
          <w:szCs w:val="15"/>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5"/>
          <w:szCs w:val="15"/>
          <w:color w:val="auto"/>
        </w:rPr>
        <w:t>‑</w:t>
      </w:r>
      <w:r>
        <w:rPr>
          <w:rFonts w:ascii="Arial" w:cs="Arial" w:eastAsia="Arial" w:hAnsi="Arial"/>
          <w:sz w:val="15"/>
          <w:szCs w:val="15"/>
          <w:color w:val="auto"/>
        </w:rPr>
        <w:t>party manufacturers.</w:t>
      </w:r>
    </w:p>
    <w:p>
      <w:pPr>
        <w:spacing w:after="0" w:line="161" w:lineRule="exact"/>
        <w:rPr>
          <w:sz w:val="20"/>
          <w:szCs w:val="20"/>
          <w:color w:val="auto"/>
        </w:rPr>
      </w:pPr>
    </w:p>
    <w:p>
      <w:pPr>
        <w:ind w:firstLine="751"/>
        <w:spacing w:after="0" w:line="175" w:lineRule="exact"/>
        <w:rPr>
          <w:sz w:val="20"/>
          <w:szCs w:val="20"/>
          <w:color w:val="auto"/>
        </w:rPr>
      </w:pPr>
      <w:r>
        <w:rPr>
          <w:rFonts w:ascii="Arial" w:cs="Arial" w:eastAsia="Arial" w:hAnsi="Arial"/>
          <w:sz w:val="13"/>
          <w:szCs w:val="13"/>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PGothic" w:cs="MS PGothic" w:eastAsia="MS PGothic" w:hAnsi="MS PGothic"/>
          <w:sz w:val="13"/>
          <w:szCs w:val="13"/>
          <w:color w:val="auto"/>
        </w:rPr>
        <w:t>‑</w:t>
      </w:r>
      <w:r>
        <w:rPr>
          <w:rFonts w:ascii="Arial" w:cs="Arial" w:eastAsia="Arial" w:hAnsi="Arial"/>
          <w:sz w:val="13"/>
          <w:szCs w:val="13"/>
          <w:color w:val="auto"/>
        </w:rPr>
        <w:t>party manufacturers that the sponsor may decide to use. Accordingly, manufacturers must continue to expend time, money, and effort in the area of production and quality control to maintain cGMP compliance.</w:t>
      </w:r>
    </w:p>
    <w:p>
      <w:pPr>
        <w:spacing w:after="0" w:line="158" w:lineRule="exact"/>
        <w:rPr>
          <w:sz w:val="20"/>
          <w:szCs w:val="20"/>
          <w:color w:val="auto"/>
        </w:rPr>
      </w:pPr>
    </w:p>
    <w:p>
      <w:pPr>
        <w:ind w:right="20" w:firstLine="751"/>
        <w:spacing w:after="0" w:line="170" w:lineRule="exact"/>
        <w:rPr>
          <w:sz w:val="20"/>
          <w:szCs w:val="20"/>
          <w:color w:val="auto"/>
        </w:rPr>
      </w:pPr>
      <w:r>
        <w:rPr>
          <w:rFonts w:ascii="Arial" w:cs="Arial" w:eastAsia="Arial" w:hAnsi="Arial"/>
          <w:sz w:val="14"/>
          <w:szCs w:val="14"/>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4"/>
          <w:szCs w:val="14"/>
          <w:color w:val="auto"/>
        </w:rPr>
        <w:t>‑</w:t>
      </w:r>
      <w:r>
        <w:rPr>
          <w:rFonts w:ascii="Arial" w:cs="Arial" w:eastAsia="Arial" w:hAnsi="Arial"/>
          <w:sz w:val="14"/>
          <w:szCs w:val="14"/>
          <w:color w:val="auto"/>
        </w:rPr>
        <w:t>label uses, and a company that is found to have improperly promoted off</w:t>
      </w:r>
      <w:r>
        <w:rPr>
          <w:rFonts w:ascii="MS PGothic" w:cs="MS PGothic" w:eastAsia="MS PGothic" w:hAnsi="MS PGothic"/>
          <w:sz w:val="14"/>
          <w:szCs w:val="14"/>
          <w:color w:val="auto"/>
        </w:rPr>
        <w:t>‑</w:t>
      </w:r>
      <w:r>
        <w:rPr>
          <w:rFonts w:ascii="Arial" w:cs="Arial" w:eastAsia="Arial" w:hAnsi="Arial"/>
          <w:sz w:val="14"/>
          <w:szCs w:val="14"/>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1" w:name="page32"/>
    <w:bookmarkEnd w:id="3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100" w:firstLine="751"/>
        <w:spacing w:after="0" w:line="277" w:lineRule="auto"/>
        <w:rPr>
          <w:sz w:val="20"/>
          <w:szCs w:val="20"/>
          <w:color w:val="auto"/>
        </w:rPr>
      </w:pPr>
      <w:r>
        <w:rPr>
          <w:rFonts w:ascii="Arial" w:cs="Arial" w:eastAsia="Arial" w:hAnsi="Arial"/>
          <w:sz w:val="13"/>
          <w:szCs w:val="13"/>
          <w:color w:val="auto"/>
        </w:rPr>
        <w:t>Commercial products must meet the requirements of the Drug Supply Chain Security Act, or DSCSA, which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pacing w:after="0" w:line="139" w:lineRule="exact"/>
        <w:rPr>
          <w:sz w:val="20"/>
          <w:szCs w:val="20"/>
          <w:color w:val="auto"/>
        </w:rPr>
      </w:pPr>
    </w:p>
    <w:p>
      <w:pPr>
        <w:ind w:right="40" w:firstLine="751"/>
        <w:spacing w:after="0" w:line="171" w:lineRule="exact"/>
        <w:rPr>
          <w:sz w:val="20"/>
          <w:szCs w:val="20"/>
          <w:color w:val="auto"/>
        </w:rPr>
      </w:pPr>
      <w:r>
        <w:rPr>
          <w:rFonts w:ascii="Arial" w:cs="Arial" w:eastAsia="Arial" w:hAnsi="Arial"/>
          <w:sz w:val="13"/>
          <w:szCs w:val="13"/>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w:t>
      </w:r>
      <w:r>
        <w:rPr>
          <w:rFonts w:ascii="MS PGothic" w:cs="MS PGothic" w:eastAsia="MS PGothic" w:hAnsi="MS PGothic"/>
          <w:sz w:val="13"/>
          <w:szCs w:val="13"/>
          <w:color w:val="auto"/>
        </w:rPr>
        <w:t>‑</w:t>
      </w:r>
      <w:r>
        <w:rPr>
          <w:rFonts w:ascii="Arial" w:cs="Arial" w:eastAsia="Arial" w:hAnsi="Arial"/>
          <w:sz w:val="13"/>
          <w:szCs w:val="13"/>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Fraud and Abuse, and Transparency Laws and Regulations</w:t>
      </w:r>
    </w:p>
    <w:p>
      <w:pPr>
        <w:spacing w:after="0" w:line="174" w:lineRule="exact"/>
        <w:rPr>
          <w:sz w:val="20"/>
          <w:szCs w:val="20"/>
          <w:color w:val="auto"/>
        </w:rPr>
      </w:pPr>
    </w:p>
    <w:p>
      <w:pPr>
        <w:ind w:firstLine="751"/>
        <w:spacing w:after="0" w:line="171" w:lineRule="exact"/>
        <w:rPr>
          <w:sz w:val="20"/>
          <w:szCs w:val="20"/>
          <w:color w:val="auto"/>
        </w:rPr>
      </w:pPr>
      <w:r>
        <w:rPr>
          <w:rFonts w:ascii="Arial" w:cs="Arial" w:eastAsia="Arial" w:hAnsi="Arial"/>
          <w:sz w:val="14"/>
          <w:szCs w:val="14"/>
          <w:color w:val="auto"/>
        </w:rPr>
        <w:t>Our business activities, including but not limited to research, sales, promotion, marketing, distribution, medical education, sponsorships, relationships with prescribers and other referral sources,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or CMS the Office of Inspector General, or OIG, and the Health Resources and Services Administration, or HRSA, the Department of Veterans Affairs, the Department of Defense, and certain state and local governments. Our business activities must comply with numerous healthcare laws, including but not limited to, anti</w:t>
      </w:r>
      <w:r>
        <w:rPr>
          <w:rFonts w:ascii="MS PGothic" w:cs="MS PGothic" w:eastAsia="MS PGothic" w:hAnsi="MS PGothic"/>
          <w:sz w:val="14"/>
          <w:szCs w:val="14"/>
          <w:color w:val="auto"/>
        </w:rPr>
        <w:t>‑</w:t>
      </w:r>
      <w:r>
        <w:rPr>
          <w:rFonts w:ascii="Arial" w:cs="Arial" w:eastAsia="Arial" w:hAnsi="Arial"/>
          <w:sz w:val="14"/>
          <w:szCs w:val="14"/>
          <w:color w:val="auto"/>
        </w:rPr>
        <w:t>kickback and false claims laws and regulations as well as data privacy and security laws and regulations, which are described below.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2" w:name="page33"/>
    <w:bookmarkEnd w:id="3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0" w:firstLine="751"/>
        <w:spacing w:after="0" w:line="273" w:lineRule="auto"/>
        <w:rPr>
          <w:sz w:val="20"/>
          <w:szCs w:val="20"/>
          <w:color w:val="auto"/>
        </w:rPr>
      </w:pPr>
      <w:r>
        <w:rPr>
          <w:rFonts w:ascii="Arial" w:cs="Arial" w:eastAsia="Arial" w:hAnsi="Arial"/>
          <w:sz w:val="13"/>
          <w:szCs w:val="13"/>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 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 Kickback Statute. The safe harbors are subject to change through legislative and regulatory action, and we may decide to adjust our business practices or be subject to heightened scrutiny as a result. Instead, the legality of the arrangement will be evaluated on a case-by-case basis based on a cumulative review of all of its facts and circumstances to determine whether one purpose of an arrangement involving remuneration is to induce referrals of federal healthcare covered business. Additionally, the intent standard under the Anti-Kickback Statute provides that a person or entity need not have actual knowledge of the statute or specific intent to violate it in order to have committed a violation. In addition, a claim including items or services resulting from a violation of the federal Anti-Kickback Statute constitutes a false or fraudulent claim for purposes of the federal civil False Claims Act. Therefore, either the federal government or private citizens under the False Claims Act’s qui tam provisions (discussed further below) can bring an action under the False Claims Act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pacing w:after="0" w:line="141" w:lineRule="exact"/>
        <w:rPr>
          <w:sz w:val="20"/>
          <w:szCs w:val="20"/>
          <w:color w:val="auto"/>
        </w:rPr>
      </w:pPr>
    </w:p>
    <w:p>
      <w:pPr>
        <w:ind w:firstLine="751"/>
        <w:spacing w:after="0" w:line="277" w:lineRule="auto"/>
        <w:rPr>
          <w:sz w:val="20"/>
          <w:szCs w:val="20"/>
          <w:color w:val="auto"/>
        </w:rPr>
      </w:pPr>
      <w:r>
        <w:rPr>
          <w:rFonts w:ascii="Arial" w:cs="Arial" w:eastAsia="Arial" w:hAnsi="Arial"/>
          <w:sz w:val="13"/>
          <w:szCs w:val="13"/>
          <w:color w:val="auto"/>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(EHR) vendors and pharmaceutical manufacturers for remunerative relationships involving the EHR platform’s recommendation of particular drugs and “prompting” technology to increase prescribing of particular drugs.</w:t>
      </w:r>
    </w:p>
    <w:p>
      <w:pPr>
        <w:spacing w:after="0" w:line="127" w:lineRule="exact"/>
        <w:rPr>
          <w:sz w:val="20"/>
          <w:szCs w:val="20"/>
          <w:color w:val="auto"/>
        </w:rPr>
      </w:pPr>
    </w:p>
    <w:p>
      <w:pPr>
        <w:ind w:right="320" w:firstLine="751"/>
        <w:spacing w:after="0" w:line="228" w:lineRule="auto"/>
        <w:rPr>
          <w:sz w:val="20"/>
          <w:szCs w:val="20"/>
          <w:color w:val="auto"/>
        </w:rPr>
      </w:pPr>
      <w:r>
        <w:rPr>
          <w:rFonts w:ascii="Arial" w:cs="Arial" w:eastAsia="Arial" w:hAnsi="Arial"/>
          <w:sz w:val="15"/>
          <w:szCs w:val="15"/>
          <w:color w:val="auto"/>
        </w:rPr>
        <w:t>The ACA further created new federal requirements for reporting under the Physician Payments Sunshine Act, or the Sunshine Act, by applicable manufacturers of covered drugs, payments and other transfers of value to physicians and teaching hospitals, and ownership and investment interests held by physicians and their immediate family members. The Sunshine Act’s tracking requirement is now extended to payments and transfers of value to physician assistants, nurse practitioners, and other mid-level practitioners, with reporting requirements for these additional mid-level practitioners going into effect in 2022.</w:t>
      </w:r>
    </w:p>
    <w:p>
      <w:pPr>
        <w:spacing w:after="0" w:line="160" w:lineRule="exact"/>
        <w:rPr>
          <w:sz w:val="20"/>
          <w:szCs w:val="20"/>
          <w:color w:val="auto"/>
        </w:rPr>
      </w:pPr>
    </w:p>
    <w:p>
      <w:pPr>
        <w:ind w:right="120" w:firstLine="751"/>
        <w:spacing w:after="0" w:line="236" w:lineRule="auto"/>
        <w:rPr>
          <w:sz w:val="20"/>
          <w:szCs w:val="20"/>
          <w:color w:val="auto"/>
        </w:rPr>
      </w:pPr>
      <w:r>
        <w:rPr>
          <w:rFonts w:ascii="Arial" w:cs="Arial" w:eastAsia="Arial" w:hAnsi="Arial"/>
          <w:sz w:val="15"/>
          <w:szCs w:val="15"/>
          <w:color w:val="auto"/>
        </w:rPr>
        <w:t>The federal civil False Claims Act, or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directly or indirectly to the U.S. government. The civil False Claims Act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3" w:name="page34"/>
    <w:bookmarkEnd w:id="3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providing free product to customers with the expectation that the customers would bill federal programs for the product. Intent to deceive is not required to establish liability under the civil False Claims Act; however, a November 2017 Department of Justice memorandum now prohibits the use of subregulatory guidance documents to impose new or more stringent requirements on entities outside the Executive Branch of the federal government. Because the Department has experienced recent administration changes, it is unclear whether the new Attorney General will continue this policy.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False Claims Act lawsuits against pharmaceutical companies have increased significantly in volume and breadth, leading to several substantial civil and criminal settlements, as much as $3.0 billion, regarding certain sales practices and promoting off-label drug uses. For example, civil False Claims Act liability may be imposed for Medicare or Medicaid overpayments arising out of claims that were filed by providers but alleged to have been caused by manufacturers’ incentives, impermissible discounts, or overpayments caused by understated rebate amounts. False Claims Act enforcement may also arise from claims filed as the result of manufacturing marketing materials that contained inaccurate statements or provided certain reimbursement guidance.</w:t>
      </w:r>
    </w:p>
    <w:p>
      <w:pPr>
        <w:spacing w:after="0" w:line="137" w:lineRule="exact"/>
        <w:rPr>
          <w:sz w:val="20"/>
          <w:szCs w:val="20"/>
          <w:color w:val="auto"/>
        </w:rPr>
      </w:pPr>
    </w:p>
    <w:p>
      <w:pPr>
        <w:ind w:right="20" w:firstLine="751"/>
        <w:spacing w:after="0" w:line="257" w:lineRule="auto"/>
        <w:rPr>
          <w:sz w:val="20"/>
          <w:szCs w:val="20"/>
          <w:color w:val="auto"/>
        </w:rPr>
      </w:pPr>
      <w:r>
        <w:rPr>
          <w:rFonts w:ascii="Arial" w:cs="Arial" w:eastAsia="Arial" w:hAnsi="Arial"/>
          <w:sz w:val="14"/>
          <w:szCs w:val="14"/>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 Similarly, the criminal healthcare fraud statutes impose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form healthcare benefits, items, or services. These statutes are not limited to items and services reimbursed by a governmental health care program and have been used to prosecute commercial insurance fraud as well.</w:t>
      </w:r>
    </w:p>
    <w:p>
      <w:pPr>
        <w:spacing w:after="0" w:line="150" w:lineRule="exact"/>
        <w:rPr>
          <w:sz w:val="20"/>
          <w:szCs w:val="20"/>
          <w:color w:val="auto"/>
        </w:rPr>
      </w:pPr>
    </w:p>
    <w:p>
      <w:pPr>
        <w:ind w:right="40" w:firstLine="751"/>
        <w:spacing w:after="0" w:line="244" w:lineRule="auto"/>
        <w:rPr>
          <w:sz w:val="20"/>
          <w:szCs w:val="20"/>
          <w:color w:val="auto"/>
        </w:rPr>
      </w:pPr>
      <w:r>
        <w:rPr>
          <w:rFonts w:ascii="Arial" w:cs="Arial" w:eastAsia="Arial" w:hAnsi="Arial"/>
          <w:sz w:val="15"/>
          <w:szCs w:val="15"/>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155" w:lineRule="exact"/>
        <w:rPr>
          <w:sz w:val="20"/>
          <w:szCs w:val="20"/>
          <w:color w:val="auto"/>
        </w:rPr>
      </w:pPr>
    </w:p>
    <w:p>
      <w:pPr>
        <w:ind w:firstLine="751"/>
        <w:spacing w:after="0" w:line="277" w:lineRule="auto"/>
        <w:rPr>
          <w:sz w:val="20"/>
          <w:szCs w:val="20"/>
          <w:color w:val="auto"/>
        </w:rPr>
      </w:pPr>
      <w:r>
        <w:rPr>
          <w:rFonts w:ascii="Arial" w:cs="Arial" w:eastAsia="Arial" w:hAnsi="Arial"/>
          <w:sz w:val="13"/>
          <w:szCs w:val="13"/>
          <w:color w:val="auto"/>
        </w:rPr>
        <w:t>The exclusion statute requires the exclusion of entities and individuals who have been convicted of federal-program related crimes or health care felony fraud or controlled substance charges. The statute also permits the exclusion of those that have been convicted of any form of fraud, the anti-kickback statute, for obstructing an investigation or audit, misdemeanor-controlled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139" w:lineRule="exact"/>
        <w:rPr>
          <w:sz w:val="20"/>
          <w:szCs w:val="20"/>
          <w:color w:val="auto"/>
        </w:rPr>
      </w:pPr>
    </w:p>
    <w:p>
      <w:pPr>
        <w:ind w:right="40" w:firstLine="751"/>
        <w:spacing w:after="0" w:line="255" w:lineRule="auto"/>
        <w:rPr>
          <w:sz w:val="20"/>
          <w:szCs w:val="20"/>
          <w:color w:val="auto"/>
        </w:rPr>
      </w:pPr>
      <w:r>
        <w:rPr>
          <w:rFonts w:ascii="Arial" w:cs="Arial" w:eastAsia="Arial" w:hAnsi="Arial"/>
          <w:sz w:val="15"/>
          <w:szCs w:val="15"/>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36" w:lineRule="exact"/>
        <w:rPr>
          <w:sz w:val="20"/>
          <w:szCs w:val="20"/>
          <w:color w:val="auto"/>
        </w:rPr>
      </w:pPr>
    </w:p>
    <w:p>
      <w:pPr>
        <w:ind w:right="80" w:firstLine="751"/>
        <w:spacing w:after="0" w:line="232" w:lineRule="auto"/>
        <w:rPr>
          <w:sz w:val="20"/>
          <w:szCs w:val="20"/>
          <w:color w:val="auto"/>
        </w:rPr>
      </w:pPr>
      <w:r>
        <w:rPr>
          <w:rFonts w:ascii="Arial" w:cs="Arial" w:eastAsia="Arial" w:hAnsi="Arial"/>
          <w:sz w:val="14"/>
          <w:szCs w:val="14"/>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4" w:name="page35"/>
    <w:bookmarkEnd w:id="3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ind w:right="20"/>
        <w:spacing w:after="0" w:line="154" w:lineRule="exact"/>
        <w:rPr>
          <w:sz w:val="20"/>
          <w:szCs w:val="20"/>
          <w:color w:val="auto"/>
        </w:rPr>
      </w:pPr>
      <w:r>
        <w:rPr>
          <w:rFonts w:ascii="Arial" w:cs="Arial" w:eastAsia="Arial" w:hAnsi="Arial"/>
          <w:sz w:val="14"/>
          <w:szCs w:val="14"/>
          <w:color w:val="auto"/>
        </w:rPr>
        <w:t>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4"/>
          <w:szCs w:val="14"/>
          <w:color w:val="auto"/>
        </w:rPr>
        <w:t>‑</w:t>
      </w:r>
      <w:r>
        <w:rPr>
          <w:rFonts w:ascii="Arial" w:cs="Arial" w:eastAsia="Arial" w:hAnsi="Arial"/>
          <w:sz w:val="14"/>
          <w:szCs w:val="14"/>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resulting potential FCA liability.</w:t>
      </w:r>
    </w:p>
    <w:p>
      <w:pPr>
        <w:spacing w:after="0" w:line="137" w:lineRule="exact"/>
        <w:rPr>
          <w:sz w:val="20"/>
          <w:szCs w:val="20"/>
          <w:color w:val="auto"/>
        </w:rPr>
      </w:pPr>
    </w:p>
    <w:p>
      <w:pPr>
        <w:ind w:right="20" w:firstLine="751"/>
        <w:spacing w:after="0" w:line="212" w:lineRule="auto"/>
        <w:rPr>
          <w:sz w:val="20"/>
          <w:szCs w:val="20"/>
          <w:color w:val="auto"/>
        </w:rPr>
      </w:pPr>
      <w:r>
        <w:rPr>
          <w:rFonts w:ascii="Arial" w:cs="Arial" w:eastAsia="Arial" w:hAnsi="Arial"/>
          <w:sz w:val="15"/>
          <w:szCs w:val="15"/>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Department of Health and Human Services. Manufacturers can be audited by HRSA and be subjected to civil monetary penalties for knowingly and intentionally overcharging covered entities for drugs.</w:t>
      </w:r>
    </w:p>
    <w:p>
      <w:pPr>
        <w:spacing w:after="0" w:line="136" w:lineRule="exact"/>
        <w:rPr>
          <w:sz w:val="20"/>
          <w:szCs w:val="20"/>
          <w:color w:val="auto"/>
        </w:rPr>
      </w:pPr>
    </w:p>
    <w:p>
      <w:pPr>
        <w:ind w:firstLine="751"/>
        <w:spacing w:after="0" w:line="212" w:lineRule="auto"/>
        <w:rPr>
          <w:sz w:val="20"/>
          <w:szCs w:val="20"/>
          <w:color w:val="auto"/>
        </w:rPr>
      </w:pPr>
      <w:r>
        <w:rPr>
          <w:rFonts w:ascii="Arial" w:cs="Arial" w:eastAsia="Arial" w:hAnsi="Arial"/>
          <w:sz w:val="15"/>
          <w:szCs w:val="15"/>
          <w:color w:val="auto"/>
        </w:rPr>
        <w:t>The federal Health Insurance Portability and Accountability Act of 1996, or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w:t>
      </w:r>
    </w:p>
    <w:p>
      <w:pPr>
        <w:spacing w:after="0" w:line="147" w:lineRule="exact"/>
        <w:rPr>
          <w:sz w:val="20"/>
          <w:szCs w:val="20"/>
          <w:color w:val="auto"/>
        </w:rPr>
      </w:pPr>
    </w:p>
    <w:p>
      <w:pPr>
        <w:ind w:right="40" w:firstLine="751"/>
        <w:spacing w:after="0" w:line="254" w:lineRule="auto"/>
        <w:rPr>
          <w:sz w:val="20"/>
          <w:szCs w:val="20"/>
          <w:color w:val="auto"/>
        </w:rPr>
      </w:pPr>
      <w:r>
        <w:rPr>
          <w:rFonts w:ascii="Arial" w:cs="Arial" w:eastAsia="Arial" w:hAnsi="Arial"/>
          <w:sz w:val="14"/>
          <w:szCs w:val="14"/>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extended certain requirements relating to the privacy, security, and transmission of individually identifiable health information directly to business associates and HIPAA-covered entities. While we would not be a “covered entity” under HIPAA, it is possible that we may enter into a service or business arrangement that would cause us to serve as a business associate,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50" w:lineRule="exact"/>
        <w:rPr>
          <w:sz w:val="20"/>
          <w:szCs w:val="20"/>
          <w:color w:val="auto"/>
        </w:rPr>
      </w:pPr>
    </w:p>
    <w:p>
      <w:pPr>
        <w:ind w:right="40" w:firstLine="751"/>
        <w:spacing w:after="0" w:line="257" w:lineRule="auto"/>
        <w:rPr>
          <w:sz w:val="20"/>
          <w:szCs w:val="20"/>
          <w:color w:val="auto"/>
        </w:rPr>
      </w:pPr>
      <w:r>
        <w:rPr>
          <w:rFonts w:ascii="Arial" w:cs="Arial" w:eastAsia="Arial" w:hAnsi="Arial"/>
          <w:sz w:val="14"/>
          <w:szCs w:val="14"/>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150" w:lineRule="exact"/>
        <w:rPr>
          <w:sz w:val="20"/>
          <w:szCs w:val="20"/>
          <w:color w:val="auto"/>
        </w:rPr>
      </w:pPr>
    </w:p>
    <w:p>
      <w:pPr>
        <w:ind w:right="180" w:firstLine="751"/>
        <w:spacing w:after="0" w:line="244" w:lineRule="auto"/>
        <w:rPr>
          <w:sz w:val="20"/>
          <w:szCs w:val="20"/>
          <w:color w:val="auto"/>
        </w:rPr>
      </w:pPr>
      <w:r>
        <w:rPr>
          <w:rFonts w:ascii="Arial" w:cs="Arial" w:eastAsia="Arial" w:hAnsi="Arial"/>
          <w:sz w:val="15"/>
          <w:szCs w:val="15"/>
          <w:color w:val="auto"/>
        </w:rPr>
        <w:t>In addition to the laws discussed above, we may see more stringent state and federal privacy legislation in the future, as the increased cyber-attacks during the pandemic have heightened attention to data privacy and security in the U.S. and other jurisdictions. We cannot predict where new legislation might arise, the scope of such legislation, or the potential impact to our business and operations.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5" w:name="page36"/>
    <w:bookmarkEnd w:id="3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ind w:firstLine="751"/>
        <w:spacing w:after="0" w:line="223" w:lineRule="auto"/>
        <w:rPr>
          <w:sz w:val="20"/>
          <w:szCs w:val="20"/>
          <w:color w:val="auto"/>
        </w:rPr>
      </w:pPr>
      <w:r>
        <w:rPr>
          <w:rFonts w:ascii="Arial" w:cs="Arial" w:eastAsia="Arial" w:hAnsi="Arial"/>
          <w:sz w:val="14"/>
          <w:szCs w:val="14"/>
          <w:color w:val="auto"/>
        </w:rPr>
        <w:t>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or CCPA, was made effective January 1, 2020, and was recently amended and expanded by the California Privacy Rights Act (CPRA) passed on November 3, 2020. While the majority of the CPRA’s substantive provisions will not take effect until January 1, 2023, the CPRA’s expansion of the “Right to Know” impacts personal information collected on or after January 1, 2022. Companies must still comply with the CCPA during the ramp up period before CPRA goes into effect. The CCPA and CPRA, among other things, create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139" w:lineRule="exact"/>
        <w:rPr>
          <w:sz w:val="20"/>
          <w:szCs w:val="20"/>
          <w:color w:val="auto"/>
        </w:rPr>
      </w:pPr>
    </w:p>
    <w:p>
      <w:pPr>
        <w:ind w:right="20" w:firstLine="751"/>
        <w:spacing w:after="0" w:line="210" w:lineRule="auto"/>
        <w:rPr>
          <w:sz w:val="20"/>
          <w:szCs w:val="20"/>
          <w:color w:val="auto"/>
        </w:rPr>
      </w:pPr>
      <w:r>
        <w:rPr>
          <w:rFonts w:ascii="Arial" w:cs="Arial" w:eastAsia="Arial" w:hAnsi="Arial"/>
          <w:sz w:val="15"/>
          <w:szCs w:val="15"/>
          <w:color w:val="auto"/>
        </w:rPr>
        <w:t>Many states have also adopted laws similar to each of the above federal laws, which may be broader in scope and apply to items or services reimbursed by any third-party payor, including commercial insurers, and some have transparency laws that require reporting price increases and related information. Certain state laws also regulate manufacturers’ use of prescriber 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50" w:lineRule="exact"/>
        <w:rPr>
          <w:sz w:val="20"/>
          <w:szCs w:val="20"/>
          <w:color w:val="auto"/>
        </w:rPr>
      </w:pPr>
    </w:p>
    <w:p>
      <w:pPr>
        <w:ind w:right="20" w:firstLine="751"/>
        <w:spacing w:after="0" w:line="257" w:lineRule="auto"/>
        <w:rPr>
          <w:sz w:val="20"/>
          <w:szCs w:val="20"/>
          <w:color w:val="auto"/>
        </w:rPr>
      </w:pPr>
      <w:r>
        <w:rPr>
          <w:rFonts w:ascii="Arial" w:cs="Arial" w:eastAsia="Arial" w:hAnsi="Arial"/>
          <w:sz w:val="14"/>
          <w:szCs w:val="14"/>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50" w:lineRule="exact"/>
        <w:rPr>
          <w:sz w:val="20"/>
          <w:szCs w:val="20"/>
          <w:color w:val="auto"/>
        </w:rPr>
      </w:pPr>
    </w:p>
    <w:p>
      <w:pPr>
        <w:ind w:firstLine="751"/>
        <w:spacing w:after="0" w:line="263" w:lineRule="auto"/>
        <w:rPr>
          <w:sz w:val="20"/>
          <w:szCs w:val="20"/>
          <w:color w:val="auto"/>
        </w:rPr>
      </w:pPr>
      <w:r>
        <w:rPr>
          <w:rFonts w:ascii="Arial" w:cs="Arial" w:eastAsia="Arial" w:hAnsi="Arial"/>
          <w:sz w:val="14"/>
          <w:szCs w:val="14"/>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43" w:lineRule="exact"/>
        <w:rPr>
          <w:sz w:val="20"/>
          <w:szCs w:val="20"/>
          <w:color w:val="auto"/>
        </w:rPr>
      </w:pPr>
    </w:p>
    <w:p>
      <w:pPr>
        <w:jc w:val="both"/>
        <w:ind w:right="320" w:firstLine="751"/>
        <w:spacing w:after="0" w:line="174" w:lineRule="exact"/>
        <w:rPr>
          <w:sz w:val="20"/>
          <w:szCs w:val="20"/>
          <w:color w:val="auto"/>
        </w:rPr>
      </w:pPr>
      <w:r>
        <w:rPr>
          <w:rFonts w:ascii="Arial" w:cs="Arial" w:eastAsia="Arial" w:hAnsi="Arial"/>
          <w:sz w:val="15"/>
          <w:szCs w:val="15"/>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5"/>
          <w:szCs w:val="15"/>
          <w:color w:val="auto"/>
        </w:rPr>
        <w:t>‑</w:t>
      </w:r>
      <w:r>
        <w:rPr>
          <w:rFonts w:ascii="Arial" w:cs="Arial" w:eastAsia="Arial" w:hAnsi="Arial"/>
          <w:sz w:val="15"/>
          <w:szCs w:val="15"/>
          <w:color w:val="auto"/>
        </w:rPr>
        <w:t>marketing requirements, including safety surveillance, anti</w:t>
      </w:r>
      <w:r>
        <w:rPr>
          <w:rFonts w:ascii="MS PGothic" w:cs="MS PGothic" w:eastAsia="MS PGothic" w:hAnsi="MS PGothic"/>
          <w:sz w:val="15"/>
          <w:szCs w:val="15"/>
          <w:color w:val="auto"/>
        </w:rPr>
        <w:t>‑</w:t>
      </w:r>
      <w:r>
        <w:rPr>
          <w:rFonts w:ascii="Arial" w:cs="Arial" w:eastAsia="Arial" w:hAnsi="Arial"/>
          <w:sz w:val="15"/>
          <w:szCs w:val="15"/>
          <w:color w:val="auto"/>
        </w:rPr>
        <w:t>fraud and abuse laws, and implementation of corporate compliance programs and reporting of payments or transfers of value to healthcare professionals.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6" w:name="page37"/>
    <w:bookmarkEnd w:id="3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Coverage and Reimbursement Generally</w:t>
      </w:r>
    </w:p>
    <w:p>
      <w:pPr>
        <w:spacing w:after="0" w:line="163" w:lineRule="exact"/>
        <w:rPr>
          <w:sz w:val="20"/>
          <w:szCs w:val="20"/>
          <w:color w:val="auto"/>
        </w:rPr>
      </w:pPr>
    </w:p>
    <w:p>
      <w:pPr>
        <w:ind w:firstLine="751"/>
        <w:spacing w:after="0" w:line="149" w:lineRule="exact"/>
        <w:rPr>
          <w:sz w:val="20"/>
          <w:szCs w:val="20"/>
          <w:color w:val="auto"/>
        </w:rPr>
      </w:pPr>
      <w:r>
        <w:rPr>
          <w:rFonts w:ascii="Arial" w:cs="Arial" w:eastAsia="Arial" w:hAnsi="Arial"/>
          <w:sz w:val="14"/>
          <w:szCs w:val="14"/>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w:t>
      </w:r>
      <w:r>
        <w:rPr>
          <w:rFonts w:ascii="MS PGothic" w:cs="MS PGothic" w:eastAsia="MS PGothic" w:hAnsi="MS PGothic"/>
          <w:sz w:val="14"/>
          <w:szCs w:val="14"/>
          <w:color w:val="auto"/>
        </w:rPr>
        <w:t>‑</w:t>
      </w:r>
      <w:r>
        <w:rPr>
          <w:rFonts w:ascii="Arial" w:cs="Arial" w:eastAsia="Arial" w:hAnsi="Arial"/>
          <w:sz w:val="14"/>
          <w:szCs w:val="14"/>
          <w:color w:val="auto"/>
        </w:rPr>
        <w:t>party payors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the Centers for Medicare and Medicaid Services, or CMS, through local contractors that administer coverage and reimbursement for certain healthcare items and services furnished to the elderly and disabled. Medicaid is an insurance program for certain categories of patients whose income and assets fall below state</w:t>
      </w:r>
      <w:r>
        <w:rPr>
          <w:rFonts w:ascii="MS PGothic" w:cs="MS PGothic" w:eastAsia="MS PGothic" w:hAnsi="MS PGothic"/>
          <w:sz w:val="14"/>
          <w:szCs w:val="14"/>
          <w:color w:val="auto"/>
        </w:rPr>
        <w:t>‑</w:t>
      </w:r>
      <w:r>
        <w:rPr>
          <w:rFonts w:ascii="Arial" w:cs="Arial" w:eastAsia="Arial" w:hAnsi="Arial"/>
          <w:sz w:val="14"/>
          <w:szCs w:val="14"/>
          <w:color w:val="auto"/>
        </w:rPr>
        <w:t>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w:t>
      </w:r>
      <w:r>
        <w:rPr>
          <w:rFonts w:ascii="MS PGothic" w:cs="MS PGothic" w:eastAsia="MS PGothic" w:hAnsi="MS PGothic"/>
          <w:sz w:val="14"/>
          <w:szCs w:val="14"/>
          <w:color w:val="auto"/>
        </w:rPr>
        <w:t>‑</w:t>
      </w:r>
      <w:r>
        <w:rPr>
          <w:rFonts w:ascii="Arial" w:cs="Arial" w:eastAsia="Arial" w:hAnsi="Arial"/>
          <w:sz w:val="14"/>
          <w:szCs w:val="14"/>
          <w:color w:val="auto"/>
        </w:rPr>
        <w:t>party payors often provide reimbursement for products and services based on the level at which the government provides reimbursement through the Medicare or Medicaid programs for such products and services.</w:t>
      </w:r>
    </w:p>
    <w:p>
      <w:pPr>
        <w:spacing w:after="0" w:line="138" w:lineRule="exact"/>
        <w:rPr>
          <w:sz w:val="20"/>
          <w:szCs w:val="20"/>
          <w:color w:val="auto"/>
        </w:rPr>
      </w:pPr>
    </w:p>
    <w:p>
      <w:pPr>
        <w:ind w:left="760"/>
        <w:spacing w:after="0" w:line="150" w:lineRule="exact"/>
        <w:rPr>
          <w:sz w:val="20"/>
          <w:szCs w:val="20"/>
          <w:color w:val="auto"/>
        </w:rPr>
      </w:pPr>
      <w:r>
        <w:rPr>
          <w:rFonts w:ascii="Arial" w:cs="Arial" w:eastAsia="Arial" w:hAnsi="Arial"/>
          <w:sz w:val="13"/>
          <w:szCs w:val="13"/>
          <w:color w:val="auto"/>
        </w:rPr>
        <w:t>In the United States, the European Union, and other potentially significant markets for our product candidates, government authorities and third</w:t>
      </w:r>
      <w:r>
        <w:rPr>
          <w:rFonts w:ascii="MS PGothic" w:cs="MS PGothic" w:eastAsia="MS PGothic" w:hAnsi="MS PGothic"/>
          <w:sz w:val="13"/>
          <w:szCs w:val="13"/>
          <w:color w:val="auto"/>
        </w:rPr>
        <w:t>‑</w:t>
      </w:r>
      <w:r>
        <w:rPr>
          <w:rFonts w:ascii="Arial" w:cs="Arial" w:eastAsia="Arial" w:hAnsi="Arial"/>
          <w:sz w:val="13"/>
          <w:szCs w:val="13"/>
          <w:color w:val="auto"/>
        </w:rPr>
        <w:t>party payors are increasingly</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attempting to limit or regulate the price of medical products and services, particularly for new and innovative products and therapies, which often has resulted in average selling prices lower</w:t>
      </w:r>
    </w:p>
    <w:p>
      <w:pPr>
        <w:spacing w:after="0" w:line="233" w:lineRule="auto"/>
        <w:rPr>
          <w:sz w:val="20"/>
          <w:szCs w:val="20"/>
          <w:color w:val="auto"/>
        </w:rPr>
      </w:pPr>
      <w:r>
        <w:rPr>
          <w:rFonts w:ascii="Arial" w:cs="Arial" w:eastAsia="Arial" w:hAnsi="Arial"/>
          <w:sz w:val="13"/>
          <w:szCs w:val="13"/>
          <w:color w:val="auto"/>
        </w:rPr>
        <w:t>than they would otherwise be. For example, in the United States, federal and state governments reimburse covered prescription drugs at varying rates generally below average wholesale</w:t>
      </w:r>
    </w:p>
    <w:p>
      <w:pPr>
        <w:spacing w:after="0" w:line="233" w:lineRule="auto"/>
        <w:rPr>
          <w:sz w:val="20"/>
          <w:szCs w:val="20"/>
          <w:color w:val="auto"/>
        </w:rPr>
      </w:pPr>
      <w:r>
        <w:rPr>
          <w:rFonts w:ascii="Arial" w:cs="Arial" w:eastAsia="Arial" w:hAnsi="Arial"/>
          <w:sz w:val="13"/>
          <w:szCs w:val="13"/>
          <w:color w:val="auto"/>
        </w:rPr>
        <w:t>price. Governmental and private payors may also establish certain access restrictions, such as prior approvals or evidence of failure on existing medications or therapies. These restrictions</w:t>
      </w:r>
    </w:p>
    <w:p>
      <w:pPr>
        <w:spacing w:after="0" w:line="146" w:lineRule="exact"/>
        <w:rPr>
          <w:sz w:val="20"/>
          <w:szCs w:val="20"/>
          <w:color w:val="auto"/>
        </w:rPr>
      </w:pPr>
      <w:r>
        <w:rPr>
          <w:rFonts w:ascii="Arial" w:cs="Arial" w:eastAsia="Arial" w:hAnsi="Arial"/>
          <w:sz w:val="13"/>
          <w:szCs w:val="13"/>
          <w:color w:val="auto"/>
        </w:rPr>
        <w:t>and limitations influence the purchase of healthcare services and products. Third</w:t>
      </w:r>
      <w:r>
        <w:rPr>
          <w:rFonts w:ascii="MS PGothic" w:cs="MS PGothic" w:eastAsia="MS PGothic" w:hAnsi="MS PGothic"/>
          <w:sz w:val="13"/>
          <w:szCs w:val="13"/>
          <w:color w:val="auto"/>
        </w:rPr>
        <w:t>‑</w:t>
      </w:r>
      <w:r>
        <w:rPr>
          <w:rFonts w:ascii="Arial" w:cs="Arial" w:eastAsia="Arial" w:hAnsi="Arial"/>
          <w:sz w:val="13"/>
          <w:szCs w:val="13"/>
          <w:color w:val="auto"/>
        </w:rPr>
        <w:t>party payors are developing increasingly sophisticated methods of controlling healthcare costs. Third</w:t>
      </w:r>
      <w:r>
        <w:rPr>
          <w:rFonts w:ascii="MS PGothic" w:cs="MS PGothic" w:eastAsia="MS PGothic" w:hAnsi="MS PGothic"/>
          <w:sz w:val="13"/>
          <w:szCs w:val="13"/>
          <w:color w:val="auto"/>
        </w:rPr>
        <w:t>‑</w:t>
      </w:r>
      <w:r>
        <w:rPr>
          <w:rFonts w:ascii="Arial" w:cs="Arial" w:eastAsia="Arial" w:hAnsi="Arial"/>
          <w:sz w:val="13"/>
          <w:szCs w:val="13"/>
          <w:color w:val="auto"/>
        </w:rPr>
        <w:t>party</w:t>
      </w:r>
    </w:p>
    <w:p>
      <w:pPr>
        <w:spacing w:after="0" w:line="145" w:lineRule="exact"/>
        <w:rPr>
          <w:sz w:val="20"/>
          <w:szCs w:val="20"/>
          <w:color w:val="auto"/>
        </w:rPr>
      </w:pPr>
      <w:r>
        <w:rPr>
          <w:rFonts w:ascii="Arial" w:cs="Arial" w:eastAsia="Arial" w:hAnsi="Arial"/>
          <w:sz w:val="14"/>
          <w:szCs w:val="14"/>
          <w:color w:val="auto"/>
        </w:rPr>
        <w:t>payors may limit coverage to specific drug products on an approved list, or formulary, which might not include all of the FDA</w:t>
      </w:r>
      <w:r>
        <w:rPr>
          <w:rFonts w:ascii="MS PGothic" w:cs="MS PGothic" w:eastAsia="MS PGothic" w:hAnsi="MS PGothic"/>
          <w:sz w:val="14"/>
          <w:szCs w:val="14"/>
          <w:color w:val="auto"/>
        </w:rPr>
        <w:t>‑</w:t>
      </w:r>
      <w:r>
        <w:rPr>
          <w:rFonts w:ascii="Arial" w:cs="Arial" w:eastAsia="Arial" w:hAnsi="Arial"/>
          <w:sz w:val="14"/>
          <w:szCs w:val="14"/>
          <w:color w:val="auto"/>
        </w:rPr>
        <w:t>approved drug products for a particular indication.</w:t>
      </w:r>
    </w:p>
    <w:p>
      <w:pPr>
        <w:spacing w:after="0" w:line="146" w:lineRule="exact"/>
        <w:rPr>
          <w:sz w:val="20"/>
          <w:szCs w:val="20"/>
          <w:color w:val="auto"/>
        </w:rPr>
      </w:pPr>
      <w:r>
        <w:rPr>
          <w:rFonts w:ascii="Arial" w:cs="Arial" w:eastAsia="Arial" w:hAnsi="Arial"/>
          <w:sz w:val="13"/>
          <w:szCs w:val="13"/>
          <w:color w:val="auto"/>
        </w:rPr>
        <w:t>Third</w:t>
      </w:r>
      <w:r>
        <w:rPr>
          <w:rFonts w:ascii="MS PGothic" w:cs="MS PGothic" w:eastAsia="MS PGothic" w:hAnsi="MS PGothic"/>
          <w:sz w:val="13"/>
          <w:szCs w:val="13"/>
          <w:color w:val="auto"/>
        </w:rPr>
        <w:t>‑</w:t>
      </w:r>
      <w:r>
        <w:rPr>
          <w:rFonts w:ascii="Arial" w:cs="Arial" w:eastAsia="Arial" w:hAnsi="Arial"/>
          <w:sz w:val="13"/>
          <w:szCs w:val="13"/>
          <w:color w:val="auto"/>
        </w:rPr>
        <w:t>party payors also control costs by requiring prior authorization or imposing other dispensing restrictions before covering certain products and by broadening therapeutic classes to</w:t>
      </w:r>
    </w:p>
    <w:p>
      <w:pPr>
        <w:spacing w:after="0" w:line="146" w:lineRule="exact"/>
        <w:rPr>
          <w:sz w:val="20"/>
          <w:szCs w:val="20"/>
          <w:color w:val="auto"/>
        </w:rPr>
      </w:pPr>
      <w:r>
        <w:rPr>
          <w:rFonts w:ascii="Arial" w:cs="Arial" w:eastAsia="Arial" w:hAnsi="Arial"/>
          <w:sz w:val="13"/>
          <w:szCs w:val="13"/>
          <w:color w:val="auto"/>
        </w:rPr>
        <w:t>increase competition. Third</w:t>
      </w:r>
      <w:r>
        <w:rPr>
          <w:rFonts w:ascii="MS PGothic" w:cs="MS PGothic" w:eastAsia="MS PGothic" w:hAnsi="MS PGothic"/>
          <w:sz w:val="13"/>
          <w:szCs w:val="13"/>
          <w:color w:val="auto"/>
        </w:rPr>
        <w:t>‑</w:t>
      </w:r>
      <w:r>
        <w:rPr>
          <w:rFonts w:ascii="Arial" w:cs="Arial" w:eastAsia="Arial" w:hAnsi="Arial"/>
          <w:sz w:val="13"/>
          <w:szCs w:val="13"/>
          <w:color w:val="auto"/>
        </w:rPr>
        <w:t>party payors are increasingly challenging the price and examining the medical necessity and cost</w:t>
      </w:r>
      <w:r>
        <w:rPr>
          <w:rFonts w:ascii="MS PGothic" w:cs="MS PGothic" w:eastAsia="MS PGothic" w:hAnsi="MS PGothic"/>
          <w:sz w:val="13"/>
          <w:szCs w:val="13"/>
          <w:color w:val="auto"/>
        </w:rPr>
        <w:t>‑</w:t>
      </w:r>
      <w:r>
        <w:rPr>
          <w:rFonts w:ascii="Arial" w:cs="Arial" w:eastAsia="Arial" w:hAnsi="Arial"/>
          <w:sz w:val="13"/>
          <w:szCs w:val="13"/>
          <w:color w:val="auto"/>
        </w:rPr>
        <w:t>effectiveness of medical products and services, in addition to</w:t>
      </w:r>
    </w:p>
    <w:p>
      <w:pPr>
        <w:spacing w:after="0" w:line="146" w:lineRule="exact"/>
        <w:rPr>
          <w:sz w:val="20"/>
          <w:szCs w:val="20"/>
          <w:color w:val="auto"/>
        </w:rPr>
      </w:pPr>
      <w:r>
        <w:rPr>
          <w:rFonts w:ascii="Arial" w:cs="Arial" w:eastAsia="Arial" w:hAnsi="Arial"/>
          <w:sz w:val="14"/>
          <w:szCs w:val="14"/>
          <w:color w:val="auto"/>
        </w:rPr>
        <w:t>their safety and efficacy. Absent clinical differentiators, third</w:t>
      </w:r>
      <w:r>
        <w:rPr>
          <w:rFonts w:ascii="MS PGothic" w:cs="MS PGothic" w:eastAsia="MS PGothic" w:hAnsi="MS PGothic"/>
          <w:sz w:val="14"/>
          <w:szCs w:val="14"/>
          <w:color w:val="auto"/>
        </w:rPr>
        <w:t>‑</w:t>
      </w:r>
      <w:r>
        <w:rPr>
          <w:rFonts w:ascii="Arial" w:cs="Arial" w:eastAsia="Arial" w:hAnsi="Arial"/>
          <w:sz w:val="14"/>
          <w:szCs w:val="14"/>
          <w:color w:val="auto"/>
        </w:rPr>
        <w:t>party payors may treat products as therapeutically equivalent and base formulary decisions on net cost. To lower the</w:t>
      </w:r>
    </w:p>
    <w:p>
      <w:pPr>
        <w:spacing w:after="0" w:line="173" w:lineRule="exact"/>
        <w:rPr>
          <w:sz w:val="20"/>
          <w:szCs w:val="20"/>
          <w:color w:val="auto"/>
        </w:rPr>
      </w:pPr>
      <w:r>
        <w:rPr>
          <w:rFonts w:ascii="Arial" w:cs="Arial" w:eastAsia="Arial" w:hAnsi="Arial"/>
          <w:sz w:val="15"/>
          <w:szCs w:val="15"/>
          <w:color w:val="auto"/>
        </w:rPr>
        <w:t>prescription cost, manufacturers frequently rebate a portion of the prescription price to the third</w:t>
      </w:r>
      <w:r>
        <w:rPr>
          <w:rFonts w:ascii="MS PGothic" w:cs="MS PGothic" w:eastAsia="MS PGothic" w:hAnsi="MS PGothic"/>
          <w:sz w:val="15"/>
          <w:szCs w:val="15"/>
          <w:color w:val="auto"/>
        </w:rPr>
        <w:t>‑</w:t>
      </w:r>
      <w:r>
        <w:rPr>
          <w:rFonts w:ascii="Arial" w:cs="Arial" w:eastAsia="Arial" w:hAnsi="Arial"/>
          <w:sz w:val="15"/>
          <w:szCs w:val="15"/>
          <w:color w:val="auto"/>
        </w:rPr>
        <w:t>party payors.</w:t>
      </w:r>
    </w:p>
    <w:p>
      <w:pPr>
        <w:spacing w:after="0" w:line="151" w:lineRule="exact"/>
        <w:rPr>
          <w:sz w:val="20"/>
          <w:szCs w:val="20"/>
          <w:color w:val="auto"/>
        </w:rPr>
      </w:pPr>
    </w:p>
    <w:p>
      <w:pPr>
        <w:ind w:right="20" w:firstLine="751"/>
        <w:spacing w:after="0" w:line="289" w:lineRule="auto"/>
        <w:rPr>
          <w:sz w:val="20"/>
          <w:szCs w:val="20"/>
          <w:color w:val="auto"/>
        </w:rPr>
      </w:pPr>
      <w:r>
        <w:rPr>
          <w:rFonts w:ascii="Arial" w:cs="Arial" w:eastAsia="Arial" w:hAnsi="Arial"/>
          <w:sz w:val="13"/>
          <w:szCs w:val="13"/>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29" w:lineRule="exact"/>
        <w:rPr>
          <w:sz w:val="20"/>
          <w:szCs w:val="20"/>
          <w:color w:val="auto"/>
        </w:rPr>
      </w:pPr>
    </w:p>
    <w:p>
      <w:pPr>
        <w:ind w:right="140" w:firstLine="751"/>
        <w:spacing w:after="0"/>
        <w:rPr>
          <w:sz w:val="20"/>
          <w:szCs w:val="20"/>
          <w:color w:val="auto"/>
        </w:rPr>
      </w:pPr>
      <w:r>
        <w:rPr>
          <w:rFonts w:ascii="Arial" w:cs="Arial" w:eastAsia="Arial" w:hAnsi="Arial"/>
          <w:sz w:val="15"/>
          <w:szCs w:val="15"/>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59" w:lineRule="exact"/>
        <w:rPr>
          <w:sz w:val="20"/>
          <w:szCs w:val="20"/>
          <w:color w:val="auto"/>
        </w:rPr>
      </w:pPr>
    </w:p>
    <w:p>
      <w:pPr>
        <w:ind w:right="200" w:firstLine="751"/>
        <w:spacing w:after="0" w:line="171" w:lineRule="exact"/>
        <w:rPr>
          <w:sz w:val="20"/>
          <w:szCs w:val="20"/>
          <w:color w:val="auto"/>
        </w:rPr>
      </w:pPr>
      <w:r>
        <w:rPr>
          <w:rFonts w:ascii="Arial" w:cs="Arial" w:eastAsia="Arial" w:hAnsi="Arial"/>
          <w:sz w:val="14"/>
          <w:szCs w:val="14"/>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4"/>
          <w:szCs w:val="14"/>
          <w:color w:val="auto"/>
        </w:rPr>
        <w:t>‑</w:t>
      </w:r>
      <w:r>
        <w:rPr>
          <w:rFonts w:ascii="Arial" w:cs="Arial" w:eastAsia="Arial" w:hAnsi="Arial"/>
          <w:sz w:val="14"/>
          <w:szCs w:val="14"/>
          <w:color w:val="auto"/>
        </w:rPr>
        <w:t>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37" w:name="page38"/>
    <w:bookmarkEnd w:id="3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reimbursed by government health administration authorities, such as Medicare and Medicaid, private health insurers, and other third</w:t>
      </w:r>
      <w:r>
        <w:rPr>
          <w:rFonts w:ascii="MS PGothic" w:cs="MS PGothic" w:eastAsia="MS PGothic" w:hAnsi="MS PGothic"/>
          <w:sz w:val="15"/>
          <w:szCs w:val="15"/>
          <w:color w:val="auto"/>
        </w:rPr>
        <w:t>‑</w:t>
      </w:r>
      <w:r>
        <w:rPr>
          <w:rFonts w:ascii="Arial" w:cs="Arial" w:eastAsia="Arial" w:hAnsi="Arial"/>
          <w:sz w:val="15"/>
          <w:szCs w:val="15"/>
          <w:color w:val="auto"/>
        </w:rPr>
        <w:t>party payors.</w:t>
      </w:r>
    </w:p>
    <w:p>
      <w:pPr>
        <w:spacing w:after="0" w:line="174" w:lineRule="exact"/>
        <w:rPr>
          <w:sz w:val="20"/>
          <w:szCs w:val="20"/>
          <w:color w:val="auto"/>
        </w:rPr>
      </w:pPr>
    </w:p>
    <w:p>
      <w:pPr>
        <w:ind w:right="80" w:firstLine="751"/>
        <w:spacing w:after="0" w:line="175" w:lineRule="exact"/>
        <w:rPr>
          <w:sz w:val="20"/>
          <w:szCs w:val="20"/>
          <w:color w:val="auto"/>
        </w:rPr>
      </w:pPr>
      <w:r>
        <w:rPr>
          <w:rFonts w:ascii="Arial" w:cs="Arial" w:eastAsia="Arial" w:hAnsi="Arial"/>
          <w:sz w:val="14"/>
          <w:szCs w:val="14"/>
          <w:color w:val="auto"/>
        </w:rPr>
        <w:t>As a result of the above, we may need to conduct expensive pharmacoeconomic studies in order to demonstrate the medical necessity and cost</w:t>
      </w:r>
      <w:r>
        <w:rPr>
          <w:rFonts w:ascii="MS PGothic" w:cs="MS PGothic" w:eastAsia="MS PGothic" w:hAnsi="MS PGothic"/>
          <w:sz w:val="14"/>
          <w:szCs w:val="14"/>
          <w:color w:val="auto"/>
        </w:rPr>
        <w:t>‑</w:t>
      </w:r>
      <w:r>
        <w:rPr>
          <w:rFonts w:ascii="Arial" w:cs="Arial" w:eastAsia="Arial" w:hAnsi="Arial"/>
          <w:sz w:val="14"/>
          <w:szCs w:val="14"/>
          <w:color w:val="auto"/>
        </w:rPr>
        <w:t>effectiveness of our products, in addition to the costs required to obtain the FDA and other comparable foreign regulatory authority approvals. Our product candidates may not be considered medically necessary or cost</w:t>
      </w:r>
      <w:r>
        <w:rPr>
          <w:rFonts w:ascii="MS PGothic" w:cs="MS PGothic" w:eastAsia="MS PGothic" w:hAnsi="MS PGothic"/>
          <w:sz w:val="14"/>
          <w:szCs w:val="14"/>
          <w:color w:val="auto"/>
        </w:rPr>
        <w:t>‑</w:t>
      </w:r>
      <w:r>
        <w:rPr>
          <w:rFonts w:ascii="Arial" w:cs="Arial" w:eastAsia="Arial" w:hAnsi="Arial"/>
          <w:sz w:val="14"/>
          <w:szCs w:val="14"/>
          <w:color w:val="auto"/>
        </w:rPr>
        <w:t>effective, or the rebate percentages required to secure coverage may not yield an adequate margin over cost.</w:t>
      </w:r>
    </w:p>
    <w:p>
      <w:pPr>
        <w:spacing w:after="0" w:line="158" w:lineRule="exact"/>
        <w:rPr>
          <w:sz w:val="20"/>
          <w:szCs w:val="20"/>
          <w:color w:val="auto"/>
        </w:rPr>
      </w:pPr>
    </w:p>
    <w:p>
      <w:pPr>
        <w:ind w:firstLine="751"/>
        <w:spacing w:after="0" w:line="274" w:lineRule="auto"/>
        <w:rPr>
          <w:sz w:val="20"/>
          <w:szCs w:val="20"/>
          <w:color w:val="auto"/>
        </w:rPr>
      </w:pPr>
      <w:r>
        <w:rPr>
          <w:rFonts w:ascii="Arial" w:cs="Arial" w:eastAsia="Arial" w:hAnsi="Arial"/>
          <w:sz w:val="13"/>
          <w:szCs w:val="13"/>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 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 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141" w:lineRule="exact"/>
        <w:rPr>
          <w:sz w:val="20"/>
          <w:szCs w:val="20"/>
          <w:color w:val="auto"/>
        </w:rPr>
      </w:pPr>
    </w:p>
    <w:p>
      <w:pPr>
        <w:ind w:right="40" w:firstLine="751"/>
        <w:spacing w:after="0" w:line="172" w:lineRule="exact"/>
        <w:rPr>
          <w:sz w:val="20"/>
          <w:szCs w:val="20"/>
          <w:color w:val="auto"/>
        </w:rPr>
      </w:pPr>
      <w:r>
        <w:rPr>
          <w:rFonts w:ascii="Arial" w:cs="Arial" w:eastAsia="Arial" w:hAnsi="Arial"/>
          <w:sz w:val="15"/>
          <w:szCs w:val="15"/>
          <w:color w:val="auto"/>
        </w:rPr>
        <w:t>Moreover, a payor’s decision to provide coverage for a drug product does not imply that an adequate reimbursement rate will be approved. Adequate third</w:t>
      </w:r>
      <w:r>
        <w:rPr>
          <w:rFonts w:ascii="MS PGothic" w:cs="MS PGothic" w:eastAsia="MS PGothic" w:hAnsi="MS PGothic"/>
          <w:sz w:val="15"/>
          <w:szCs w:val="15"/>
          <w:color w:val="auto"/>
        </w:rPr>
        <w:t>‑</w:t>
      </w:r>
      <w:r>
        <w:rPr>
          <w:rFonts w:ascii="Arial" w:cs="Arial" w:eastAsia="Arial" w:hAnsi="Arial"/>
          <w:sz w:val="15"/>
          <w:szCs w:val="15"/>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5"/>
          <w:szCs w:val="15"/>
          <w:color w:val="auto"/>
        </w:rPr>
        <w:t>‑</w:t>
      </w:r>
      <w:r>
        <w:rPr>
          <w:rFonts w:ascii="Arial" w:cs="Arial" w:eastAsia="Arial" w:hAnsi="Arial"/>
          <w:sz w:val="15"/>
          <w:szCs w:val="15"/>
          <w:color w:val="auto"/>
        </w:rPr>
        <w:t>party coverage or adequate reimbursement for our product candidates in whole or in part.</w:t>
      </w:r>
    </w:p>
    <w:p>
      <w:pPr>
        <w:spacing w:after="0" w:line="158" w:lineRule="exact"/>
        <w:rPr>
          <w:sz w:val="20"/>
          <w:szCs w:val="20"/>
          <w:color w:val="auto"/>
        </w:rPr>
      </w:pPr>
    </w:p>
    <w:p>
      <w:pPr>
        <w:ind w:right="80" w:firstLine="751"/>
        <w:spacing w:after="0" w:line="244" w:lineRule="auto"/>
        <w:rPr>
          <w:sz w:val="20"/>
          <w:szCs w:val="20"/>
          <w:color w:val="auto"/>
        </w:rPr>
      </w:pPr>
      <w:r>
        <w:rPr>
          <w:rFonts w:ascii="Arial" w:cs="Arial" w:eastAsia="Arial" w:hAnsi="Arial"/>
          <w:sz w:val="15"/>
          <w:szCs w:val="15"/>
          <w:color w:val="auto"/>
        </w:rPr>
        <w:t>Pharmacy benefit managers, or PBM,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Healthcare Reform Measures</w:t>
      </w:r>
    </w:p>
    <w:p>
      <w:pPr>
        <w:spacing w:after="0" w:line="174" w:lineRule="exact"/>
        <w:rPr>
          <w:sz w:val="20"/>
          <w:szCs w:val="20"/>
          <w:color w:val="auto"/>
        </w:rPr>
      </w:pPr>
    </w:p>
    <w:p>
      <w:pPr>
        <w:ind w:right="120" w:firstLine="751"/>
        <w:spacing w:after="0"/>
        <w:rPr>
          <w:sz w:val="20"/>
          <w:szCs w:val="20"/>
          <w:color w:val="auto"/>
        </w:rPr>
      </w:pPr>
      <w:r>
        <w:rPr>
          <w:rFonts w:ascii="Arial" w:cs="Arial" w:eastAsia="Arial" w:hAnsi="Arial"/>
          <w:sz w:val="15"/>
          <w:szCs w:val="15"/>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8" w:name="page39"/>
    <w:bookmarkEnd w:id="3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firstLine="751"/>
        <w:spacing w:after="0" w:line="169" w:lineRule="exact"/>
        <w:rPr>
          <w:sz w:val="20"/>
          <w:szCs w:val="20"/>
          <w:color w:val="auto"/>
        </w:rPr>
      </w:pPr>
      <w:r>
        <w:rPr>
          <w:rFonts w:ascii="Arial" w:cs="Arial" w:eastAsia="Arial" w:hAnsi="Arial"/>
          <w:sz w:val="14"/>
          <w:szCs w:val="14"/>
          <w:color w:val="auto"/>
        </w:rPr>
        <w:t>For example, the Medicare Prescription Drug, Improvement, and Modernization Act of 2003, or MMA,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4"/>
          <w:szCs w:val="14"/>
          <w:color w:val="auto"/>
        </w:rPr>
        <w:t>‑</w:t>
      </w:r>
      <w:r>
        <w:rPr>
          <w:rFonts w:ascii="Arial" w:cs="Arial" w:eastAsia="Arial" w:hAnsi="Arial"/>
          <w:sz w:val="14"/>
          <w:szCs w:val="14"/>
          <w:color w:val="auto"/>
        </w:rPr>
        <w:t>governmental payors.</w:t>
      </w:r>
    </w:p>
    <w:p>
      <w:pPr>
        <w:spacing w:after="0" w:line="167" w:lineRule="exact"/>
        <w:rPr>
          <w:sz w:val="20"/>
          <w:szCs w:val="20"/>
          <w:color w:val="auto"/>
        </w:rPr>
      </w:pPr>
    </w:p>
    <w:p>
      <w:pPr>
        <w:ind w:right="20" w:firstLine="751"/>
        <w:spacing w:after="0" w:line="172" w:lineRule="exact"/>
        <w:rPr>
          <w:sz w:val="20"/>
          <w:szCs w:val="20"/>
          <w:color w:val="auto"/>
        </w:rPr>
      </w:pPr>
      <w:r>
        <w:rPr>
          <w:rFonts w:ascii="Arial" w:cs="Arial" w:eastAsia="Arial" w:hAnsi="Arial"/>
          <w:sz w:val="15"/>
          <w:szCs w:val="15"/>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5"/>
          <w:szCs w:val="15"/>
          <w:color w:val="auto"/>
        </w:rPr>
        <w:t>‑</w:t>
      </w:r>
      <w:r>
        <w:rPr>
          <w:rFonts w:ascii="Arial" w:cs="Arial" w:eastAsia="Arial" w:hAnsi="Arial"/>
          <w:sz w:val="15"/>
          <w:szCs w:val="15"/>
          <w:color w:val="auto"/>
        </w:rPr>
        <w:t>party payors do not consider our product candidates to be cost</w:t>
      </w:r>
      <w:r>
        <w:rPr>
          <w:rFonts w:ascii="MS PGothic" w:cs="MS PGothic" w:eastAsia="MS PGothic" w:hAnsi="MS PGothic"/>
          <w:sz w:val="15"/>
          <w:szCs w:val="15"/>
          <w:color w:val="auto"/>
        </w:rPr>
        <w:t>‑</w:t>
      </w:r>
      <w:r>
        <w:rPr>
          <w:rFonts w:ascii="Arial" w:cs="Arial" w:eastAsia="Arial" w:hAnsi="Arial"/>
          <w:sz w:val="15"/>
          <w:szCs w:val="15"/>
          <w:color w:val="auto"/>
        </w:rPr>
        <w: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58" w:lineRule="exact"/>
        <w:rPr>
          <w:sz w:val="20"/>
          <w:szCs w:val="20"/>
          <w:color w:val="auto"/>
        </w:rPr>
      </w:pPr>
    </w:p>
    <w:p>
      <w:pPr>
        <w:ind w:right="20" w:firstLine="751"/>
        <w:spacing w:after="0" w:line="274" w:lineRule="auto"/>
        <w:rPr>
          <w:sz w:val="20"/>
          <w:szCs w:val="20"/>
          <w:color w:val="auto"/>
        </w:rPr>
      </w:pPr>
      <w:r>
        <w:rPr>
          <w:rFonts w:ascii="Arial" w:cs="Arial" w:eastAsia="Arial" w:hAnsi="Arial"/>
          <w:sz w:val="13"/>
          <w:szCs w:val="13"/>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spacing w:after="0" w:line="141" w:lineRule="exact"/>
        <w:rPr>
          <w:sz w:val="20"/>
          <w:szCs w:val="20"/>
          <w:color w:val="auto"/>
        </w:rPr>
      </w:pPr>
    </w:p>
    <w:p>
      <w:pPr>
        <w:ind w:right="100" w:firstLine="751"/>
        <w:spacing w:after="0" w:line="270" w:lineRule="auto"/>
        <w:rPr>
          <w:sz w:val="20"/>
          <w:szCs w:val="20"/>
          <w:color w:val="auto"/>
        </w:rPr>
      </w:pPr>
      <w:r>
        <w:rPr>
          <w:rFonts w:ascii="Arial" w:cs="Arial" w:eastAsia="Arial" w:hAnsi="Arial"/>
          <w:sz w:val="14"/>
          <w:szCs w:val="14"/>
          <w:color w:val="auto"/>
        </w:rPr>
        <w:t>The ACA also imposed an affirmative obligation to report and repay any overpayments, including those payments that resulted from violations of the Anti-Kickback Statute, false claims act, or civil monetary penalties statute,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39" w:name="page40"/>
    <w:bookmarkEnd w:id="3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firstLine="751"/>
        <w:spacing w:after="0" w:line="272" w:lineRule="auto"/>
        <w:rPr>
          <w:sz w:val="20"/>
          <w:szCs w:val="20"/>
          <w:color w:val="auto"/>
        </w:rPr>
      </w:pPr>
      <w:r>
        <w:rPr>
          <w:rFonts w:ascii="Arial" w:cs="Arial" w:eastAsia="Arial" w:hAnsi="Arial"/>
          <w:sz w:val="13"/>
          <w:szCs w:val="13"/>
          <w:color w:val="auto"/>
        </w:rPr>
        <w:t>The cost of pharmaceuticals continues to generate substantial governmental and third-party payor interest, and pharmaceutical pricing and marketing currently received a great deal of Congressional and administrative attention. There have been numerous initiatives on the federal and state levels in the United States for comprehensive reforms affecting the payment for, the availability of, and reimbursement for, healthcare services. In particular,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Congressional inquiries and proposed and enacted federal and state legislation have also been released and are designed to, among other things, bring more transparency to drug pricing, reduce the cost of prescription drugs under Medicare, review the relationship between pricing and manufacturer patient programs and reform government program reimbursement methodologies for drugs. Recent federal budget proposals have included measures to permit Medicare Part D plans to negotiate the price of certain drugs under Medicare Part B, to allow some states to negotiate drug prices under Medicaid, and to eliminate cost sharing for generic drugs for low-income patients. Current and future U.S. legislative healthcare reforms may result in price controls and other restrictions for any approved products, if covered, and could seriously harm our business. Drug pricing is and will remain a key bipartisan issue in the coming year. If drug pricing reform is not meaningfully addressed before the 2020 election, policies to be pursued in the future may be more aggressive, regardless of which party controls the White House. Given that drug pricing controls is a key legislative and administration priority, it is likely that additional pricing controls will be enacted and could harm our business, financial condition and results of operations.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145" w:lineRule="exact"/>
        <w:rPr>
          <w:sz w:val="20"/>
          <w:szCs w:val="20"/>
          <w:color w:val="auto"/>
        </w:rPr>
      </w:pPr>
    </w:p>
    <w:p>
      <w:pPr>
        <w:ind w:right="140" w:firstLine="751"/>
        <w:spacing w:after="0" w:line="173" w:lineRule="exact"/>
        <w:rPr>
          <w:sz w:val="20"/>
          <w:szCs w:val="20"/>
          <w:color w:val="auto"/>
        </w:rPr>
      </w:pPr>
      <w:r>
        <w:rPr>
          <w:rFonts w:ascii="Arial" w:cs="Arial" w:eastAsia="Arial" w:hAnsi="Arial"/>
          <w:sz w:val="13"/>
          <w:szCs w:val="13"/>
          <w:color w:val="auto"/>
        </w:rPr>
        <w:t>Government and private payors also increasingly require pre</w:t>
      </w:r>
      <w:r>
        <w:rPr>
          <w:rFonts w:ascii="MS PGothic" w:cs="MS PGothic" w:eastAsia="MS PGothic" w:hAnsi="MS PGothic"/>
          <w:sz w:val="13"/>
          <w:szCs w:val="13"/>
          <w:color w:val="auto"/>
        </w:rPr>
        <w:t>‑</w:t>
      </w:r>
      <w:r>
        <w:rPr>
          <w:rFonts w:ascii="Arial" w:cs="Arial" w:eastAsia="Arial" w:hAnsi="Arial"/>
          <w:sz w:val="13"/>
          <w:szCs w:val="13"/>
          <w:color w:val="auto"/>
        </w:rPr>
        <w:t>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3"/>
          <w:szCs w:val="13"/>
          <w:color w:val="auto"/>
        </w:rPr>
        <w:t>‑</w:t>
      </w:r>
      <w:r>
        <w:rPr>
          <w:rFonts w:ascii="Arial" w:cs="Arial" w:eastAsia="Arial" w:hAnsi="Arial"/>
          <w:sz w:val="13"/>
          <w:szCs w:val="13"/>
          <w:color w:val="auto"/>
        </w:rPr>
        <w: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59" w:lineRule="exact"/>
        <w:rPr>
          <w:sz w:val="20"/>
          <w:szCs w:val="20"/>
          <w:color w:val="auto"/>
        </w:rPr>
      </w:pPr>
    </w:p>
    <w:p>
      <w:pPr>
        <w:ind w:right="20" w:firstLine="751"/>
        <w:spacing w:after="0"/>
        <w:rPr>
          <w:sz w:val="20"/>
          <w:szCs w:val="20"/>
          <w:color w:val="auto"/>
        </w:rPr>
      </w:pPr>
      <w:r>
        <w:rPr>
          <w:rFonts w:ascii="Arial" w:cs="Arial" w:eastAsia="Arial" w:hAnsi="Arial"/>
          <w:sz w:val="15"/>
          <w:szCs w:val="15"/>
          <w:color w:val="auto"/>
        </w:rPr>
        <w:t>Congress and the former Trump Administration, from 2017 - 2020 engaged in various efforts to repeal or materially modify various aspects of ACA. The results and effects of such ongoing efforts were varied after facing judicial and Congressional challenges but could affect our business operations and prospects in unknown ways, and it is unclear how ACA and other laws ultimately will be implemented. It is also unclear how regulations and sub-regulatory policy, which fluctuate continually, may affect interpretation and implementation of the ACA and its practical effects on our business, particularly entering an election year.</w:t>
      </w:r>
    </w:p>
    <w:p>
      <w:pPr>
        <w:spacing w:after="0" w:line="159" w:lineRule="exact"/>
        <w:rPr>
          <w:sz w:val="20"/>
          <w:szCs w:val="20"/>
          <w:color w:val="auto"/>
        </w:rPr>
      </w:pPr>
    </w:p>
    <w:p>
      <w:pPr>
        <w:ind w:right="20" w:firstLine="751"/>
        <w:spacing w:after="0" w:line="277" w:lineRule="auto"/>
        <w:rPr>
          <w:sz w:val="20"/>
          <w:szCs w:val="20"/>
          <w:color w:val="auto"/>
        </w:rPr>
      </w:pPr>
      <w:r>
        <w:rPr>
          <w:rFonts w:ascii="Arial" w:cs="Arial" w:eastAsia="Arial" w:hAnsi="Arial"/>
          <w:sz w:val="13"/>
          <w:szCs w:val="13"/>
          <w:color w:val="auto"/>
        </w:rPr>
        <w:t>In the future, there may continue to be additional proposals relating to the reform of the U.S. healthcare system, some of which could further limit the prices we will be able to charge for our product candidates, or the amounts of reimbursement available for our product candidates. If future legislation were to impose direct governmental price controls or access restrictions, it could have a significant adverse impact on our business. Additionally,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40" w:name="page41"/>
    <w:bookmarkEnd w:id="4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00" w:firstLine="751"/>
        <w:spacing w:after="0" w:line="270" w:lineRule="auto"/>
        <w:rPr>
          <w:sz w:val="20"/>
          <w:szCs w:val="20"/>
          <w:color w:val="auto"/>
        </w:rPr>
      </w:pPr>
      <w:r>
        <w:rPr>
          <w:rFonts w:ascii="Arial" w:cs="Arial" w:eastAsia="Arial" w:hAnsi="Arial"/>
          <w:sz w:val="14"/>
          <w:szCs w:val="14"/>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Foreign Corrupt Practices Act</w:t>
      </w:r>
    </w:p>
    <w:p>
      <w:pPr>
        <w:spacing w:after="0" w:line="174"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Regulation</w:t>
      </w:r>
    </w:p>
    <w:p>
      <w:pPr>
        <w:spacing w:after="0" w:line="163" w:lineRule="exact"/>
        <w:rPr>
          <w:sz w:val="20"/>
          <w:szCs w:val="20"/>
          <w:color w:val="auto"/>
        </w:rPr>
      </w:pPr>
    </w:p>
    <w:p>
      <w:pPr>
        <w:ind w:firstLine="751"/>
        <w:spacing w:after="0" w:line="150" w:lineRule="exact"/>
        <w:rPr>
          <w:sz w:val="20"/>
          <w:szCs w:val="20"/>
          <w:color w:val="auto"/>
        </w:rPr>
      </w:pPr>
      <w:r>
        <w:rPr>
          <w:rFonts w:ascii="Arial" w:cs="Arial" w:eastAsia="Arial" w:hAnsi="Arial"/>
          <w:sz w:val="13"/>
          <w:szCs w:val="13"/>
          <w:color w:val="auto"/>
        </w:rPr>
        <w:t>To the extent we choose to develop or sell any products outside of the United States, we will be subject to a variety of foreign regulatory requirements of other countries regarding safety and efficacy and governing, among other things, clinical trials, marketing authorization, commercial sales, and distribution of our products. For example, in the European Union, or EU, we must obtain authorization of a clinical trial application in each member state in which we intend to conduct a clinical trial prior to the pending introduction of an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w:t>
      </w:r>
      <w:r>
        <w:rPr>
          <w:rFonts w:ascii="MS PGothic" w:cs="MS PGothic" w:eastAsia="MS PGothic" w:hAnsi="MS PGothic"/>
          <w:sz w:val="13"/>
          <w:szCs w:val="13"/>
          <w:color w:val="auto"/>
        </w:rPr>
        <w:t>‑</w:t>
      </w:r>
      <w:r>
        <w:rPr>
          <w:rFonts w:ascii="Arial" w:cs="Arial" w:eastAsia="Arial" w:hAnsi="Arial"/>
          <w:sz w:val="13"/>
          <w:szCs w:val="13"/>
          <w:color w:val="auto"/>
        </w:rPr>
        <w:t>approval regulatory requirements, such as those regarding product manufacture, marketing, or distribution, would apply to any product that is approved outside the United States.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European Union Drug Approval Process</w:t>
      </w:r>
    </w:p>
    <w:p>
      <w:pPr>
        <w:spacing w:after="0" w:line="151" w:lineRule="exact"/>
        <w:rPr>
          <w:sz w:val="20"/>
          <w:szCs w:val="20"/>
          <w:color w:val="auto"/>
        </w:rPr>
      </w:pPr>
    </w:p>
    <w:p>
      <w:pPr>
        <w:ind w:right="240" w:firstLine="751"/>
        <w:spacing w:after="0" w:line="167" w:lineRule="exact"/>
        <w:rPr>
          <w:sz w:val="20"/>
          <w:szCs w:val="20"/>
          <w:color w:val="auto"/>
        </w:rPr>
      </w:pPr>
      <w:r>
        <w:rPr>
          <w:rFonts w:ascii="Arial" w:cs="Arial" w:eastAsia="Arial" w:hAnsi="Arial"/>
          <w:sz w:val="15"/>
          <w:szCs w:val="15"/>
          <w:color w:val="auto"/>
        </w:rPr>
        <w:t>To obtain a marketing authorization of a drug in the European Union, we may submit marketing authorization applications, or MAAs, either under the so</w:t>
      </w:r>
      <w:r>
        <w:rPr>
          <w:rFonts w:ascii="MS PGothic" w:cs="MS PGothic" w:eastAsia="MS PGothic" w:hAnsi="MS PGothic"/>
          <w:sz w:val="15"/>
          <w:szCs w:val="15"/>
          <w:color w:val="auto"/>
        </w:rPr>
        <w:t>‑</w:t>
      </w:r>
      <w:r>
        <w:rPr>
          <w:rFonts w:ascii="Arial" w:cs="Arial" w:eastAsia="Arial" w:hAnsi="Arial"/>
          <w:sz w:val="15"/>
          <w:szCs w:val="15"/>
          <w:color w:val="auto"/>
        </w:rPr>
        <w:t>called centralized, decentralized, mutual recognition, or national authorization procedures.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41" w:name="page42"/>
    <w:bookmarkEnd w:id="4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Centralized Procedure</w:t>
      </w:r>
    </w:p>
    <w:p>
      <w:pPr>
        <w:spacing w:after="0" w:line="174" w:lineRule="exact"/>
        <w:rPr>
          <w:sz w:val="20"/>
          <w:szCs w:val="20"/>
          <w:color w:val="auto"/>
        </w:rPr>
      </w:pPr>
    </w:p>
    <w:p>
      <w:pPr>
        <w:ind w:firstLine="751"/>
        <w:spacing w:after="0" w:line="236" w:lineRule="auto"/>
        <w:rPr>
          <w:sz w:val="20"/>
          <w:szCs w:val="20"/>
          <w:color w:val="auto"/>
        </w:rPr>
      </w:pPr>
      <w:r>
        <w:rPr>
          <w:rFonts w:ascii="Arial" w:cs="Arial" w:eastAsia="Arial" w:hAnsi="Arial"/>
          <w:sz w:val="15"/>
          <w:szCs w:val="15"/>
          <w:color w:val="auto"/>
        </w:rPr>
        <w:t>The centralized procedure provides for the grant of a single marketing authorization following a favorable opinion by the European Medicines Agency, or EMA, which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Authorization Procedures</w:t>
      </w:r>
    </w:p>
    <w:p>
      <w:pPr>
        <w:spacing w:after="0" w:line="151" w:lineRule="exact"/>
        <w:rPr>
          <w:sz w:val="20"/>
          <w:szCs w:val="20"/>
          <w:color w:val="auto"/>
        </w:rPr>
      </w:pPr>
    </w:p>
    <w:p>
      <w:pPr>
        <w:ind w:right="180" w:firstLine="751"/>
        <w:spacing w:after="0" w:line="232" w:lineRule="auto"/>
        <w:rPr>
          <w:sz w:val="20"/>
          <w:szCs w:val="20"/>
          <w:color w:val="auto"/>
        </w:rPr>
      </w:pPr>
      <w:r>
        <w:rPr>
          <w:rFonts w:ascii="Arial" w:cs="Arial" w:eastAsia="Arial" w:hAnsi="Arial"/>
          <w:sz w:val="15"/>
          <w:szCs w:val="15"/>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147" w:lineRule="exact"/>
        <w:rPr>
          <w:sz w:val="20"/>
          <w:szCs w:val="20"/>
          <w:color w:val="auto"/>
        </w:rPr>
      </w:pPr>
    </w:p>
    <w:p>
      <w:pPr>
        <w:ind w:left="1140" w:hanging="379"/>
        <w:spacing w:after="0"/>
        <w:tabs>
          <w:tab w:leader="none" w:pos="114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Decentralized procedure. </w:t>
      </w:r>
      <w:r>
        <w:rPr>
          <w:rFonts w:ascii="Arial" w:cs="Arial" w:eastAsia="Arial" w:hAnsi="Arial"/>
          <w:sz w:val="15"/>
          <w:szCs w:val="15"/>
          <w:color w:val="auto"/>
        </w:rPr>
        <w:t>Using the decentralized procedure, an applicant may apply in more than one European Union country, although the applicant must nominate</w:t>
      </w:r>
      <w:r>
        <w:rPr>
          <w:rFonts w:ascii="Arial" w:cs="Arial" w:eastAsia="Arial" w:hAnsi="Arial"/>
          <w:sz w:val="15"/>
          <w:szCs w:val="15"/>
          <w:i w:val="1"/>
          <w:iCs w:val="1"/>
          <w:color w:val="auto"/>
        </w:rPr>
        <w:t xml:space="preserve"> </w:t>
      </w:r>
      <w:r>
        <w:rPr>
          <w:rFonts w:ascii="Arial" w:cs="Arial" w:eastAsia="Arial" w:hAnsi="Arial"/>
          <w:sz w:val="15"/>
          <w:szCs w:val="15"/>
          <w:color w:val="auto"/>
        </w:rPr>
        <w:t>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158" w:lineRule="exact"/>
        <w:rPr>
          <w:rFonts w:ascii="Arial" w:cs="Arial" w:eastAsia="Arial" w:hAnsi="Arial"/>
          <w:sz w:val="15"/>
          <w:szCs w:val="15"/>
          <w:color w:val="auto"/>
        </w:rPr>
      </w:pPr>
    </w:p>
    <w:p>
      <w:pPr>
        <w:ind w:left="1140" w:right="40" w:hanging="379"/>
        <w:spacing w:after="0"/>
        <w:tabs>
          <w:tab w:leader="none" w:pos="114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Mutual recognition procedure. </w:t>
      </w:r>
      <w:r>
        <w:rPr>
          <w:rFonts w:ascii="Arial" w:cs="Arial" w:eastAsia="Arial" w:hAnsi="Arial"/>
          <w:sz w:val="15"/>
          <w:szCs w:val="15"/>
          <w:color w:val="auto"/>
        </w:rPr>
        <w:t>In the mutual recognition procedure, a medicine is first authorized in one European Union Member State, referred to as the reference</w:t>
      </w:r>
      <w:r>
        <w:rPr>
          <w:rFonts w:ascii="Arial" w:cs="Arial" w:eastAsia="Arial" w:hAnsi="Arial"/>
          <w:sz w:val="15"/>
          <w:szCs w:val="15"/>
          <w:i w:val="1"/>
          <w:iCs w:val="1"/>
          <w:color w:val="auto"/>
        </w:rPr>
        <w:t xml:space="preserve"> </w:t>
      </w:r>
      <w:r>
        <w:rPr>
          <w:rFonts w:ascii="Arial" w:cs="Arial" w:eastAsia="Arial" w:hAnsi="Arial"/>
          <w:sz w:val="15"/>
          <w:szCs w:val="15"/>
          <w:color w:val="auto"/>
        </w:rPr>
        <w:t>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58" w:lineRule="exact"/>
        <w:rPr>
          <w:rFonts w:ascii="Arial" w:cs="Arial" w:eastAsia="Arial" w:hAnsi="Arial"/>
          <w:sz w:val="15"/>
          <w:szCs w:val="15"/>
          <w:color w:val="auto"/>
        </w:rPr>
      </w:pPr>
    </w:p>
    <w:p>
      <w:pPr>
        <w:ind w:left="1140" w:hanging="379"/>
        <w:spacing w:after="0"/>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National procedures. </w:t>
      </w:r>
      <w:r>
        <w:rPr>
          <w:rFonts w:ascii="Arial" w:cs="Arial" w:eastAsia="Arial" w:hAnsi="Arial"/>
          <w:sz w:val="14"/>
          <w:szCs w:val="14"/>
          <w:color w:val="auto"/>
        </w:rPr>
        <w:t>Purely national procedures continue to be possible but are strictly limited to where the product is to be authorized in one member state only.</w:t>
      </w:r>
    </w:p>
    <w:p>
      <w:pPr>
        <w:spacing w:after="0" w:line="185" w:lineRule="exact"/>
        <w:rPr>
          <w:sz w:val="20"/>
          <w:szCs w:val="20"/>
          <w:color w:val="auto"/>
        </w:rPr>
      </w:pPr>
    </w:p>
    <w:p>
      <w:pPr>
        <w:ind w:firstLine="751"/>
        <w:spacing w:after="0" w:line="171" w:lineRule="exact"/>
        <w:rPr>
          <w:sz w:val="20"/>
          <w:szCs w:val="20"/>
          <w:color w:val="auto"/>
        </w:rPr>
      </w:pPr>
      <w:r>
        <w:rPr>
          <w:rFonts w:ascii="Arial" w:cs="Arial" w:eastAsia="Arial" w:hAnsi="Arial"/>
          <w:sz w:val="14"/>
          <w:szCs w:val="14"/>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w:t>
      </w:r>
      <w:r>
        <w:rPr>
          <w:rFonts w:ascii="MS PGothic" w:cs="MS PGothic" w:eastAsia="MS PGothic" w:hAnsi="MS PGothic"/>
          <w:sz w:val="14"/>
          <w:szCs w:val="14"/>
          <w:color w:val="auto"/>
        </w:rPr>
        <w:t>‑</w:t>
      </w:r>
      <w:r>
        <w:rPr>
          <w:rFonts w:ascii="Arial" w:cs="Arial" w:eastAsia="Arial" w:hAnsi="Arial"/>
          <w:sz w:val="14"/>
          <w:szCs w:val="14"/>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178" w:lineRule="exact"/>
        <w:rPr>
          <w:sz w:val="20"/>
          <w:szCs w:val="20"/>
          <w:color w:val="auto"/>
        </w:rPr>
      </w:pPr>
    </w:p>
    <w:p>
      <w:pPr>
        <w:ind w:right="40" w:firstLine="751"/>
        <w:spacing w:after="0" w:line="270" w:lineRule="auto"/>
        <w:rPr>
          <w:sz w:val="20"/>
          <w:szCs w:val="20"/>
          <w:color w:val="auto"/>
        </w:rPr>
      </w:pPr>
      <w:r>
        <w:rPr>
          <w:rFonts w:ascii="Arial" w:cs="Arial" w:eastAsia="Arial" w:hAnsi="Arial"/>
          <w:sz w:val="14"/>
          <w:szCs w:val="14"/>
          <w:color w:val="auto"/>
        </w:rPr>
        <w:t>Conducting research and development is central to our business model. We have invested and expect to continue to invest significant time and capital in our research and development operations. Our research and development expenses were $58.1 million, and $70.2 million for the years ended December 31, 2021 and 2020, respectively. We plan to increase our research and development expenses for the foreseeable future as we seek to complete the development of AXS-05, AXS-07, AXS-12, and AXS-14.</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42" w:name="page43"/>
    <w:bookmarkEnd w:id="4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 and Human Capital Management</w:t>
      </w:r>
    </w:p>
    <w:p>
      <w:pPr>
        <w:spacing w:after="0" w:line="167" w:lineRule="exact"/>
        <w:rPr>
          <w:sz w:val="20"/>
          <w:szCs w:val="20"/>
          <w:color w:val="auto"/>
        </w:rPr>
      </w:pPr>
    </w:p>
    <w:p>
      <w:pPr>
        <w:ind w:firstLine="751"/>
        <w:spacing w:after="0" w:line="150" w:lineRule="exact"/>
        <w:rPr>
          <w:sz w:val="20"/>
          <w:szCs w:val="20"/>
          <w:color w:val="auto"/>
        </w:rPr>
      </w:pPr>
      <w:r>
        <w:rPr>
          <w:rFonts w:ascii="Arial" w:cs="Arial" w:eastAsia="Arial" w:hAnsi="Arial"/>
          <w:sz w:val="14"/>
          <w:szCs w:val="14"/>
          <w:color w:val="auto"/>
        </w:rPr>
        <w:t>As of February 22, 2022, we had 108 full</w:t>
      </w:r>
      <w:r>
        <w:rPr>
          <w:rFonts w:ascii="MS PGothic" w:cs="MS PGothic" w:eastAsia="MS PGothic" w:hAnsi="MS PGothic"/>
          <w:sz w:val="14"/>
          <w:szCs w:val="14"/>
          <w:color w:val="auto"/>
        </w:rPr>
        <w:t>‑</w:t>
      </w:r>
      <w:r>
        <w:rPr>
          <w:rFonts w:ascii="Arial" w:cs="Arial" w:eastAsia="Arial" w:hAnsi="Arial"/>
          <w:sz w:val="14"/>
          <w:szCs w:val="14"/>
          <w:color w:val="auto"/>
        </w:rPr>
        <w:t>time employees. None of our employees is represented by a collective bargaining agreement and we have never experienced any work stoppage. We believe that we maintain good relations with our employees. Our employees are highly skilled, and many hold advanced degrees. Most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took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Information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3"/>
          <w:szCs w:val="13"/>
          <w:color w:val="auto"/>
        </w:rPr>
        <w:t>We were incorporated in Delaware in January 2012. Our offices are located at 22 Cortlandt Street, 16</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Floor, New York, New York 10007, and our telephone number is (212)</w:t>
      </w:r>
    </w:p>
    <w:p>
      <w:pPr>
        <w:spacing w:after="0"/>
        <w:rPr>
          <w:sz w:val="20"/>
          <w:szCs w:val="20"/>
          <w:color w:val="auto"/>
        </w:rPr>
      </w:pPr>
      <w:r>
        <w:rPr>
          <w:rFonts w:ascii="Arial" w:cs="Arial" w:eastAsia="Arial" w:hAnsi="Arial"/>
          <w:sz w:val="15"/>
          <w:szCs w:val="15"/>
          <w:color w:val="auto"/>
        </w:rPr>
        <w:t>332-3241.</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55" w:lineRule="exact"/>
        <w:rPr>
          <w:sz w:val="20"/>
          <w:szCs w:val="20"/>
          <w:color w:val="auto"/>
        </w:rPr>
      </w:pPr>
    </w:p>
    <w:p>
      <w:pPr>
        <w:ind w:right="80" w:firstLine="751"/>
        <w:spacing w:after="0" w:line="227" w:lineRule="auto"/>
        <w:rPr>
          <w:sz w:val="20"/>
          <w:szCs w:val="20"/>
          <w:color w:val="auto"/>
        </w:rPr>
      </w:pPr>
      <w:r>
        <w:rPr>
          <w:rFonts w:ascii="Arial" w:cs="Arial" w:eastAsia="Arial" w:hAnsi="Arial"/>
          <w:sz w:val="14"/>
          <w:szCs w:val="14"/>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3" w:name="page44"/>
    <w:bookmarkEnd w:id="4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78" w:lineRule="exact"/>
        <w:rPr>
          <w:sz w:val="20"/>
          <w:szCs w:val="20"/>
          <w:color w:val="auto"/>
        </w:rPr>
      </w:pPr>
    </w:p>
    <w:p>
      <w:pPr>
        <w:jc w:val="both"/>
        <w:ind w:right="40" w:firstLine="751"/>
        <w:spacing w:after="0" w:line="300" w:lineRule="auto"/>
        <w:rPr>
          <w:sz w:val="20"/>
          <w:szCs w:val="20"/>
          <w:color w:val="auto"/>
        </w:rPr>
      </w:pPr>
      <w:r>
        <w:rPr>
          <w:rFonts w:ascii="Arial" w:cs="Arial" w:eastAsia="Arial" w:hAnsi="Arial"/>
          <w:sz w:val="13"/>
          <w:szCs w:val="13"/>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Investors should carefully consider all of the information set forth in this Annual Report on Form 10-K, including the following risk factors, before deciding to invest in any of the Company’s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 Summary</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Our business is subject to a number of risks and uncertainties, including those risks discussed at length below. These risks include, among others, the following:</w:t>
      </w:r>
    </w:p>
    <w:p>
      <w:pPr>
        <w:spacing w:after="0" w:line="185" w:lineRule="exact"/>
        <w:rPr>
          <w:sz w:val="20"/>
          <w:szCs w:val="20"/>
          <w:color w:val="auto"/>
        </w:rPr>
      </w:pPr>
    </w:p>
    <w:p>
      <w:pPr>
        <w:ind w:left="760" w:right="400" w:hanging="375"/>
        <w:spacing w:after="0" w:line="255"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47" w:lineRule="exact"/>
        <w:rPr>
          <w:rFonts w:ascii="Arial" w:cs="Arial" w:eastAsia="Arial" w:hAnsi="Arial"/>
          <w:sz w:val="15"/>
          <w:szCs w:val="15"/>
          <w:color w:val="auto"/>
        </w:rPr>
      </w:pPr>
    </w:p>
    <w:p>
      <w:pPr>
        <w:ind w:left="760" w:right="220" w:hanging="375"/>
        <w:spacing w:after="0" w:line="331" w:lineRule="auto"/>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01" w:lineRule="exact"/>
        <w:rPr>
          <w:rFonts w:ascii="Arial" w:cs="Arial" w:eastAsia="Arial" w:hAnsi="Arial"/>
          <w:sz w:val="13"/>
          <w:szCs w:val="13"/>
          <w:color w:val="auto"/>
        </w:rPr>
      </w:pPr>
    </w:p>
    <w:p>
      <w:pPr>
        <w:ind w:left="760" w:right="280" w:hanging="375"/>
        <w:spacing w:after="0" w:line="331" w:lineRule="auto"/>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01" w:lineRule="exact"/>
        <w:rPr>
          <w:rFonts w:ascii="Arial" w:cs="Arial" w:eastAsia="Arial" w:hAnsi="Arial"/>
          <w:sz w:val="13"/>
          <w:szCs w:val="13"/>
          <w:color w:val="auto"/>
        </w:rPr>
      </w:pPr>
    </w:p>
    <w:p>
      <w:pPr>
        <w:ind w:left="760" w:hanging="375"/>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We have a limited operating history and no history of commercializing products, which may make it difficult to evaluate our business and prospects.</w:t>
      </w:r>
    </w:p>
    <w:p>
      <w:pPr>
        <w:spacing w:after="0" w:line="185" w:lineRule="exact"/>
        <w:rPr>
          <w:rFonts w:ascii="Arial" w:cs="Arial" w:eastAsia="Arial" w:hAnsi="Arial"/>
          <w:sz w:val="14"/>
          <w:szCs w:val="14"/>
          <w:color w:val="auto"/>
        </w:rPr>
      </w:pPr>
    </w:p>
    <w:p>
      <w:pPr>
        <w:ind w:left="760" w:right="120" w:hanging="375"/>
        <w:spacing w:after="0" w:line="255"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We are substantially dependent on the success of our product candidates and cannot guarantee that any of our product candidates will successfully complete any planned or ongoing clinical trials, receive regulatory approval, or be successfully commercialized.</w:t>
      </w:r>
    </w:p>
    <w:p>
      <w:pPr>
        <w:spacing w:after="0" w:line="147" w:lineRule="exact"/>
        <w:rPr>
          <w:rFonts w:ascii="Arial" w:cs="Arial" w:eastAsia="Arial" w:hAnsi="Arial"/>
          <w:sz w:val="15"/>
          <w:szCs w:val="15"/>
          <w:color w:val="auto"/>
        </w:rPr>
      </w:pPr>
    </w:p>
    <w:p>
      <w:pPr>
        <w:ind w:left="760" w:hanging="375"/>
        <w:spacing w:after="0" w:line="270" w:lineRule="auto"/>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37" w:lineRule="exact"/>
        <w:rPr>
          <w:rFonts w:ascii="Arial" w:cs="Arial" w:eastAsia="Arial" w:hAnsi="Arial"/>
          <w:sz w:val="14"/>
          <w:szCs w:val="14"/>
          <w:color w:val="auto"/>
        </w:rPr>
      </w:pPr>
    </w:p>
    <w:p>
      <w:pPr>
        <w:ind w:left="760" w:right="20" w:hanging="375"/>
        <w:spacing w:after="0" w:line="270" w:lineRule="auto"/>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MDD and for the treatment of AD agitation.</w:t>
      </w:r>
    </w:p>
    <w:p>
      <w:pPr>
        <w:spacing w:after="0" w:line="137" w:lineRule="exact"/>
        <w:rPr>
          <w:rFonts w:ascii="Arial" w:cs="Arial" w:eastAsia="Arial" w:hAnsi="Arial"/>
          <w:sz w:val="14"/>
          <w:szCs w:val="14"/>
          <w:color w:val="auto"/>
        </w:rPr>
      </w:pPr>
    </w:p>
    <w:p>
      <w:pPr>
        <w:ind w:left="760" w:right="140" w:hanging="375"/>
        <w:spacing w:after="0" w:line="255"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47" w:lineRule="exact"/>
        <w:rPr>
          <w:rFonts w:ascii="Arial" w:cs="Arial" w:eastAsia="Arial" w:hAnsi="Arial"/>
          <w:sz w:val="15"/>
          <w:szCs w:val="15"/>
          <w:color w:val="auto"/>
        </w:rPr>
      </w:pPr>
    </w:p>
    <w:p>
      <w:pPr>
        <w:ind w:left="760" w:right="200" w:hanging="375"/>
        <w:spacing w:after="0" w:line="331" w:lineRule="auto"/>
        <w:tabs>
          <w:tab w:leader="none" w:pos="760"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product revenues.</w:t>
      </w:r>
    </w:p>
    <w:p>
      <w:pPr>
        <w:spacing w:after="0" w:line="101" w:lineRule="exact"/>
        <w:rPr>
          <w:rFonts w:ascii="Arial" w:cs="Arial" w:eastAsia="Arial" w:hAnsi="Arial"/>
          <w:sz w:val="13"/>
          <w:szCs w:val="13"/>
          <w:color w:val="auto"/>
        </w:rPr>
      </w:pPr>
    </w:p>
    <w:p>
      <w:pPr>
        <w:ind w:left="760" w:hanging="375"/>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If any of our current or future product candidates do not achieve broad market acceptance, the revenues that we generate from their sales will be limited.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44" w:name="page45"/>
    <w:bookmarkEnd w:id="4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left="760" w:right="480" w:hanging="375"/>
        <w:spacing w:after="0" w:line="331" w:lineRule="auto"/>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01" w:lineRule="exact"/>
        <w:rPr>
          <w:rFonts w:ascii="Arial" w:cs="Arial" w:eastAsia="Arial" w:hAnsi="Arial"/>
          <w:sz w:val="13"/>
          <w:szCs w:val="13"/>
          <w:color w:val="auto"/>
        </w:rPr>
      </w:pPr>
    </w:p>
    <w:p>
      <w:pPr>
        <w:jc w:val="both"/>
        <w:ind w:left="760" w:right="180" w:hanging="375"/>
        <w:spacing w:after="0" w:line="244"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55" w:lineRule="exact"/>
        <w:rPr>
          <w:rFonts w:ascii="Arial" w:cs="Arial" w:eastAsia="Arial" w:hAnsi="Arial"/>
          <w:sz w:val="15"/>
          <w:szCs w:val="15"/>
          <w:color w:val="auto"/>
        </w:rPr>
      </w:pPr>
    </w:p>
    <w:p>
      <w:pPr>
        <w:ind w:left="760" w:right="80" w:hanging="375"/>
        <w:spacing w:after="0" w:line="255"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Our business operations, financial condition, results of operations and cash flows may be adversely affected by the effects of health epidemics, pandemics, or outbreaks of infectious diseases, including the ongoing COVID-19 pandemic.</w:t>
      </w:r>
    </w:p>
    <w:p>
      <w:pPr>
        <w:spacing w:after="0" w:line="147" w:lineRule="exact"/>
        <w:rPr>
          <w:rFonts w:ascii="Arial" w:cs="Arial" w:eastAsia="Arial" w:hAnsi="Arial"/>
          <w:sz w:val="15"/>
          <w:szCs w:val="15"/>
          <w:color w:val="auto"/>
        </w:rPr>
      </w:pPr>
    </w:p>
    <w:p>
      <w:pPr>
        <w:ind w:left="760" w:hanging="375"/>
        <w:spacing w:after="0" w:line="289" w:lineRule="auto"/>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28" w:lineRule="exact"/>
        <w:rPr>
          <w:rFonts w:ascii="Arial" w:cs="Arial" w:eastAsia="Arial" w:hAnsi="Arial"/>
          <w:sz w:val="13"/>
          <w:szCs w:val="13"/>
          <w:color w:val="auto"/>
        </w:rPr>
      </w:pPr>
    </w:p>
    <w:p>
      <w:pPr>
        <w:ind w:left="760" w:right="180" w:hanging="375"/>
        <w:spacing w:after="0" w:line="255"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We are dependent on third parties to decide to utilize our product candidates effectively, including by making them readily available at the point of care throughout their networks of pharmacies.</w:t>
      </w:r>
    </w:p>
    <w:p>
      <w:pPr>
        <w:spacing w:after="0" w:line="147" w:lineRule="exact"/>
        <w:rPr>
          <w:rFonts w:ascii="Arial" w:cs="Arial" w:eastAsia="Arial" w:hAnsi="Arial"/>
          <w:sz w:val="15"/>
          <w:szCs w:val="15"/>
          <w:color w:val="auto"/>
        </w:rPr>
      </w:pPr>
    </w:p>
    <w:p>
      <w:pPr>
        <w:ind w:left="760" w:right="120" w:hanging="375"/>
        <w:spacing w:after="0" w:line="255"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47" w:lineRule="exact"/>
        <w:rPr>
          <w:rFonts w:ascii="Arial" w:cs="Arial" w:eastAsia="Arial" w:hAnsi="Arial"/>
          <w:sz w:val="15"/>
          <w:szCs w:val="15"/>
          <w:color w:val="auto"/>
        </w:rPr>
      </w:pPr>
    </w:p>
    <w:p>
      <w:pPr>
        <w:ind w:left="760" w:right="400" w:hanging="375"/>
        <w:spacing w:after="0" w:line="290" w:lineRule="auto"/>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24" w:lineRule="exact"/>
        <w:rPr>
          <w:rFonts w:ascii="Arial" w:cs="Arial" w:eastAsia="Arial" w:hAnsi="Arial"/>
          <w:sz w:val="14"/>
          <w:szCs w:val="14"/>
          <w:color w:val="auto"/>
        </w:rPr>
      </w:pPr>
    </w:p>
    <w:p>
      <w:pPr>
        <w:ind w:left="760" w:hanging="375"/>
        <w:spacing w:after="0" w:line="331" w:lineRule="auto"/>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01" w:lineRule="exact"/>
        <w:rPr>
          <w:rFonts w:ascii="Arial" w:cs="Arial" w:eastAsia="Arial" w:hAnsi="Arial"/>
          <w:sz w:val="13"/>
          <w:szCs w:val="13"/>
          <w:color w:val="auto"/>
        </w:rPr>
      </w:pPr>
    </w:p>
    <w:p>
      <w:pPr>
        <w:ind w:left="760" w:right="80" w:hanging="375"/>
        <w:spacing w:after="0" w:line="331" w:lineRule="auto"/>
        <w:tabs>
          <w:tab w:leader="none" w:pos="760"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01" w:lineRule="exact"/>
        <w:rPr>
          <w:rFonts w:ascii="Arial" w:cs="Arial" w:eastAsia="Arial" w:hAnsi="Arial"/>
          <w:sz w:val="13"/>
          <w:szCs w:val="13"/>
          <w:color w:val="auto"/>
        </w:rPr>
      </w:pPr>
    </w:p>
    <w:p>
      <w:pPr>
        <w:ind w:left="760" w:right="340" w:hanging="375"/>
        <w:spacing w:after="0" w:line="255"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47" w:lineRule="exact"/>
        <w:rPr>
          <w:rFonts w:ascii="Arial" w:cs="Arial" w:eastAsia="Arial" w:hAnsi="Arial"/>
          <w:sz w:val="15"/>
          <w:szCs w:val="15"/>
          <w:color w:val="auto"/>
        </w:rPr>
      </w:pPr>
    </w:p>
    <w:p>
      <w:pPr>
        <w:ind w:left="760" w:right="20" w:hanging="375"/>
        <w:spacing w:after="0" w:line="290" w:lineRule="auto"/>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24" w:lineRule="exact"/>
        <w:rPr>
          <w:rFonts w:ascii="Arial" w:cs="Arial" w:eastAsia="Arial" w:hAnsi="Arial"/>
          <w:sz w:val="14"/>
          <w:szCs w:val="14"/>
          <w:color w:val="auto"/>
        </w:rPr>
      </w:pPr>
    </w:p>
    <w:p>
      <w:pPr>
        <w:ind w:left="760" w:right="300" w:hanging="375"/>
        <w:spacing w:after="0" w:line="255"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Our principal stockholders and management own a significant percentage of our stock and may be able to exert significant control over matters subject to stockholder approval.</w:t>
      </w:r>
    </w:p>
    <w:p>
      <w:pPr>
        <w:spacing w:after="0" w:line="147" w:lineRule="exact"/>
        <w:rPr>
          <w:rFonts w:ascii="Arial" w:cs="Arial" w:eastAsia="Arial" w:hAnsi="Arial"/>
          <w:sz w:val="15"/>
          <w:szCs w:val="15"/>
          <w:color w:val="auto"/>
        </w:rPr>
      </w:pPr>
    </w:p>
    <w:p>
      <w:pPr>
        <w:ind w:left="760" w:hanging="375"/>
        <w:spacing w:after="0"/>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The use of our net operating loss carryforwards and research tax credits may be limited.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45" w:name="page46"/>
    <w:bookmarkEnd w:id="4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FINANCIAL CONDITION AND CAPITAL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86" w:lineRule="exact"/>
        <w:rPr>
          <w:sz w:val="20"/>
          <w:szCs w:val="20"/>
          <w:color w:val="auto"/>
        </w:rPr>
      </w:pPr>
    </w:p>
    <w:p>
      <w:pPr>
        <w:ind w:right="20" w:firstLine="751"/>
        <w:spacing w:after="0" w:line="255" w:lineRule="auto"/>
        <w:rPr>
          <w:sz w:val="20"/>
          <w:szCs w:val="20"/>
          <w:color w:val="auto"/>
        </w:rPr>
      </w:pPr>
      <w:r>
        <w:rPr>
          <w:rFonts w:ascii="Arial" w:cs="Arial" w:eastAsia="Arial" w:hAnsi="Arial"/>
          <w:sz w:val="14"/>
          <w:szCs w:val="14"/>
          <w:color w:val="auto"/>
        </w:rPr>
        <w:t>We are a biopharmaceutical company with a limited operating history. For the last several years, we have focused our efforts primarily on developing CNS product candidates, AXS-05, AXS-07, AXS-12, and AXS-14, which we refer to herein as our product candidates, with the goal of achieving regulatory approval and commercialization. Since inception, we have incurred significant operating losses. Our net losses were $130.4 million and $102.9 million for twelve months ended December 31, 2021, and 2020, respectively. As of December 31, 2021, we had an accumulated deficit of $409.2 million. To date, we have not received regulatory approvals for any of our product candidates or generated any revenue from the sale of products, and we do not expect to generate any revenue in the foreseeable future. We expect to continue to incur substantial expenses and operating losses, as we continue to develop our current and future product candidates. In addition, we expect to incur significant sales, marketing, and manufacturing expenses related to the commercialization of our current and future product candidates, if they are approved by the FDA. As a result, we expect to continue to incur significant losses for the foreseeable future. We anticipate that our expenses will increase substantially as we:</w:t>
      </w:r>
    </w:p>
    <w:p>
      <w:pPr>
        <w:spacing w:after="0" w:line="61" w:lineRule="exact"/>
        <w:rPr>
          <w:sz w:val="20"/>
          <w:szCs w:val="20"/>
          <w:color w:val="auto"/>
        </w:rPr>
      </w:pPr>
    </w:p>
    <w:p>
      <w:pPr>
        <w:ind w:left="1040" w:hanging="520"/>
        <w:spacing w:after="0" w:line="173" w:lineRule="exact"/>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seek regulatory approval for any product candidates that successfully complete late</w:t>
      </w:r>
      <w:r>
        <w:rPr>
          <w:rFonts w:ascii="MS PGothic" w:cs="MS PGothic" w:eastAsia="MS PGothic" w:hAnsi="MS PGothic"/>
          <w:sz w:val="15"/>
          <w:szCs w:val="15"/>
          <w:color w:val="auto"/>
        </w:rPr>
        <w:t>‑</w:t>
      </w:r>
      <w:r>
        <w:rPr>
          <w:rFonts w:ascii="Arial" w:cs="Arial" w:eastAsia="Arial" w:hAnsi="Arial"/>
          <w:sz w:val="15"/>
          <w:szCs w:val="15"/>
          <w:color w:val="auto"/>
        </w:rPr>
        <w:t>stage clinical trials;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hire additional commercial, clinical, medical, quality, regulatory, and scientific personnel;</w:t>
      </w:r>
    </w:p>
    <w:p>
      <w:pPr>
        <w:spacing w:after="0" w:line="84" w:lineRule="exact"/>
        <w:rPr>
          <w:rFonts w:ascii="Arial" w:cs="Arial" w:eastAsia="Arial" w:hAnsi="Arial"/>
          <w:sz w:val="15"/>
          <w:szCs w:val="15"/>
          <w:color w:val="auto"/>
        </w:rPr>
      </w:pPr>
    </w:p>
    <w:p>
      <w:pPr>
        <w:ind w:left="1040" w:right="280" w:hanging="520"/>
        <w:spacing w:after="0" w:line="255" w:lineRule="auto"/>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add operational, financial, and management information systems and personnel, including personnel to support our product candidate development and planned future commercialization efforts;</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further establish a sales, marketing, and distribution infrastructure;</w:t>
      </w:r>
    </w:p>
    <w:p>
      <w:pPr>
        <w:spacing w:after="0" w:line="84" w:lineRule="exact"/>
        <w:rPr>
          <w:rFonts w:ascii="Arial" w:cs="Arial" w:eastAsia="Arial" w:hAnsi="Arial"/>
          <w:sz w:val="15"/>
          <w:szCs w:val="15"/>
          <w:color w:val="auto"/>
        </w:rPr>
      </w:pPr>
    </w:p>
    <w:p>
      <w:pPr>
        <w:ind w:left="1040" w:right="80" w:hanging="520"/>
        <w:spacing w:after="0" w:line="255" w:lineRule="auto"/>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expand external manufacturing capabilities and production to commercialize any products for which we may obtain regulatory approval and that we choose not to license to a third-party;</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undertake additional manufacturing activities of our product candidates to satisfy FDA requirements for marketing application submissions;</w:t>
      </w:r>
    </w:p>
    <w:p>
      <w:pPr>
        <w:spacing w:after="0" w:line="84"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conduct our clinical trials with AXS</w:t>
      </w:r>
      <w:r>
        <w:rPr>
          <w:rFonts w:ascii="MS PGothic" w:cs="MS PGothic" w:eastAsia="MS PGothic" w:hAnsi="MS PGothic"/>
          <w:sz w:val="15"/>
          <w:szCs w:val="15"/>
          <w:color w:val="auto"/>
        </w:rPr>
        <w:t>‑</w:t>
      </w:r>
      <w:r>
        <w:rPr>
          <w:rFonts w:ascii="Arial" w:cs="Arial" w:eastAsia="Arial" w:hAnsi="Arial"/>
          <w:sz w:val="15"/>
          <w:szCs w:val="15"/>
          <w:color w:val="auto"/>
        </w:rPr>
        <w:t>05 in depression and AD agitation;</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conduct our clinical trials with AXS-12 in narcolepsy;</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continue to evaluate, plan for, and conduct, clinical trials for AXS-05 as an aid to smoking cessation and other CNS disorders;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continue to evaluate, plan for, and potentially submit an NDA for AXS-14 in fibromyalgia;</w:t>
      </w:r>
    </w:p>
    <w:p>
      <w:pPr>
        <w:spacing w:after="0" w:line="84"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develop, in</w:t>
      </w:r>
      <w:r>
        <w:rPr>
          <w:rFonts w:ascii="MS PGothic" w:cs="MS PGothic" w:eastAsia="MS PGothic" w:hAnsi="MS PGothic"/>
          <w:sz w:val="15"/>
          <w:szCs w:val="15"/>
          <w:color w:val="auto"/>
        </w:rPr>
        <w:t>‑</w:t>
      </w:r>
      <w:r>
        <w:rPr>
          <w:rFonts w:ascii="Arial" w:cs="Arial" w:eastAsia="Arial" w:hAnsi="Arial"/>
          <w:sz w:val="15"/>
          <w:szCs w:val="15"/>
          <w:color w:val="auto"/>
        </w:rPr>
        <w:t>license, or acquire additional product candidates;</w:t>
      </w:r>
    </w:p>
    <w:p>
      <w:pPr>
        <w:spacing w:after="0" w:line="84"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conduct late</w:t>
      </w:r>
      <w:r>
        <w:rPr>
          <w:rFonts w:ascii="MS PGothic" w:cs="MS PGothic" w:eastAsia="MS PGothic" w:hAnsi="MS PGothic"/>
          <w:sz w:val="15"/>
          <w:szCs w:val="15"/>
          <w:color w:val="auto"/>
        </w:rPr>
        <w:t>‑</w:t>
      </w:r>
      <w:r>
        <w:rPr>
          <w:rFonts w:ascii="Arial" w:cs="Arial" w:eastAsia="Arial" w:hAnsi="Arial"/>
          <w:sz w:val="15"/>
          <w:szCs w:val="15"/>
          <w:color w:val="auto"/>
        </w:rPr>
        <w:t>stage clinical trials for any product candidates that successfully complete early</w:t>
      </w:r>
      <w:r>
        <w:rPr>
          <w:rFonts w:ascii="MS PGothic" w:cs="MS PGothic" w:eastAsia="MS PGothic" w:hAnsi="MS PGothic"/>
          <w:sz w:val="15"/>
          <w:szCs w:val="15"/>
          <w:color w:val="auto"/>
        </w:rPr>
        <w:t>‑</w:t>
      </w:r>
      <w:r>
        <w:rPr>
          <w:rFonts w:ascii="Arial" w:cs="Arial" w:eastAsia="Arial" w:hAnsi="Arial"/>
          <w:sz w:val="15"/>
          <w:szCs w:val="15"/>
          <w:color w:val="auto"/>
        </w:rPr>
        <w:t>stage clinical trials;</w:t>
      </w:r>
    </w:p>
    <w:p>
      <w:pPr>
        <w:spacing w:after="0" w:line="84"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conduct additional non</w:t>
      </w:r>
      <w:r>
        <w:rPr>
          <w:rFonts w:ascii="MS PGothic" w:cs="MS PGothic" w:eastAsia="MS PGothic" w:hAnsi="MS PGothic"/>
          <w:sz w:val="15"/>
          <w:szCs w:val="15"/>
          <w:color w:val="auto"/>
        </w:rPr>
        <w:t>‑</w:t>
      </w:r>
      <w:r>
        <w:rPr>
          <w:rFonts w:ascii="Arial" w:cs="Arial" w:eastAsia="Arial" w:hAnsi="Arial"/>
          <w:sz w:val="15"/>
          <w:szCs w:val="15"/>
          <w:color w:val="auto"/>
        </w:rPr>
        <w:t>clinical studies with any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conduct clinical studies with any additional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require larger quantities of product;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163"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To become and remain profitable, we must succeed in developing and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20"/>
          </w:cols>
          <w:pgMar w:left="300" w:top="124" w:right="379" w:bottom="1440" w:gutter="0" w:footer="0" w:header="0"/>
        </w:sectPr>
      </w:pPr>
    </w:p>
    <w:bookmarkStart w:id="46" w:name="page47"/>
    <w:bookmarkEnd w:id="4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or government payors. We are only in the preliminary stages of some of these activities. We may never succeed in these activities and, even if we do, may never achieve profitability.</w:t>
      </w:r>
    </w:p>
    <w:p>
      <w:pPr>
        <w:spacing w:after="0" w:line="174" w:lineRule="exact"/>
        <w:rPr>
          <w:sz w:val="20"/>
          <w:szCs w:val="20"/>
          <w:color w:val="auto"/>
        </w:rPr>
      </w:pPr>
    </w:p>
    <w:p>
      <w:pPr>
        <w:ind w:right="160" w:firstLine="751"/>
        <w:spacing w:after="0" w:line="300" w:lineRule="auto"/>
        <w:rPr>
          <w:sz w:val="20"/>
          <w:szCs w:val="20"/>
          <w:color w:val="auto"/>
        </w:rPr>
      </w:pPr>
      <w:r>
        <w:rPr>
          <w:rFonts w:ascii="Arial" w:cs="Arial" w:eastAsia="Arial" w:hAnsi="Arial"/>
          <w:sz w:val="13"/>
          <w:szCs w:val="13"/>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10" w:lineRule="exact"/>
        <w:rPr>
          <w:sz w:val="20"/>
          <w:szCs w:val="20"/>
          <w:color w:val="auto"/>
        </w:rPr>
      </w:pPr>
    </w:p>
    <w:p>
      <w:pPr>
        <w:ind w:right="100" w:firstLine="751"/>
        <w:spacing w:after="0" w:line="244" w:lineRule="auto"/>
        <w:rPr>
          <w:sz w:val="20"/>
          <w:szCs w:val="20"/>
          <w:color w:val="auto"/>
        </w:rPr>
      </w:pPr>
      <w:r>
        <w:rPr>
          <w:rFonts w:ascii="Arial" w:cs="Arial" w:eastAsia="Arial" w:hAnsi="Arial"/>
          <w:sz w:val="15"/>
          <w:szCs w:val="15"/>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5"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14" w:lineRule="exact"/>
        <w:rPr>
          <w:sz w:val="20"/>
          <w:szCs w:val="20"/>
          <w:color w:val="auto"/>
        </w:rPr>
      </w:pPr>
    </w:p>
    <w:p>
      <w:pPr>
        <w:ind w:right="480" w:firstLine="751"/>
        <w:spacing w:after="0" w:line="178" w:lineRule="exact"/>
        <w:rPr>
          <w:sz w:val="20"/>
          <w:szCs w:val="20"/>
          <w:color w:val="auto"/>
        </w:rPr>
      </w:pPr>
      <w:r>
        <w:rPr>
          <w:rFonts w:ascii="Arial" w:cs="Arial" w:eastAsia="Arial" w:hAnsi="Arial"/>
          <w:sz w:val="13"/>
          <w:szCs w:val="13"/>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3"/>
          <w:szCs w:val="13"/>
          <w:color w:val="auto"/>
        </w:rPr>
        <w:t>‑</w:t>
      </w:r>
      <w:r>
        <w:rPr>
          <w:rFonts w:ascii="Arial" w:cs="Arial" w:eastAsia="Arial" w:hAnsi="Arial"/>
          <w:sz w:val="13"/>
          <w:szCs w:val="13"/>
          <w:color w:val="auto"/>
        </w:rPr>
        <w:t>consuming, expensive, and uncertain process that takes years to complete. We may need to raise additional capital to:</w:t>
      </w:r>
    </w:p>
    <w:p>
      <w:pPr>
        <w:spacing w:after="0" w:line="69" w:lineRule="exact"/>
        <w:rPr>
          <w:sz w:val="20"/>
          <w:szCs w:val="20"/>
          <w:color w:val="auto"/>
        </w:rPr>
      </w:pPr>
    </w:p>
    <w:p>
      <w:pPr>
        <w:ind w:left="1040" w:hanging="520"/>
        <w:spacing w:after="0"/>
        <w:tabs>
          <w:tab w:leader="none" w:pos="10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fund our future clinical trials for our current product candidates, especially if we encounter any unforeseen delays or difficulties in our planned development activities;</w:t>
      </w:r>
    </w:p>
    <w:p>
      <w:pPr>
        <w:spacing w:after="0" w:line="95" w:lineRule="exact"/>
        <w:rPr>
          <w:rFonts w:ascii="Arial" w:cs="Arial" w:eastAsia="Arial" w:hAnsi="Arial"/>
          <w:sz w:val="14"/>
          <w:szCs w:val="14"/>
          <w:color w:val="auto"/>
        </w:rPr>
      </w:pPr>
    </w:p>
    <w:p>
      <w:pPr>
        <w:ind w:left="1040" w:right="340" w:hanging="520"/>
        <w:spacing w:after="0" w:line="255" w:lineRule="auto"/>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57"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qualify and outsource the commercial</w:t>
      </w:r>
      <w:r>
        <w:rPr>
          <w:rFonts w:ascii="MS PGothic" w:cs="MS PGothic" w:eastAsia="MS PGothic" w:hAnsi="MS PGothic"/>
          <w:sz w:val="15"/>
          <w:szCs w:val="15"/>
          <w:color w:val="auto"/>
        </w:rPr>
        <w:t>‑</w:t>
      </w:r>
      <w:r>
        <w:rPr>
          <w:rFonts w:ascii="Arial" w:cs="Arial" w:eastAsia="Arial" w:hAnsi="Arial"/>
          <w:sz w:val="15"/>
          <w:szCs w:val="15"/>
          <w:color w:val="auto"/>
        </w:rPr>
        <w:t>scale manufacturing of our products under current good manufacturing practices, or cGMP;</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develop additional product candidates; and</w:t>
      </w:r>
    </w:p>
    <w:p>
      <w:pPr>
        <w:spacing w:after="0" w:line="84"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w:t>
      </w:r>
      <w:r>
        <w:rPr>
          <w:rFonts w:ascii="MS PGothic" w:cs="MS PGothic" w:eastAsia="MS PGothic" w:hAnsi="MS PGothic"/>
          <w:sz w:val="15"/>
          <w:szCs w:val="15"/>
          <w:color w:val="auto"/>
        </w:rPr>
        <w:t>‑</w:t>
      </w:r>
      <w:r>
        <w:rPr>
          <w:rFonts w:ascii="Arial" w:cs="Arial" w:eastAsia="Arial" w:hAnsi="Arial"/>
          <w:sz w:val="15"/>
          <w:szCs w:val="15"/>
          <w:color w:val="auto"/>
        </w:rPr>
        <w:t>license other product candidates.</w:t>
      </w:r>
    </w:p>
    <w:p>
      <w:pPr>
        <w:spacing w:after="0" w:line="163" w:lineRule="exact"/>
        <w:rPr>
          <w:sz w:val="20"/>
          <w:szCs w:val="20"/>
          <w:color w:val="auto"/>
        </w:rPr>
      </w:pPr>
    </w:p>
    <w:p>
      <w:pPr>
        <w:ind w:firstLine="751"/>
        <w:spacing w:after="0" w:line="256" w:lineRule="auto"/>
        <w:rPr>
          <w:sz w:val="20"/>
          <w:szCs w:val="20"/>
          <w:color w:val="auto"/>
        </w:rPr>
      </w:pPr>
      <w:r>
        <w:rPr>
          <w:rFonts w:ascii="Arial" w:cs="Arial" w:eastAsia="Arial" w:hAnsi="Arial"/>
          <w:sz w:val="14"/>
          <w:szCs w:val="14"/>
          <w:color w:val="auto"/>
        </w:rPr>
        <w:t>We believe our current available cash, along with the remaining committed capital from the 2020 Term Loan (as defined below) is sufficient to fund anticipated operations, based on the current operating plan, which includes costs for the potential commercial launch of AXS-05 in MDD and AXS-07 in migraine, into 2024. We have based this estimate on the assumption that AXS-05 and AXS-07 will be approved in 2022, which will give us access to additional funds under the 2020 Term Loan. However, if such product candidates are not approved, or such approval is delayed, we believe our current available cash is sufficient to fund our anticipated operations, based on the current operating plan, for at least 12 months. Our assumptions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60" w:lineRule="exact"/>
        <w:rPr>
          <w:sz w:val="20"/>
          <w:szCs w:val="20"/>
          <w:color w:val="auto"/>
        </w:rPr>
      </w:pPr>
    </w:p>
    <w:p>
      <w:pPr>
        <w:ind w:left="1040" w:hanging="520"/>
        <w:spacing w:after="0"/>
        <w:tabs>
          <w:tab w:leader="none" w:pos="10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rate of progress and costs related to the development of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costs associated with conducting additional clinical and non-clinical studies with any of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potential for delays in our efforts to seek regulatory approval for our product candidates, and any costs associated with such delays;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costs of establishing a commercial organization to sell, market, and distribute our product candidates;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47" w:name="page48"/>
    <w:bookmarkEnd w:id="4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right="280" w:hanging="520"/>
        <w:spacing w:after="0" w:line="178" w:lineRule="exact"/>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rate of progress and costs of our efforts to prepare for the submission of an NDA, for any product candidates that we may in</w:t>
      </w:r>
      <w:r>
        <w:rPr>
          <w:rFonts w:ascii="MS PGothic" w:cs="MS PGothic" w:eastAsia="MS PGothic" w:hAnsi="MS PGothic"/>
          <w:sz w:val="15"/>
          <w:szCs w:val="15"/>
          <w:color w:val="auto"/>
        </w:rPr>
        <w:t>‑</w:t>
      </w:r>
      <w:r>
        <w:rPr>
          <w:rFonts w:ascii="Arial" w:cs="Arial" w:eastAsia="Arial" w:hAnsi="Arial"/>
          <w:sz w:val="15"/>
          <w:szCs w:val="15"/>
          <w:color w:val="auto"/>
        </w:rPr>
        <w:t>license or acquire in the future, and the potential that we may need to conduct additional clinical or preclinical trials to support applications for regulatory approval;</w:t>
      </w:r>
    </w:p>
    <w:p>
      <w:pPr>
        <w:spacing w:after="0" w:line="69" w:lineRule="exact"/>
        <w:rPr>
          <w:rFonts w:ascii="Arial" w:cs="Arial" w:eastAsia="Arial" w:hAnsi="Arial"/>
          <w:sz w:val="15"/>
          <w:szCs w:val="15"/>
          <w:color w:val="auto"/>
        </w:rPr>
      </w:pPr>
    </w:p>
    <w:p>
      <w:pPr>
        <w:ind w:left="1040" w:hanging="520"/>
        <w:spacing w:after="0"/>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costs of filing, prosecuting, defending, and enforcing any patent claims and other intellectual property rights associated with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and timing of manufacturing, or having third parties manufacture, sufficient supplies of our product candidates in preparation for commercialization;</w:t>
      </w:r>
    </w:p>
    <w:p>
      <w:pPr>
        <w:spacing w:after="0" w:line="95" w:lineRule="exact"/>
        <w:rPr>
          <w:rFonts w:ascii="Arial" w:cs="Arial" w:eastAsia="Arial" w:hAnsi="Arial"/>
          <w:sz w:val="14"/>
          <w:szCs w:val="14"/>
          <w:color w:val="auto"/>
        </w:rPr>
      </w:pPr>
    </w:p>
    <w:p>
      <w:pPr>
        <w:ind w:left="1040" w:hanging="520"/>
        <w:spacing w:after="0"/>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effect of competing technological and market developments;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revenue, if any, received from commercial sales of our product candidates, subject to the receipt of regulatory approval;</w:t>
      </w:r>
    </w:p>
    <w:p>
      <w:pPr>
        <w:spacing w:after="0" w:line="84"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terms and timing of any collaborative, licensing, co</w:t>
      </w:r>
      <w:r>
        <w:rPr>
          <w:rFonts w:ascii="MS PGothic" w:cs="MS PGothic" w:eastAsia="MS PGothic" w:hAnsi="MS PGothic"/>
          <w:sz w:val="15"/>
          <w:szCs w:val="15"/>
          <w:color w:val="auto"/>
        </w:rPr>
        <w:t>‑</w:t>
      </w:r>
      <w:r>
        <w:rPr>
          <w:rFonts w:ascii="Arial" w:cs="Arial" w:eastAsia="Arial" w:hAnsi="Arial"/>
          <w:sz w:val="15"/>
          <w:szCs w:val="15"/>
          <w:color w:val="auto"/>
        </w:rPr>
        <w:t>promotion, or other arrangements that we may establish;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success of the commercialization of any of our current or future product candidates.</w:t>
      </w:r>
    </w:p>
    <w:p>
      <w:pPr>
        <w:spacing w:after="0" w:line="163" w:lineRule="exact"/>
        <w:rPr>
          <w:sz w:val="20"/>
          <w:szCs w:val="20"/>
          <w:color w:val="auto"/>
        </w:rPr>
      </w:pPr>
    </w:p>
    <w:p>
      <w:pPr>
        <w:ind w:right="80" w:firstLine="751"/>
        <w:spacing w:after="0" w:line="289" w:lineRule="auto"/>
        <w:rPr>
          <w:sz w:val="20"/>
          <w:szCs w:val="20"/>
          <w:color w:val="auto"/>
        </w:rPr>
      </w:pPr>
      <w:r>
        <w:rPr>
          <w:rFonts w:ascii="Arial" w:cs="Arial" w:eastAsia="Arial" w:hAnsi="Arial"/>
          <w:sz w:val="13"/>
          <w:szCs w:val="13"/>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14" w:lineRule="exact"/>
        <w:rPr>
          <w:sz w:val="20"/>
          <w:szCs w:val="20"/>
          <w:color w:val="auto"/>
        </w:rPr>
      </w:pPr>
    </w:p>
    <w:p>
      <w:pPr>
        <w:ind w:right="60" w:firstLine="751"/>
        <w:spacing w:after="0" w:line="279" w:lineRule="auto"/>
        <w:rPr>
          <w:sz w:val="20"/>
          <w:szCs w:val="20"/>
          <w:color w:val="auto"/>
        </w:rPr>
      </w:pPr>
      <w:r>
        <w:rPr>
          <w:rFonts w:ascii="Arial" w:cs="Arial" w:eastAsia="Arial" w:hAnsi="Arial"/>
          <w:sz w:val="13"/>
          <w:szCs w:val="13"/>
          <w:color w:val="auto"/>
        </w:rPr>
        <w:t>In September 2020, we entered into a Loan and Security Agreement, or the Loan Agreement, for a term loan of up to $225.0 million,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to $300.0 million. The Loan and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24" w:lineRule="exact"/>
        <w:rPr>
          <w:sz w:val="20"/>
          <w:szCs w:val="20"/>
          <w:color w:val="auto"/>
        </w:rPr>
      </w:pPr>
    </w:p>
    <w:p>
      <w:pPr>
        <w:ind w:firstLine="751"/>
        <w:spacing w:after="0" w:line="253" w:lineRule="auto"/>
        <w:rPr>
          <w:sz w:val="20"/>
          <w:szCs w:val="20"/>
          <w:color w:val="auto"/>
        </w:rPr>
      </w:pPr>
      <w:r>
        <w:rPr>
          <w:rFonts w:ascii="Arial" w:cs="Arial" w:eastAsia="Arial" w:hAnsi="Arial"/>
          <w:sz w:val="14"/>
          <w:szCs w:val="14"/>
          <w:color w:val="auto"/>
        </w:rPr>
        <w:t>The covenants also include, to the extent the principal amount of the advances under the Loan Agreement equals or exceeds $55.0 million, maintaining cash in an account or accounts in which the Lenders have a first priority security interest, in an aggregate amount greater than or equal to $15.0 million, plus the amount of our accounts payable under U.S. generally accepted accounting principles not paid after the 180th day following the invoice for such account payable, which we refer to as the Qualified Cash A/P Account. Further, effective upon the later of (i) the last calendar month of the calendar quarter that is twelve months following the earlier of (x) the date of approval of our NDA for our AXS-05 product candidate for the treatment of major depressive disorder reasonably satisfactory to the Lenders, and (y) the date of approval of our NDA for our AXS-07 product candidate for the treatment of migraine, or (ii) the date on which the outstanding principal amount of the term loan advances under the Loan Agreement is equal to or greater than $65.0 million, we are obligated to (A) ensure that at all times our market capitalization exceeds $1.0 billion, and that we maintain cash in an account in which the Lenders have a first priority security interest in an amount not less than 50% of the sum of the outstanding principal amount of the term loan advances plus the Qualified Cash A/P Amount, (B) ensure that at all times that we maintain cash in an account in which the Lenders have a first priority security interest in an amount not less than 85% of the sum of the outstanding principal amount of the term loan advances plus the Qualified Cash A/P Amount, or (C) achieve at least 60% of the net product revenue per our board of directors approved forecast solely from the sale of AXS-05 and AXS-07 (which may include royalty, profit sharing, or sales-based milestone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48" w:name="page49"/>
    <w:bookmarkEnd w:id="4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jc w:val="both"/>
        <w:ind w:right="40"/>
        <w:spacing w:after="0" w:line="244" w:lineRule="auto"/>
        <w:rPr>
          <w:sz w:val="20"/>
          <w:szCs w:val="20"/>
          <w:color w:val="auto"/>
        </w:rPr>
      </w:pPr>
      <w:r>
        <w:rPr>
          <w:rFonts w:ascii="Arial" w:cs="Arial" w:eastAsia="Arial" w:hAnsi="Arial"/>
          <w:sz w:val="15"/>
          <w:szCs w:val="15"/>
          <w:color w:val="auto"/>
        </w:rPr>
        <w:t>revenue recognized in accordance with GAAP, but will not include any upfront or non-sales-based milestone payments under business development or licensing transactions), measured on a trailing six-month basis as of the date of our most recent quarterly financial statement, included in the projections we delivered to Hercules on September 9, 2020, as updated from time to time, determined on a quarterly basis.</w:t>
      </w:r>
    </w:p>
    <w:p>
      <w:pPr>
        <w:spacing w:after="0" w:line="144" w:lineRule="exact"/>
        <w:rPr>
          <w:sz w:val="20"/>
          <w:szCs w:val="20"/>
          <w:color w:val="auto"/>
        </w:rPr>
      </w:pPr>
    </w:p>
    <w:p>
      <w:pPr>
        <w:jc w:val="both"/>
        <w:ind w:right="220" w:firstLine="751"/>
        <w:spacing w:after="0" w:line="270" w:lineRule="auto"/>
        <w:rPr>
          <w:sz w:val="20"/>
          <w:szCs w:val="20"/>
          <w:color w:val="auto"/>
        </w:rPr>
      </w:pPr>
      <w:r>
        <w:rPr>
          <w:rFonts w:ascii="Arial" w:cs="Arial" w:eastAsia="Arial" w:hAnsi="Arial"/>
          <w:sz w:val="14"/>
          <w:szCs w:val="14"/>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and no history of commercializing products, which may make it difficult to evaluate our business and prospects.</w:t>
      </w:r>
    </w:p>
    <w:p>
      <w:pPr>
        <w:spacing w:after="0" w:line="140" w:lineRule="exact"/>
        <w:rPr>
          <w:sz w:val="20"/>
          <w:szCs w:val="20"/>
          <w:color w:val="auto"/>
        </w:rPr>
      </w:pPr>
    </w:p>
    <w:p>
      <w:pPr>
        <w:ind w:right="40" w:firstLine="751"/>
        <w:spacing w:after="0" w:line="238" w:lineRule="auto"/>
        <w:rPr>
          <w:sz w:val="20"/>
          <w:szCs w:val="20"/>
          <w:color w:val="auto"/>
        </w:rPr>
      </w:pPr>
      <w:r>
        <w:rPr>
          <w:rFonts w:ascii="Arial" w:cs="Arial" w:eastAsia="Arial" w:hAnsi="Arial"/>
          <w:sz w:val="15"/>
          <w:szCs w:val="15"/>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AND THE DEVELOPMENT OF OUR PRODUCT CANDIDATES</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5"/>
          <w:szCs w:val="15"/>
          <w:b w:val="1"/>
          <w:bCs w:val="1"/>
          <w:i w:val="1"/>
          <w:iCs w:val="1"/>
          <w:color w:val="auto"/>
        </w:rPr>
        <w:t>We are substantially dependent on the success of our product candidates and cannot guarantee that any of our product candidates will successfully complete any planned or ongoing clinical trials, receive regulatory approval, or be successfully commercialized.</w:t>
      </w:r>
    </w:p>
    <w:p>
      <w:pPr>
        <w:spacing w:after="0" w:line="114" w:lineRule="exact"/>
        <w:rPr>
          <w:sz w:val="20"/>
          <w:szCs w:val="20"/>
          <w:color w:val="auto"/>
        </w:rPr>
      </w:pPr>
    </w:p>
    <w:p>
      <w:pPr>
        <w:ind w:right="20" w:firstLine="751"/>
        <w:spacing w:after="0" w:line="255" w:lineRule="auto"/>
        <w:rPr>
          <w:sz w:val="20"/>
          <w:szCs w:val="20"/>
          <w:color w:val="auto"/>
        </w:rPr>
      </w:pPr>
      <w:r>
        <w:rPr>
          <w:rFonts w:ascii="Arial" w:cs="Arial" w:eastAsia="Arial" w:hAnsi="Arial"/>
          <w:sz w:val="14"/>
          <w:szCs w:val="14"/>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39" w:lineRule="exact"/>
        <w:rPr>
          <w:sz w:val="20"/>
          <w:szCs w:val="20"/>
          <w:color w:val="auto"/>
        </w:rPr>
      </w:pPr>
    </w:p>
    <w:p>
      <w:pPr>
        <w:ind w:right="160" w:firstLine="751"/>
        <w:spacing w:after="0"/>
        <w:rPr>
          <w:sz w:val="20"/>
          <w:szCs w:val="20"/>
          <w:color w:val="auto"/>
        </w:rPr>
      </w:pPr>
      <w:r>
        <w:rPr>
          <w:rFonts w:ascii="Arial" w:cs="Arial" w:eastAsia="Arial" w:hAnsi="Arial"/>
          <w:sz w:val="15"/>
          <w:szCs w:val="15"/>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A Phase 3 trial with AXS-05 in AD agitation and a Phase 3 trial with AXS-12 in narcolepsy are ongoing. As a result of one or more risks discussed in this section, we cannot assure you that we will meet projected timelines related to these trials.</w:t>
      </w:r>
    </w:p>
    <w:p>
      <w:pPr>
        <w:spacing w:after="0" w:line="125" w:lineRule="exact"/>
        <w:rPr>
          <w:sz w:val="20"/>
          <w:szCs w:val="20"/>
          <w:color w:val="auto"/>
        </w:rPr>
      </w:pPr>
    </w:p>
    <w:p>
      <w:pPr>
        <w:ind w:firstLine="751"/>
        <w:spacing w:after="0" w:line="257" w:lineRule="auto"/>
        <w:rPr>
          <w:sz w:val="20"/>
          <w:szCs w:val="20"/>
          <w:color w:val="auto"/>
        </w:rPr>
      </w:pPr>
      <w:r>
        <w:rPr>
          <w:rFonts w:ascii="Arial" w:cs="Arial" w:eastAsia="Arial" w:hAnsi="Arial"/>
          <w:sz w:val="14"/>
          <w:szCs w:val="14"/>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49" w:name="page50"/>
    <w:bookmarkEnd w:id="4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right="440"/>
        <w:spacing w:after="0" w:line="255" w:lineRule="auto"/>
        <w:rPr>
          <w:sz w:val="20"/>
          <w:szCs w:val="20"/>
          <w:color w:val="auto"/>
        </w:rPr>
      </w:pPr>
      <w:r>
        <w:rPr>
          <w:rFonts w:ascii="Arial" w:cs="Arial" w:eastAsia="Arial" w:hAnsi="Arial"/>
          <w:sz w:val="15"/>
          <w:szCs w:val="15"/>
          <w:color w:val="auto"/>
        </w:rPr>
        <w:t>candidates in the foreseeable future, or at all. Any significant delays in obtaining approval for and commercializing our product candidates will have a material adverse impact on our business and financial condition.</w:t>
      </w:r>
    </w:p>
    <w:p>
      <w:pPr>
        <w:spacing w:after="0" w:line="114" w:lineRule="exact"/>
        <w:rPr>
          <w:sz w:val="20"/>
          <w:szCs w:val="20"/>
          <w:color w:val="auto"/>
        </w:rPr>
      </w:pPr>
    </w:p>
    <w:p>
      <w:pPr>
        <w:ind w:right="20" w:firstLine="751"/>
        <w:spacing w:after="0" w:line="244" w:lineRule="auto"/>
        <w:rPr>
          <w:sz w:val="20"/>
          <w:szCs w:val="20"/>
          <w:color w:val="auto"/>
        </w:rPr>
      </w:pPr>
      <w:r>
        <w:rPr>
          <w:rFonts w:ascii="Arial" w:cs="Arial" w:eastAsia="Arial" w:hAnsi="Arial"/>
          <w:sz w:val="15"/>
          <w:szCs w:val="15"/>
          <w:color w:val="auto"/>
        </w:rPr>
        <w:t>Although we submitted NDAs to the FDA for AXS-05 for the treatment of MDD and for AXS-07 for the acute treatment of migraine, 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44" w:lineRule="exact"/>
        <w:rPr>
          <w:sz w:val="20"/>
          <w:szCs w:val="20"/>
          <w:color w:val="auto"/>
        </w:rPr>
      </w:pPr>
    </w:p>
    <w:p>
      <w:pPr>
        <w:ind w:right="60" w:firstLine="751"/>
        <w:spacing w:after="0" w:line="260" w:lineRule="auto"/>
        <w:rPr>
          <w:sz w:val="20"/>
          <w:szCs w:val="20"/>
          <w:color w:val="auto"/>
        </w:rPr>
      </w:pPr>
      <w:r>
        <w:rPr>
          <w:rFonts w:ascii="Arial" w:cs="Arial" w:eastAsia="Arial" w:hAnsi="Arial"/>
          <w:sz w:val="14"/>
          <w:szCs w:val="14"/>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3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If approved for marketing by applicable regulatory authorities, our ability to generate revenues from our product candidates depend on our ability to:</w:t>
      </w:r>
    </w:p>
    <w:p>
      <w:pPr>
        <w:spacing w:after="0" w:line="84" w:lineRule="exact"/>
        <w:rPr>
          <w:sz w:val="20"/>
          <w:szCs w:val="20"/>
          <w:color w:val="auto"/>
        </w:rPr>
      </w:pPr>
    </w:p>
    <w:p>
      <w:pPr>
        <w:ind w:left="1040" w:right="120" w:hanging="520"/>
        <w:spacing w:after="0" w:line="255" w:lineRule="auto"/>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create market demand for our product candidates through our own marketing and sales activities, and any other arrangements to promote these product candidates that we may otherwise establish;</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receive regulatory approval for claims that are necessary or desirable for successful marketing;</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hire, train, and deploy a sales force to commercialize our product candidates;</w:t>
      </w:r>
    </w:p>
    <w:p>
      <w:pPr>
        <w:spacing w:after="0" w:line="84" w:lineRule="exact"/>
        <w:rPr>
          <w:rFonts w:ascii="Arial" w:cs="Arial" w:eastAsia="Arial" w:hAnsi="Arial"/>
          <w:sz w:val="15"/>
          <w:szCs w:val="15"/>
          <w:color w:val="auto"/>
        </w:rPr>
      </w:pPr>
    </w:p>
    <w:p>
      <w:pPr>
        <w:ind w:left="1040" w:right="200" w:hanging="520"/>
        <w:spacing w:after="0" w:line="255" w:lineRule="auto"/>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manufacture (or have manufactured by third parties) our product candidates in sufficient quantities and at acceptable quality and manufacturing cost to meet commercial demand at launch and thereafter;</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establish and maintain agreements with wholesalers, distributors, and group purchasing organizations on commercially reasonable terms;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create partnerships with, or offer licenses to, third parties to promote and sell our product candidates in foreign markets where we receive marketing approval:</w:t>
      </w:r>
    </w:p>
    <w:p>
      <w:pPr>
        <w:spacing w:after="0" w:line="95" w:lineRule="exact"/>
        <w:rPr>
          <w:rFonts w:ascii="Arial" w:cs="Arial" w:eastAsia="Arial" w:hAnsi="Arial"/>
          <w:sz w:val="14"/>
          <w:szCs w:val="14"/>
          <w:color w:val="auto"/>
        </w:rPr>
      </w:pPr>
    </w:p>
    <w:p>
      <w:pPr>
        <w:ind w:left="1040" w:hanging="520"/>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maintain patent and trade secret protection and regulatory exclusivity for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launch commercial sales of our product candidates, whether alone or in collaboration with others;</w:t>
      </w:r>
    </w:p>
    <w:p>
      <w:pPr>
        <w:spacing w:after="0" w:line="84"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achieve market acceptance of our product candidates by patients, the medical community, and government and private third</w:t>
      </w:r>
      <w:r>
        <w:rPr>
          <w:rFonts w:ascii="MS PGothic" w:cs="MS PGothic" w:eastAsia="MS PGothic" w:hAnsi="MS PGothic"/>
          <w:sz w:val="15"/>
          <w:szCs w:val="15"/>
          <w:color w:val="auto"/>
        </w:rPr>
        <w:t>‑</w:t>
      </w:r>
      <w:r>
        <w:rPr>
          <w:rFonts w:ascii="Arial" w:cs="Arial" w:eastAsia="Arial" w:hAnsi="Arial"/>
          <w:sz w:val="15"/>
          <w:szCs w:val="15"/>
          <w:color w:val="auto"/>
        </w:rPr>
        <w:t>party payors;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achieve appropriate reimbursement for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effectively compete with other therapies;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maintain a continued acceptable safety profile of our product candidates following launch.</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5"/>
          <w:szCs w:val="15"/>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36" w:lineRule="exact"/>
        <w:rPr>
          <w:sz w:val="20"/>
          <w:szCs w:val="20"/>
          <w:color w:val="auto"/>
        </w:rPr>
      </w:pPr>
    </w:p>
    <w:p>
      <w:pPr>
        <w:ind w:right="20" w:firstLine="751"/>
        <w:spacing w:after="0" w:line="257" w:lineRule="auto"/>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0" w:name="page51"/>
    <w:bookmarkEnd w:id="5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58" w:lineRule="exact"/>
        <w:rPr>
          <w:sz w:val="20"/>
          <w:szCs w:val="20"/>
          <w:color w:val="auto"/>
        </w:rPr>
      </w:pPr>
    </w:p>
    <w:p>
      <w:pPr>
        <w:ind w:right="160"/>
        <w:spacing w:after="0" w:line="255"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47" w:lineRule="exact"/>
        <w:rPr>
          <w:sz w:val="20"/>
          <w:szCs w:val="20"/>
          <w:color w:val="auto"/>
        </w:rPr>
      </w:pPr>
    </w:p>
    <w:p>
      <w:pPr>
        <w:ind w:right="20" w:firstLine="751"/>
        <w:spacing w:after="0" w:line="253" w:lineRule="auto"/>
        <w:rPr>
          <w:sz w:val="20"/>
          <w:szCs w:val="20"/>
          <w:color w:val="auto"/>
        </w:rPr>
      </w:pPr>
      <w:r>
        <w:rPr>
          <w:rFonts w:ascii="Arial" w:cs="Arial" w:eastAsia="Arial" w:hAnsi="Arial"/>
          <w:sz w:val="14"/>
          <w:szCs w:val="14"/>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AXS-05, as well as two product candidates that are not currently in active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55"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47" w:lineRule="exact"/>
        <w:rPr>
          <w:sz w:val="20"/>
          <w:szCs w:val="20"/>
          <w:color w:val="auto"/>
        </w:rPr>
      </w:pPr>
    </w:p>
    <w:p>
      <w:pPr>
        <w:ind w:right="320" w:firstLine="751"/>
        <w:spacing w:after="0" w:line="255" w:lineRule="auto"/>
        <w:rPr>
          <w:sz w:val="20"/>
          <w:szCs w:val="20"/>
          <w:color w:val="auto"/>
        </w:rPr>
      </w:pPr>
      <w:r>
        <w:rPr>
          <w:rFonts w:ascii="Arial" w:cs="Arial" w:eastAsia="Arial" w:hAnsi="Arial"/>
          <w:sz w:val="15"/>
          <w:szCs w:val="15"/>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58" w:lineRule="exact"/>
        <w:rPr>
          <w:sz w:val="20"/>
          <w:szCs w:val="20"/>
          <w:color w:val="auto"/>
        </w:rPr>
      </w:pPr>
    </w:p>
    <w:p>
      <w:pPr>
        <w:ind w:left="1040" w:hanging="520"/>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difficulty or inability to secure financing to fund business activities for such development;</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disruption of our business and diversion of our management’s time and attention;</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higher than expected development costs;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exposure to unknown liabilities;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difficulty in managing multiple product development programs;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inability to successfully develop new products or clinical failure.</w:t>
      </w:r>
    </w:p>
    <w:p>
      <w:pPr>
        <w:spacing w:after="0" w:line="174" w:lineRule="exact"/>
        <w:rPr>
          <w:sz w:val="20"/>
          <w:szCs w:val="20"/>
          <w:color w:val="auto"/>
        </w:rPr>
      </w:pPr>
    </w:p>
    <w:p>
      <w:pPr>
        <w:jc w:val="both"/>
        <w:ind w:right="440" w:firstLine="751"/>
        <w:spacing w:after="0" w:line="300" w:lineRule="auto"/>
        <w:rPr>
          <w:sz w:val="20"/>
          <w:szCs w:val="20"/>
          <w:color w:val="auto"/>
        </w:rPr>
      </w:pPr>
      <w:r>
        <w:rPr>
          <w:rFonts w:ascii="Arial" w:cs="Arial" w:eastAsia="Arial" w:hAnsi="Arial"/>
          <w:sz w:val="13"/>
          <w:szCs w:val="13"/>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51" w:name="page52"/>
    <w:bookmarkEnd w:id="5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20"/>
        <w:spacing w:after="0" w:line="244" w:lineRule="auto"/>
        <w:rPr>
          <w:sz w:val="20"/>
          <w:szCs w:val="20"/>
          <w:color w:val="auto"/>
        </w:rPr>
      </w:pPr>
      <w:r>
        <w:rPr>
          <w:rFonts w:ascii="Arial" w:cs="Arial" w:eastAsia="Arial" w:hAnsi="Arial"/>
          <w:sz w:val="15"/>
          <w:szCs w:val="15"/>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160" w:firstLine="751"/>
        <w:spacing w:after="0" w:line="255" w:lineRule="auto"/>
        <w:rPr>
          <w:sz w:val="20"/>
          <w:szCs w:val="20"/>
          <w:color w:val="auto"/>
        </w:rPr>
      </w:pPr>
      <w:r>
        <w:rPr>
          <w:rFonts w:ascii="Arial" w:cs="Arial" w:eastAsia="Arial" w:hAnsi="Arial"/>
          <w:sz w:val="15"/>
          <w:szCs w:val="15"/>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47" w:lineRule="exact"/>
        <w:rPr>
          <w:sz w:val="20"/>
          <w:szCs w:val="20"/>
          <w:color w:val="auto"/>
        </w:rPr>
      </w:pPr>
    </w:p>
    <w:p>
      <w:pPr>
        <w:ind w:right="140" w:firstLine="751"/>
        <w:spacing w:after="0" w:line="289" w:lineRule="auto"/>
        <w:rPr>
          <w:sz w:val="20"/>
          <w:szCs w:val="20"/>
          <w:color w:val="auto"/>
        </w:rPr>
      </w:pPr>
      <w:r>
        <w:rPr>
          <w:rFonts w:ascii="Arial" w:cs="Arial" w:eastAsia="Arial" w:hAnsi="Arial"/>
          <w:sz w:val="13"/>
          <w:szCs w:val="13"/>
          <w:color w:val="auto"/>
        </w:rPr>
        <w:t>In the United States, we currently plan to, at least initially, seek approval of most of our product candidates using the 505(b)(2) pathway, with the exception of AXS-12 and AXS-14.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29" w:lineRule="exact"/>
        <w:rPr>
          <w:sz w:val="20"/>
          <w:szCs w:val="20"/>
          <w:color w:val="auto"/>
        </w:rPr>
      </w:pPr>
    </w:p>
    <w:p>
      <w:pPr>
        <w:ind w:right="20" w:firstLine="751"/>
        <w:spacing w:after="0" w:line="172" w:lineRule="exact"/>
        <w:rPr>
          <w:sz w:val="20"/>
          <w:szCs w:val="20"/>
          <w:color w:val="auto"/>
        </w:rPr>
      </w:pPr>
      <w:r>
        <w:rPr>
          <w:rFonts w:ascii="Arial" w:cs="Arial" w:eastAsia="Arial" w:hAnsi="Arial"/>
          <w:sz w:val="15"/>
          <w:szCs w:val="15"/>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5"/>
          <w:szCs w:val="15"/>
          <w:color w:val="auto"/>
        </w:rPr>
        <w:t>‑</w:t>
      </w:r>
      <w:r>
        <w:rPr>
          <w:rFonts w:ascii="Arial" w:cs="Arial" w:eastAsia="Arial" w:hAnsi="Arial"/>
          <w:sz w:val="15"/>
          <w:szCs w:val="15"/>
          <w:color w:val="auto"/>
        </w:rPr>
        <w:t>wide warnings. For instance, antidepressants, including bupropion, include a class</w:t>
      </w:r>
      <w:r>
        <w:rPr>
          <w:rFonts w:ascii="MS PGothic" w:cs="MS PGothic" w:eastAsia="MS PGothic" w:hAnsi="MS PGothic"/>
          <w:sz w:val="15"/>
          <w:szCs w:val="15"/>
          <w:color w:val="auto"/>
        </w:rPr>
        <w:t>‑</w:t>
      </w:r>
      <w:r>
        <w:rPr>
          <w:rFonts w:ascii="Arial" w:cs="Arial" w:eastAsia="Arial" w:hAnsi="Arial"/>
          <w:sz w:val="15"/>
          <w:szCs w:val="15"/>
          <w:color w:val="auto"/>
        </w:rPr>
        <w:t>wide black box warning regarding the increased risk of suicidal thoughts and behavior.</w:t>
      </w:r>
    </w:p>
    <w:p>
      <w:pPr>
        <w:spacing w:after="0" w:line="161" w:lineRule="exact"/>
        <w:rPr>
          <w:sz w:val="20"/>
          <w:szCs w:val="20"/>
          <w:color w:val="auto"/>
        </w:rPr>
      </w:pPr>
    </w:p>
    <w:p>
      <w:pPr>
        <w:ind w:firstLine="751"/>
        <w:spacing w:after="0" w:line="171" w:lineRule="exact"/>
        <w:rPr>
          <w:sz w:val="20"/>
          <w:szCs w:val="20"/>
          <w:color w:val="auto"/>
        </w:rPr>
      </w:pPr>
      <w:r>
        <w:rPr>
          <w:rFonts w:ascii="Arial" w:cs="Arial" w:eastAsia="Arial" w:hAnsi="Arial"/>
          <w:sz w:val="14"/>
          <w:szCs w:val="14"/>
          <w:color w:val="auto"/>
        </w:rPr>
        <w:t>Based on the side effects disclosed in FDA product labels for marketed drugs that contain the same active molecules as our product candidate, AXS</w:t>
      </w:r>
      <w:r>
        <w:rPr>
          <w:rFonts w:ascii="MS PGothic" w:cs="MS PGothic" w:eastAsia="MS PGothic" w:hAnsi="MS PGothic"/>
          <w:sz w:val="14"/>
          <w:szCs w:val="14"/>
          <w:color w:val="auto"/>
        </w:rPr>
        <w:t>‑</w:t>
      </w:r>
      <w:r>
        <w:rPr>
          <w:rFonts w:ascii="Arial" w:cs="Arial" w:eastAsia="Arial" w:hAnsi="Arial"/>
          <w:sz w:val="14"/>
          <w:szCs w:val="14"/>
          <w:color w:val="auto"/>
        </w:rPr>
        <w:t>05 may result in dry mouth, nausea, insomnia, dizziness, pharyngitis, abdominal pain, agitation, anxiety, tremor, seizure, increase in blood pressure and heart rate, hepatoxicity, hypoglycemia, thrombocytopenia or other hypersensitivity reactions, QT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4"/>
          <w:szCs w:val="14"/>
          <w:color w:val="auto"/>
        </w:rPr>
        <w:t>‑</w:t>
      </w:r>
      <w:r>
        <w:rPr>
          <w:rFonts w:ascii="Arial" w:cs="Arial" w:eastAsia="Arial" w:hAnsi="Arial"/>
          <w:sz w:val="14"/>
          <w:szCs w:val="14"/>
          <w:color w:val="auto"/>
        </w:rPr>
        <w:t>glutamyl transferase, flatulence, or other adverse events or potential adverse events reported or discussed in the product labels for bupropion</w:t>
      </w:r>
      <w:r>
        <w:rPr>
          <w:rFonts w:ascii="MS PGothic" w:cs="MS PGothic" w:eastAsia="MS PGothic" w:hAnsi="MS PGothic"/>
          <w:sz w:val="14"/>
          <w:szCs w:val="14"/>
          <w:color w:val="auto"/>
        </w:rPr>
        <w:t>‑</w:t>
      </w:r>
      <w:r>
        <w:rPr>
          <w:rFonts w:ascii="Arial" w:cs="Arial" w:eastAsia="Arial" w:hAnsi="Arial"/>
          <w:sz w:val="14"/>
          <w:szCs w:val="14"/>
          <w:color w:val="auto"/>
        </w:rPr>
        <w:t>containing products or dextromethorphan</w:t>
      </w:r>
      <w:r>
        <w:rPr>
          <w:rFonts w:ascii="MS PGothic" w:cs="MS PGothic" w:eastAsia="MS PGothic" w:hAnsi="MS PGothic"/>
          <w:sz w:val="14"/>
          <w:szCs w:val="14"/>
          <w:color w:val="auto"/>
        </w:rPr>
        <w:t>‑</w:t>
      </w:r>
      <w:r>
        <w:rPr>
          <w:rFonts w:ascii="Arial" w:cs="Arial" w:eastAsia="Arial" w:hAnsi="Arial"/>
          <w:sz w:val="14"/>
          <w:szCs w:val="14"/>
          <w:color w:val="auto"/>
        </w:rPr>
        <w:t>containing products including Wellbutrin, Wellbutrin SR, Wellbutrin XL, Aplenzin, Forfivo, Zyban, Contrave, and Nuedexta.</w:t>
      </w:r>
    </w:p>
    <w:p>
      <w:pPr>
        <w:spacing w:after="0" w:line="159" w:lineRule="exact"/>
        <w:rPr>
          <w:sz w:val="20"/>
          <w:szCs w:val="20"/>
          <w:color w:val="auto"/>
        </w:rPr>
      </w:pPr>
    </w:p>
    <w:p>
      <w:pPr>
        <w:ind w:right="60" w:firstLine="751"/>
        <w:spacing w:after="0" w:line="172" w:lineRule="exact"/>
        <w:rPr>
          <w:sz w:val="20"/>
          <w:szCs w:val="20"/>
          <w:color w:val="auto"/>
        </w:rPr>
      </w:pPr>
      <w:r>
        <w:rPr>
          <w:rFonts w:ascii="Arial" w:cs="Arial" w:eastAsia="Arial" w:hAnsi="Arial"/>
          <w:sz w:val="13"/>
          <w:szCs w:val="13"/>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3"/>
          <w:szCs w:val="13"/>
          <w:color w:val="auto"/>
        </w:rPr>
        <w:t>‑</w:t>
      </w:r>
      <w:r>
        <w:rPr>
          <w:rFonts w:ascii="Arial" w:cs="Arial" w:eastAsia="Arial" w:hAnsi="Arial"/>
          <w:sz w:val="13"/>
          <w:szCs w:val="13"/>
          <w:color w:val="auto"/>
        </w:rPr>
        <w:t>containing or rizatriptan-containing products including Anjeso, Vivlodex, Mobic, and Maxalt.</w:t>
      </w:r>
    </w:p>
    <w:p>
      <w:pPr>
        <w:spacing w:after="0" w:line="160" w:lineRule="exact"/>
        <w:rPr>
          <w:sz w:val="20"/>
          <w:szCs w:val="20"/>
          <w:color w:val="auto"/>
        </w:rPr>
      </w:pPr>
    </w:p>
    <w:p>
      <w:pPr>
        <w:ind w:right="40" w:firstLine="751"/>
        <w:spacing w:after="0" w:line="238" w:lineRule="auto"/>
        <w:rPr>
          <w:sz w:val="20"/>
          <w:szCs w:val="20"/>
          <w:color w:val="auto"/>
        </w:rPr>
      </w:pPr>
      <w:r>
        <w:rPr>
          <w:rFonts w:ascii="Arial" w:cs="Arial" w:eastAsia="Arial" w:hAnsi="Arial"/>
          <w:sz w:val="15"/>
          <w:szCs w:val="15"/>
          <w:color w:val="auto"/>
        </w:rPr>
        <w:t>Based on the side effects disclosed in EMA required product labeling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61" w:lineRule="exact"/>
        <w:rPr>
          <w:sz w:val="20"/>
          <w:szCs w:val="20"/>
          <w:color w:val="auto"/>
        </w:rPr>
      </w:pPr>
    </w:p>
    <w:p>
      <w:pPr>
        <w:ind w:right="40" w:firstLine="751"/>
        <w:spacing w:after="0" w:line="331" w:lineRule="auto"/>
        <w:rPr>
          <w:sz w:val="20"/>
          <w:szCs w:val="20"/>
          <w:color w:val="auto"/>
        </w:rPr>
      </w:pPr>
      <w:r>
        <w:rPr>
          <w:rFonts w:ascii="Arial" w:cs="Arial" w:eastAsia="Arial" w:hAnsi="Arial"/>
          <w:sz w:val="13"/>
          <w:szCs w:val="13"/>
          <w:color w:val="auto"/>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52" w:name="page53"/>
    <w:bookmarkEnd w:id="5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auto"/>
        </w:rPr>
        <w:t>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 product candidate.</w:t>
      </w:r>
    </w:p>
    <w:p>
      <w:pPr>
        <w:spacing w:after="0" w:line="158" w:lineRule="exact"/>
        <w:rPr>
          <w:sz w:val="20"/>
          <w:szCs w:val="20"/>
          <w:color w:val="auto"/>
        </w:rPr>
      </w:pPr>
    </w:p>
    <w:p>
      <w:pPr>
        <w:ind w:right="180" w:firstLine="751"/>
        <w:spacing w:after="0" w:line="254" w:lineRule="auto"/>
        <w:rPr>
          <w:sz w:val="20"/>
          <w:szCs w:val="20"/>
          <w:color w:val="auto"/>
        </w:rPr>
      </w:pPr>
      <w:r>
        <w:rPr>
          <w:rFonts w:ascii="Arial" w:cs="Arial" w:eastAsia="Arial" w:hAnsi="Arial"/>
          <w:sz w:val="14"/>
          <w:szCs w:val="14"/>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 w:lineRule="exact"/>
        <w:rPr>
          <w:sz w:val="20"/>
          <w:szCs w:val="20"/>
          <w:color w:val="auto"/>
        </w:rPr>
      </w:pPr>
    </w:p>
    <w:p>
      <w:pPr>
        <w:jc w:val="both"/>
        <w:ind w:right="40"/>
        <w:spacing w:after="0" w:line="283" w:lineRule="auto"/>
        <w:rPr>
          <w:sz w:val="20"/>
          <w:szCs w:val="20"/>
          <w:color w:val="auto"/>
        </w:rPr>
      </w:pPr>
      <w:r>
        <w:rPr>
          <w:rFonts w:ascii="Arial" w:cs="Arial" w:eastAsia="Arial" w:hAnsi="Arial"/>
          <w:sz w:val="13"/>
          <w:szCs w:val="13"/>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32" w:lineRule="exact"/>
        <w:rPr>
          <w:sz w:val="20"/>
          <w:szCs w:val="20"/>
          <w:color w:val="auto"/>
        </w:rPr>
      </w:pPr>
    </w:p>
    <w:p>
      <w:pPr>
        <w:ind w:right="120" w:firstLine="751"/>
        <w:spacing w:after="0" w:line="172" w:lineRule="exact"/>
        <w:rPr>
          <w:sz w:val="20"/>
          <w:szCs w:val="20"/>
          <w:color w:val="auto"/>
        </w:rPr>
      </w:pPr>
      <w:r>
        <w:rPr>
          <w:rFonts w:ascii="Arial" w:cs="Arial" w:eastAsia="Arial" w:hAnsi="Arial"/>
          <w:sz w:val="13"/>
          <w:szCs w:val="13"/>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3"/>
          <w:szCs w:val="13"/>
          <w:color w:val="auto"/>
        </w:rPr>
        <w:t>‑</w:t>
      </w:r>
      <w:r>
        <w:rPr>
          <w:rFonts w:ascii="Arial" w:cs="Arial" w:eastAsia="Arial" w:hAnsi="Arial"/>
          <w:sz w:val="13"/>
          <w:szCs w:val="13"/>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60" w:lineRule="exact"/>
        <w:rPr>
          <w:sz w:val="20"/>
          <w:szCs w:val="20"/>
          <w:color w:val="auto"/>
        </w:rPr>
      </w:pPr>
    </w:p>
    <w:p>
      <w:pPr>
        <w:ind w:right="140"/>
        <w:spacing w:after="0" w:line="255" w:lineRule="auto"/>
        <w:rPr>
          <w:sz w:val="20"/>
          <w:szCs w:val="20"/>
          <w:color w:val="auto"/>
        </w:rPr>
      </w:pPr>
      <w:r>
        <w:rPr>
          <w:rFonts w:ascii="Arial" w:cs="Arial" w:eastAsia="Arial" w:hAnsi="Arial"/>
          <w:sz w:val="15"/>
          <w:szCs w:val="15"/>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47" w:lineRule="exact"/>
        <w:rPr>
          <w:sz w:val="20"/>
          <w:szCs w:val="20"/>
          <w:color w:val="auto"/>
        </w:rPr>
      </w:pPr>
    </w:p>
    <w:p>
      <w:pPr>
        <w:ind w:firstLine="751"/>
        <w:spacing w:after="0" w:line="255" w:lineRule="auto"/>
        <w:rPr>
          <w:sz w:val="20"/>
          <w:szCs w:val="20"/>
          <w:color w:val="auto"/>
        </w:rPr>
      </w:pPr>
      <w:r>
        <w:rPr>
          <w:rFonts w:ascii="Arial" w:cs="Arial" w:eastAsia="Arial" w:hAnsi="Arial"/>
          <w:sz w:val="14"/>
          <w:szCs w:val="14"/>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51" w:lineRule="exact"/>
        <w:rPr>
          <w:sz w:val="20"/>
          <w:szCs w:val="20"/>
          <w:color w:val="auto"/>
        </w:rPr>
      </w:pPr>
    </w:p>
    <w:p>
      <w:pPr>
        <w:ind w:right="160" w:firstLine="751"/>
        <w:spacing w:after="0" w:line="238" w:lineRule="auto"/>
        <w:rPr>
          <w:sz w:val="20"/>
          <w:szCs w:val="20"/>
          <w:color w:val="auto"/>
        </w:rPr>
      </w:pPr>
      <w:r>
        <w:rPr>
          <w:rFonts w:ascii="Arial" w:cs="Arial" w:eastAsia="Arial" w:hAnsi="Arial"/>
          <w:sz w:val="15"/>
          <w:szCs w:val="15"/>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3" w:name="page54"/>
    <w:bookmarkEnd w:id="5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61" w:lineRule="exact"/>
        <w:rPr>
          <w:sz w:val="20"/>
          <w:szCs w:val="20"/>
          <w:color w:val="auto"/>
        </w:rPr>
      </w:pPr>
    </w:p>
    <w:p>
      <w:pPr>
        <w:jc w:val="both"/>
        <w:ind w:right="160"/>
        <w:spacing w:after="0" w:line="244"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55" w:lineRule="exact"/>
        <w:rPr>
          <w:sz w:val="20"/>
          <w:szCs w:val="20"/>
          <w:color w:val="auto"/>
        </w:rPr>
      </w:pPr>
    </w:p>
    <w:p>
      <w:pPr>
        <w:ind w:right="60" w:firstLine="751"/>
        <w:spacing w:after="0" w:line="255" w:lineRule="auto"/>
        <w:rPr>
          <w:sz w:val="20"/>
          <w:szCs w:val="20"/>
          <w:color w:val="auto"/>
        </w:rPr>
      </w:pPr>
      <w:r>
        <w:rPr>
          <w:rFonts w:ascii="Arial" w:cs="Arial" w:eastAsia="Arial" w:hAnsi="Arial"/>
          <w:sz w:val="14"/>
          <w:szCs w:val="14"/>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Even though we have submitted two NDAs to the FDA,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51" w:lineRule="exact"/>
        <w:rPr>
          <w:sz w:val="20"/>
          <w:szCs w:val="20"/>
          <w:color w:val="auto"/>
        </w:rPr>
      </w:pPr>
    </w:p>
    <w:p>
      <w:pPr>
        <w:ind w:firstLine="751"/>
        <w:spacing w:after="0" w:line="171" w:lineRule="exact"/>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4"/>
          <w:szCs w:val="14"/>
          <w:color w:val="auto"/>
        </w:rPr>
        <w:t>‑</w:t>
      </w:r>
      <w:r>
        <w:rPr>
          <w:rFonts w:ascii="Arial" w:cs="Arial" w:eastAsia="Arial" w:hAnsi="Arial"/>
          <w:sz w:val="14"/>
          <w:szCs w:val="14"/>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59" w:lineRule="exact"/>
        <w:rPr>
          <w:sz w:val="20"/>
          <w:szCs w:val="20"/>
          <w:color w:val="auto"/>
        </w:rPr>
      </w:pPr>
    </w:p>
    <w:p>
      <w:pPr>
        <w:ind w:right="120" w:firstLine="751"/>
        <w:spacing w:after="0" w:line="171" w:lineRule="exact"/>
        <w:rPr>
          <w:sz w:val="20"/>
          <w:szCs w:val="20"/>
          <w:color w:val="auto"/>
        </w:rPr>
      </w:pPr>
      <w:r>
        <w:rPr>
          <w:rFonts w:ascii="Arial" w:cs="Arial" w:eastAsia="Arial" w:hAnsi="Arial"/>
          <w:sz w:val="14"/>
          <w:szCs w:val="14"/>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4"/>
          <w:szCs w:val="14"/>
          <w:color w:val="auto"/>
        </w:rPr>
        <w:t>‑</w:t>
      </w:r>
      <w:r>
        <w:rPr>
          <w:rFonts w:ascii="Arial" w:cs="Arial" w:eastAsia="Arial" w:hAnsi="Arial"/>
          <w:sz w:val="14"/>
          <w:szCs w:val="14"/>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59" w:lineRule="exact"/>
        <w:rPr>
          <w:sz w:val="20"/>
          <w:szCs w:val="20"/>
          <w:color w:val="auto"/>
        </w:rPr>
      </w:pPr>
    </w:p>
    <w:p>
      <w:pPr>
        <w:ind w:right="220" w:firstLine="751"/>
        <w:spacing w:after="0" w:line="255" w:lineRule="auto"/>
        <w:rPr>
          <w:sz w:val="20"/>
          <w:szCs w:val="20"/>
          <w:color w:val="auto"/>
        </w:rPr>
      </w:pPr>
      <w:r>
        <w:rPr>
          <w:rFonts w:ascii="Arial" w:cs="Arial" w:eastAsia="Arial" w:hAnsi="Arial"/>
          <w:sz w:val="15"/>
          <w:szCs w:val="15"/>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58" w:lineRule="exact"/>
        <w:rPr>
          <w:sz w:val="20"/>
          <w:szCs w:val="20"/>
          <w:color w:val="auto"/>
        </w:rPr>
      </w:pPr>
    </w:p>
    <w:p>
      <w:pPr>
        <w:ind w:left="1040" w:hanging="520"/>
        <w:spacing w:after="0"/>
        <w:tabs>
          <w:tab w:leader="none" w:pos="10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regulators or IRBs may not authorize us or our investigators to commence a clinical trial or conduct a clinical trial at a prospective trial site or amend trial protocols;</w:t>
      </w:r>
    </w:p>
    <w:p>
      <w:pPr>
        <w:spacing w:after="0" w:line="95" w:lineRule="exact"/>
        <w:rPr>
          <w:rFonts w:ascii="Arial" w:cs="Arial" w:eastAsia="Arial" w:hAnsi="Arial"/>
          <w:sz w:val="14"/>
          <w:szCs w:val="14"/>
          <w:color w:val="auto"/>
        </w:rPr>
      </w:pPr>
    </w:p>
    <w:p>
      <w:pPr>
        <w:ind w:left="1040" w:hanging="520"/>
        <w:spacing w:after="0"/>
        <w:tabs>
          <w:tab w:leader="none" w:pos="10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experience delays in reaching, or fail to reach, agreement on acceptable clinical trial contracts or clinical trial protocols with prospective trial sites and our CROs;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54" w:name="page55"/>
    <w:bookmarkEnd w:id="5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right="700" w:hanging="520"/>
        <w:spacing w:after="0" w:line="290" w:lineRule="auto"/>
        <w:tabs>
          <w:tab w:leader="none" w:pos="10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35" w:lineRule="exact"/>
        <w:rPr>
          <w:rFonts w:ascii="Arial" w:cs="Arial" w:eastAsia="Arial" w:hAnsi="Arial"/>
          <w:sz w:val="14"/>
          <w:szCs w:val="14"/>
          <w:color w:val="auto"/>
        </w:rPr>
      </w:pPr>
    </w:p>
    <w:p>
      <w:pPr>
        <w:ind w:left="1040" w:right="60" w:hanging="520"/>
        <w:spacing w:after="0" w:line="255" w:lineRule="auto"/>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57" w:lineRule="exact"/>
        <w:rPr>
          <w:rFonts w:ascii="Arial" w:cs="Arial" w:eastAsia="Arial" w:hAnsi="Arial"/>
          <w:sz w:val="15"/>
          <w:szCs w:val="15"/>
          <w:color w:val="auto"/>
        </w:rPr>
      </w:pPr>
    </w:p>
    <w:p>
      <w:pPr>
        <w:ind w:left="1040" w:right="400" w:hanging="520"/>
        <w:spacing w:after="0" w:line="255" w:lineRule="auto"/>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7" w:lineRule="exact"/>
        <w:rPr>
          <w:rFonts w:ascii="Arial" w:cs="Arial" w:eastAsia="Arial" w:hAnsi="Arial"/>
          <w:sz w:val="15"/>
          <w:szCs w:val="15"/>
          <w:color w:val="auto"/>
        </w:rPr>
      </w:pPr>
    </w:p>
    <w:p>
      <w:pPr>
        <w:ind w:left="1040" w:right="40" w:hanging="520"/>
        <w:spacing w:after="0" w:line="178" w:lineRule="exact"/>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third</w:t>
      </w:r>
      <w:r>
        <w:rPr>
          <w:rFonts w:ascii="MS PGothic" w:cs="MS PGothic" w:eastAsia="MS PGothic" w:hAnsi="MS PGothic"/>
          <w:sz w:val="15"/>
          <w:szCs w:val="15"/>
          <w:color w:val="auto"/>
        </w:rPr>
        <w:t>‑</w:t>
      </w:r>
      <w:r>
        <w:rPr>
          <w:rFonts w:ascii="Arial" w:cs="Arial" w:eastAsia="Arial" w:hAnsi="Arial"/>
          <w:sz w:val="15"/>
          <w:szCs w:val="15"/>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69" w:lineRule="exact"/>
        <w:rPr>
          <w:rFonts w:ascii="Arial" w:cs="Arial" w:eastAsia="Arial" w:hAnsi="Arial"/>
          <w:sz w:val="15"/>
          <w:szCs w:val="15"/>
          <w:color w:val="auto"/>
        </w:rPr>
      </w:pPr>
    </w:p>
    <w:p>
      <w:pPr>
        <w:ind w:left="1040" w:right="20" w:hanging="520"/>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69" w:lineRule="exact"/>
        <w:rPr>
          <w:rFonts w:ascii="Arial" w:cs="Arial" w:eastAsia="Arial" w:hAnsi="Arial"/>
          <w:sz w:val="15"/>
          <w:szCs w:val="15"/>
          <w:color w:val="auto"/>
        </w:rPr>
      </w:pPr>
    </w:p>
    <w:p>
      <w:pPr>
        <w:ind w:left="1040" w:hanging="520"/>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marketing approval policies during the development period rendering our data insufficient to obtain marketing approval;</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or the enactment of additional statutes or regulations;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regulatory review for each submitted product application;</w:t>
      </w:r>
    </w:p>
    <w:p>
      <w:pPr>
        <w:spacing w:after="0" w:line="84" w:lineRule="exact"/>
        <w:rPr>
          <w:rFonts w:ascii="Arial" w:cs="Arial" w:eastAsia="Arial" w:hAnsi="Arial"/>
          <w:sz w:val="15"/>
          <w:szCs w:val="15"/>
          <w:color w:val="auto"/>
        </w:rPr>
      </w:pPr>
    </w:p>
    <w:p>
      <w:pPr>
        <w:ind w:left="1040" w:right="40" w:hanging="520"/>
        <w:spacing w:after="0" w:line="255" w:lineRule="auto"/>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supply or quality of our product candidates or other materials necessary to conduct clinical trials of our product candidates may be insufficient or inadequate;</w:t>
      </w:r>
    </w:p>
    <w:p>
      <w:pPr>
        <w:spacing w:after="0" w:line="95" w:lineRule="exact"/>
        <w:rPr>
          <w:rFonts w:ascii="Arial" w:cs="Arial" w:eastAsia="Arial" w:hAnsi="Arial"/>
          <w:sz w:val="14"/>
          <w:szCs w:val="14"/>
          <w:color w:val="auto"/>
        </w:rPr>
      </w:pPr>
    </w:p>
    <w:p>
      <w:pPr>
        <w:ind w:left="1040" w:hanging="520"/>
        <w:spacing w:after="0" w:line="236" w:lineRule="auto"/>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completed Phase 2 ASCEND trial and Phase 3 GEMINI trial in MDD to support an NDA for AXS-05 for the treatment of MDD; the Phase 3 MOMENTUM trial, conducted pursuant to a Special Protocol Assessment, or SPA, and the Phase 3 INTERCEPT trial to support an NDA for AXS-07 for the acute treatment of migraine; the Phase 3 ADVANCE trial and the ongoing ACCORD trial to support an NDA for AXS-05 for the treatment of AD agitation; the Phase 2 CONCERT trial and ongoing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72" w:lineRule="exact"/>
        <w:rPr>
          <w:rFonts w:ascii="Arial" w:cs="Arial" w:eastAsia="Arial" w:hAnsi="Arial"/>
          <w:sz w:val="15"/>
          <w:szCs w:val="15"/>
          <w:color w:val="auto"/>
        </w:rPr>
      </w:pPr>
    </w:p>
    <w:p>
      <w:pPr>
        <w:ind w:left="1040" w:hanging="520"/>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fail to reach an agreement with regulators regarding the scope or design of our clinical trials;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have delays in adding new investigators or clinical trial sites, or we may experience a withdrawal of clinical trial sites;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may experience delays in our clinical trials due to the ongoing COVID-19 pandemic;</w:t>
      </w:r>
    </w:p>
    <w:p>
      <w:pPr>
        <w:spacing w:after="0" w:line="84" w:lineRule="exact"/>
        <w:rPr>
          <w:rFonts w:ascii="Arial" w:cs="Arial" w:eastAsia="Arial" w:hAnsi="Arial"/>
          <w:sz w:val="15"/>
          <w:szCs w:val="15"/>
          <w:color w:val="auto"/>
        </w:rPr>
      </w:pPr>
    </w:p>
    <w:p>
      <w:pPr>
        <w:ind w:left="1040" w:right="220" w:hanging="520"/>
        <w:spacing w:after="0" w:line="290" w:lineRule="auto"/>
        <w:tabs>
          <w:tab w:leader="none" w:pos="10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35" w:lineRule="exact"/>
        <w:rPr>
          <w:rFonts w:ascii="Arial" w:cs="Arial" w:eastAsia="Arial" w:hAnsi="Arial"/>
          <w:sz w:val="14"/>
          <w:szCs w:val="14"/>
          <w:color w:val="auto"/>
        </w:rPr>
      </w:pPr>
    </w:p>
    <w:p>
      <w:pPr>
        <w:ind w:left="1040" w:hanging="520"/>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there may be regulatory questions regarding interpretations of data and results, or new information may emerge regarding our product candidates;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5" w:name="page56"/>
    <w:bookmarkEnd w:id="5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right="20" w:hanging="520"/>
        <w:spacing w:after="0" w:line="263" w:lineRule="auto"/>
        <w:tabs>
          <w:tab w:leader="none" w:pos="10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53" w:lineRule="exact"/>
        <w:rPr>
          <w:rFonts w:ascii="Arial" w:cs="Arial" w:eastAsia="Arial" w:hAnsi="Arial"/>
          <w:sz w:val="14"/>
          <w:szCs w:val="14"/>
          <w:color w:val="auto"/>
        </w:rPr>
      </w:pPr>
    </w:p>
    <w:p>
      <w:pPr>
        <w:ind w:left="1040" w:right="100" w:hanging="520"/>
        <w:spacing w:after="0"/>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69" w:lineRule="exact"/>
        <w:rPr>
          <w:rFonts w:ascii="Arial" w:cs="Arial" w:eastAsia="Arial" w:hAnsi="Arial"/>
          <w:sz w:val="15"/>
          <w:szCs w:val="15"/>
          <w:color w:val="auto"/>
        </w:rPr>
      </w:pPr>
    </w:p>
    <w:p>
      <w:pPr>
        <w:ind w:left="1040" w:hanging="520"/>
        <w:spacing w:after="0"/>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not accept data from studies with clinical trial sites in foreign countries;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intended indications;</w:t>
      </w:r>
    </w:p>
    <w:p>
      <w:pPr>
        <w:spacing w:after="0" w:line="84" w:lineRule="exact"/>
        <w:rPr>
          <w:rFonts w:ascii="Arial" w:cs="Arial" w:eastAsia="Arial" w:hAnsi="Arial"/>
          <w:sz w:val="15"/>
          <w:szCs w:val="15"/>
          <w:color w:val="auto"/>
        </w:rPr>
      </w:pPr>
    </w:p>
    <w:p>
      <w:pPr>
        <w:ind w:left="1040" w:right="200" w:hanging="520"/>
        <w:spacing w:after="0" w:line="255" w:lineRule="auto"/>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fail to approve or subsequently find fault with the manufacturing processes or our manufacturing facilities for clinical and future commercial supplies;</w:t>
      </w:r>
    </w:p>
    <w:p>
      <w:pPr>
        <w:spacing w:after="0" w:line="57" w:lineRule="exact"/>
        <w:rPr>
          <w:rFonts w:ascii="Arial" w:cs="Arial" w:eastAsia="Arial" w:hAnsi="Arial"/>
          <w:sz w:val="15"/>
          <w:szCs w:val="15"/>
          <w:color w:val="auto"/>
        </w:rPr>
      </w:pPr>
    </w:p>
    <w:p>
      <w:pPr>
        <w:ind w:left="1040" w:hanging="520"/>
        <w:spacing w:after="0" w:line="255" w:lineRule="auto"/>
        <w:tabs>
          <w:tab w:leader="none" w:pos="10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connection with the chemistry, manufacturing, and controls (CMC) data necessary for our NDA filing and approval, we will need to conduct stability studies and provide stability data to establish appropriate retest or expiration dating period;</w:t>
      </w:r>
    </w:p>
    <w:p>
      <w:pPr>
        <w:spacing w:after="0" w:line="57" w:lineRule="exact"/>
        <w:rPr>
          <w:rFonts w:ascii="Arial" w:cs="Arial" w:eastAsia="Arial" w:hAnsi="Arial"/>
          <w:sz w:val="15"/>
          <w:szCs w:val="15"/>
          <w:color w:val="auto"/>
        </w:rPr>
      </w:pPr>
    </w:p>
    <w:p>
      <w:pPr>
        <w:ind w:left="1040" w:right="220" w:hanging="520"/>
        <w:spacing w:after="0" w:line="300" w:lineRule="auto"/>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31" w:lineRule="exact"/>
        <w:rPr>
          <w:rFonts w:ascii="Arial" w:cs="Arial" w:eastAsia="Arial" w:hAnsi="Arial"/>
          <w:sz w:val="13"/>
          <w:szCs w:val="13"/>
          <w:color w:val="auto"/>
        </w:rPr>
      </w:pPr>
    </w:p>
    <w:p>
      <w:pPr>
        <w:ind w:left="1040" w:right="80" w:hanging="520"/>
        <w:spacing w:after="0" w:line="290" w:lineRule="auto"/>
        <w:tabs>
          <w:tab w:leader="none" w:pos="10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35" w:lineRule="exact"/>
        <w:rPr>
          <w:rFonts w:ascii="Arial" w:cs="Arial" w:eastAsia="Arial" w:hAnsi="Arial"/>
          <w:sz w:val="14"/>
          <w:szCs w:val="14"/>
          <w:color w:val="auto"/>
        </w:rPr>
      </w:pPr>
    </w:p>
    <w:p>
      <w:pPr>
        <w:ind w:left="1040" w:hanging="520"/>
        <w:spacing w:after="0"/>
        <w:tabs>
          <w:tab w:leader="none" w:pos="10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may not be able to demonstrate that a product candidate provides an advantage over current standards of care or current or future competitive therapies in development.</w:t>
      </w:r>
    </w:p>
    <w:p>
      <w:pPr>
        <w:spacing w:after="0" w:line="197" w:lineRule="exact"/>
        <w:rPr>
          <w:sz w:val="20"/>
          <w:szCs w:val="20"/>
          <w:color w:val="auto"/>
        </w:rPr>
      </w:pPr>
    </w:p>
    <w:p>
      <w:pPr>
        <w:ind w:right="400" w:firstLine="751"/>
        <w:spacing w:after="0" w:line="244" w:lineRule="auto"/>
        <w:rPr>
          <w:sz w:val="20"/>
          <w:szCs w:val="20"/>
          <w:color w:val="auto"/>
        </w:rPr>
      </w:pPr>
      <w:r>
        <w:rPr>
          <w:rFonts w:ascii="Arial" w:cs="Arial" w:eastAsia="Arial" w:hAnsi="Arial"/>
          <w:sz w:val="15"/>
          <w:szCs w:val="15"/>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66" w:lineRule="exact"/>
        <w:rPr>
          <w:sz w:val="20"/>
          <w:szCs w:val="20"/>
          <w:color w:val="auto"/>
        </w:rPr>
      </w:pPr>
    </w:p>
    <w:p>
      <w:pPr>
        <w:ind w:left="1040" w:hanging="520"/>
        <w:spacing w:after="0"/>
        <w:tabs>
          <w:tab w:leader="none" w:pos="10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be delayed in obtaining marketing approval for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not obtain marketing approval at all;</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obtain approval for indications or patient populations that are not as broad as intended or desired or are not covered by our intellectual property;</w:t>
      </w:r>
    </w:p>
    <w:p>
      <w:pPr>
        <w:spacing w:after="0" w:line="84" w:lineRule="exact"/>
        <w:rPr>
          <w:rFonts w:ascii="Arial" w:cs="Arial" w:eastAsia="Arial" w:hAnsi="Arial"/>
          <w:sz w:val="15"/>
          <w:szCs w:val="15"/>
          <w:color w:val="auto"/>
        </w:rPr>
      </w:pPr>
    </w:p>
    <w:p>
      <w:pPr>
        <w:ind w:left="1040" w:hanging="520"/>
        <w:spacing w:after="0" w:line="290" w:lineRule="auto"/>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35" w:lineRule="exact"/>
        <w:rPr>
          <w:rFonts w:ascii="Arial" w:cs="Arial" w:eastAsia="Arial" w:hAnsi="Arial"/>
          <w:sz w:val="14"/>
          <w:szCs w:val="14"/>
          <w:color w:val="auto"/>
        </w:rPr>
      </w:pPr>
    </w:p>
    <w:p>
      <w:pPr>
        <w:ind w:left="1040" w:hanging="520"/>
        <w:spacing w:after="0" w:line="173" w:lineRule="exact"/>
        <w:tabs>
          <w:tab w:leader="none" w:pos="10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be subject to additional post</w:t>
      </w:r>
      <w:r>
        <w:rPr>
          <w:rFonts w:ascii="MS PGothic" w:cs="MS PGothic" w:eastAsia="MS PGothic" w:hAnsi="MS PGothic"/>
          <w:sz w:val="15"/>
          <w:szCs w:val="15"/>
          <w:color w:val="auto"/>
        </w:rPr>
        <w:t>‑</w:t>
      </w:r>
      <w:r>
        <w:rPr>
          <w:rFonts w:ascii="Arial" w:cs="Arial" w:eastAsia="Arial" w:hAnsi="Arial"/>
          <w:sz w:val="15"/>
          <w:szCs w:val="15"/>
          <w:color w:val="auto"/>
        </w:rPr>
        <w:t>marketing testing and surveillance requirements, including REMS; or</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have the product removed from the market after obtaining marketing approval.</w:t>
      </w:r>
    </w:p>
    <w:p>
      <w:pPr>
        <w:spacing w:after="0" w:line="174" w:lineRule="exact"/>
        <w:rPr>
          <w:sz w:val="20"/>
          <w:szCs w:val="20"/>
          <w:color w:val="auto"/>
        </w:rPr>
      </w:pPr>
    </w:p>
    <w:p>
      <w:pPr>
        <w:ind w:right="140" w:firstLine="751"/>
        <w:spacing w:after="0" w:line="331" w:lineRule="auto"/>
        <w:rPr>
          <w:sz w:val="20"/>
          <w:szCs w:val="20"/>
          <w:color w:val="auto"/>
        </w:rPr>
      </w:pPr>
      <w:r>
        <w:rPr>
          <w:rFonts w:ascii="Arial" w:cs="Arial" w:eastAsia="Arial" w:hAnsi="Arial"/>
          <w:sz w:val="13"/>
          <w:szCs w:val="13"/>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6" w:name="page57"/>
    <w:bookmarkEnd w:id="5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160"/>
        <w:spacing w:after="0" w:line="284" w:lineRule="auto"/>
        <w:rPr>
          <w:sz w:val="20"/>
          <w:szCs w:val="20"/>
          <w:color w:val="auto"/>
        </w:rPr>
      </w:pPr>
      <w:r>
        <w:rPr>
          <w:rFonts w:ascii="Arial" w:cs="Arial" w:eastAsia="Arial" w:hAnsi="Arial"/>
          <w:sz w:val="13"/>
          <w:szCs w:val="13"/>
          <w:color w:val="auto"/>
        </w:rPr>
        <w:t>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32" w:lineRule="exact"/>
        <w:rPr>
          <w:sz w:val="20"/>
          <w:szCs w:val="20"/>
          <w:color w:val="auto"/>
        </w:rPr>
      </w:pPr>
    </w:p>
    <w:p>
      <w:pPr>
        <w:ind w:right="60" w:firstLine="751"/>
        <w:spacing w:after="0" w:line="238" w:lineRule="auto"/>
        <w:rPr>
          <w:sz w:val="20"/>
          <w:szCs w:val="20"/>
          <w:color w:val="auto"/>
        </w:rPr>
      </w:pPr>
      <w:r>
        <w:rPr>
          <w:rFonts w:ascii="Arial" w:cs="Arial" w:eastAsia="Arial" w:hAnsi="Arial"/>
          <w:sz w:val="15"/>
          <w:szCs w:val="15"/>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Alzheimer's disease agitation or smoking cessation. As a result, we may experience delays in regulatory approval due to uncertainties in the approval process.</w:t>
      </w:r>
    </w:p>
    <w:p>
      <w:pPr>
        <w:spacing w:after="0" w:line="158" w:lineRule="exact"/>
        <w:rPr>
          <w:sz w:val="20"/>
          <w:szCs w:val="20"/>
          <w:color w:val="auto"/>
        </w:rPr>
      </w:pPr>
    </w:p>
    <w:p>
      <w:pPr>
        <w:ind w:right="20" w:firstLine="751"/>
        <w:spacing w:after="0" w:line="172" w:lineRule="exact"/>
        <w:rPr>
          <w:sz w:val="20"/>
          <w:szCs w:val="20"/>
          <w:color w:val="auto"/>
        </w:rPr>
      </w:pPr>
      <w:r>
        <w:rPr>
          <w:rFonts w:ascii="Arial" w:cs="Arial" w:eastAsia="Arial" w:hAnsi="Arial"/>
          <w:sz w:val="15"/>
          <w:szCs w:val="15"/>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5"/>
          <w:szCs w:val="15"/>
          <w:color w:val="auto"/>
        </w:rPr>
        <w:t>‑</w:t>
      </w:r>
      <w:r>
        <w:rPr>
          <w:rFonts w:ascii="Arial" w:cs="Arial" w:eastAsia="Arial" w:hAnsi="Arial"/>
          <w:sz w:val="15"/>
          <w:szCs w:val="15"/>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1" w:lineRule="exact"/>
        <w:rPr>
          <w:sz w:val="20"/>
          <w:szCs w:val="20"/>
          <w:color w:val="auto"/>
        </w:rPr>
      </w:pPr>
    </w:p>
    <w:p>
      <w:pPr>
        <w:ind w:right="280" w:firstLine="751"/>
        <w:spacing w:after="0" w:line="244" w:lineRule="auto"/>
        <w:rPr>
          <w:sz w:val="20"/>
          <w:szCs w:val="20"/>
          <w:color w:val="auto"/>
        </w:rPr>
      </w:pPr>
      <w:r>
        <w:rPr>
          <w:rFonts w:ascii="Arial" w:cs="Arial" w:eastAsia="Arial" w:hAnsi="Arial"/>
          <w:sz w:val="15"/>
          <w:szCs w:val="15"/>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55"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47" w:lineRule="exact"/>
        <w:rPr>
          <w:sz w:val="20"/>
          <w:szCs w:val="20"/>
          <w:color w:val="auto"/>
        </w:rPr>
      </w:pPr>
    </w:p>
    <w:p>
      <w:pPr>
        <w:ind w:firstLine="751"/>
        <w:spacing w:after="0" w:line="284" w:lineRule="auto"/>
        <w:rPr>
          <w:sz w:val="20"/>
          <w:szCs w:val="20"/>
          <w:color w:val="auto"/>
        </w:rPr>
      </w:pPr>
      <w:r>
        <w:rPr>
          <w:rFonts w:ascii="Arial" w:cs="Arial" w:eastAsia="Arial" w:hAnsi="Arial"/>
          <w:sz w:val="13"/>
          <w:szCs w:val="13"/>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43" w:lineRule="exact"/>
        <w:rPr>
          <w:sz w:val="20"/>
          <w:szCs w:val="20"/>
          <w:color w:val="auto"/>
        </w:rPr>
      </w:pPr>
    </w:p>
    <w:p>
      <w:pPr>
        <w:ind w:left="1040" w:right="320" w:hanging="520"/>
        <w:spacing w:after="0" w:line="255" w:lineRule="auto"/>
        <w:tabs>
          <w:tab w:leader="none" w:pos="10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preclinical or nonclinical testing may produce inconclusive or negative safety results, which may require us to conduct additional nonclinical testing or to abandon product candidates;</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product candidates may have unfavorable pharmacology or toxicity characteristics or suggest possible drug-drug interaction;</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product candidates may cause undesirable side effects;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FDA or other regulatory authorities may determine that additional safety testing is required.</w:t>
      </w:r>
    </w:p>
    <w:p>
      <w:pPr>
        <w:spacing w:after="0" w:line="174" w:lineRule="exact"/>
        <w:rPr>
          <w:sz w:val="20"/>
          <w:szCs w:val="20"/>
          <w:color w:val="auto"/>
        </w:rPr>
      </w:pPr>
    </w:p>
    <w:p>
      <w:pPr>
        <w:ind w:right="60" w:firstLine="751"/>
        <w:spacing w:after="0" w:line="255" w:lineRule="auto"/>
        <w:rPr>
          <w:sz w:val="20"/>
          <w:szCs w:val="20"/>
          <w:color w:val="auto"/>
        </w:rPr>
      </w:pPr>
      <w:r>
        <w:rPr>
          <w:rFonts w:ascii="Arial" w:cs="Arial" w:eastAsia="Arial" w:hAnsi="Arial"/>
          <w:sz w:val="15"/>
          <w:szCs w:val="15"/>
          <w:color w:val="auto"/>
        </w:rPr>
        <w:t>Any such events would increase our costs and could delay or prevent our ability to commercialize our product candidates, which could adversely impact our business, financial condition and results of operation.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57" w:name="page58"/>
    <w:bookmarkEnd w:id="5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208" w:lineRule="exact"/>
        <w:rPr>
          <w:sz w:val="20"/>
          <w:szCs w:val="20"/>
          <w:color w:val="auto"/>
        </w:rPr>
      </w:pPr>
    </w:p>
    <w:p>
      <w:pPr>
        <w:jc w:val="both"/>
        <w:ind w:right="100" w:firstLine="751"/>
        <w:spacing w:after="0" w:line="263" w:lineRule="auto"/>
        <w:rPr>
          <w:sz w:val="20"/>
          <w:szCs w:val="20"/>
          <w:color w:val="auto"/>
        </w:rPr>
      </w:pPr>
      <w:r>
        <w:rPr>
          <w:rFonts w:ascii="Arial" w:cs="Arial" w:eastAsia="Arial" w:hAnsi="Arial"/>
          <w:sz w:val="14"/>
          <w:szCs w:val="14"/>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43" w:lineRule="exact"/>
        <w:rPr>
          <w:sz w:val="20"/>
          <w:szCs w:val="20"/>
          <w:color w:val="auto"/>
        </w:rPr>
      </w:pPr>
    </w:p>
    <w:p>
      <w:pPr>
        <w:ind w:right="20" w:firstLine="751"/>
        <w:spacing w:after="0" w:line="171" w:lineRule="exact"/>
        <w:rPr>
          <w:sz w:val="20"/>
          <w:szCs w:val="20"/>
          <w:color w:val="auto"/>
        </w:rPr>
      </w:pPr>
      <w:r>
        <w:rPr>
          <w:rFonts w:ascii="Arial" w:cs="Arial" w:eastAsia="Arial" w:hAnsi="Arial"/>
          <w:sz w:val="14"/>
          <w:szCs w:val="14"/>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4"/>
          <w:szCs w:val="14"/>
          <w:color w:val="auto"/>
        </w:rPr>
        <w:t>‑</w:t>
      </w:r>
      <w:r>
        <w:rPr>
          <w:rFonts w:ascii="Arial" w:cs="Arial" w:eastAsia="Arial" w:hAnsi="Arial"/>
          <w:sz w:val="14"/>
          <w:szCs w:val="14"/>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62" w:lineRule="exact"/>
        <w:rPr>
          <w:sz w:val="20"/>
          <w:szCs w:val="20"/>
          <w:color w:val="auto"/>
        </w:rPr>
      </w:pPr>
    </w:p>
    <w:p>
      <w:pPr>
        <w:ind w:right="80" w:firstLine="751"/>
        <w:spacing w:after="0" w:line="263" w:lineRule="auto"/>
        <w:rPr>
          <w:sz w:val="20"/>
          <w:szCs w:val="20"/>
          <w:color w:val="auto"/>
        </w:rPr>
      </w:pPr>
      <w:r>
        <w:rPr>
          <w:rFonts w:ascii="Arial" w:cs="Arial" w:eastAsia="Arial" w:hAnsi="Arial"/>
          <w:sz w:val="14"/>
          <w:szCs w:val="14"/>
          <w:color w:val="auto"/>
        </w:rPr>
        <w:t>To date, the most commonly reported adverse events (incidence of ≥5% of subjects) observed in the completed clinical trials of AXS-05 include dizziness, nausea, headache, dry mouth, and decreased appetite. Some reported adverse events resulted in discontinuations from our trials of AXS-05. The most frequent adverse events (incidence of ≥1% of subjects) resulting in discontinuation included dizziness, nausea, and headache. AXS-05 consists of dextromethorphan and bupropion, and this combination may exacerbate any known adverse events for each individual component or may result in new toxicities as compared to those of the individual components.</w:t>
      </w:r>
    </w:p>
    <w:p>
      <w:pPr>
        <w:spacing w:after="0" w:line="143" w:lineRule="exact"/>
        <w:rPr>
          <w:sz w:val="20"/>
          <w:szCs w:val="20"/>
          <w:color w:val="auto"/>
        </w:rPr>
      </w:pPr>
    </w:p>
    <w:p>
      <w:pPr>
        <w:ind w:right="60" w:firstLine="751"/>
        <w:spacing w:after="0" w:line="244" w:lineRule="auto"/>
        <w:rPr>
          <w:sz w:val="20"/>
          <w:szCs w:val="20"/>
          <w:color w:val="auto"/>
        </w:rPr>
      </w:pPr>
      <w:r>
        <w:rPr>
          <w:rFonts w:ascii="Arial" w:cs="Arial" w:eastAsia="Arial" w:hAnsi="Arial"/>
          <w:sz w:val="15"/>
          <w:szCs w:val="15"/>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To date, the most commonly reported adverse events observed in the completed clinical trial of AXS-12 include anxiety, constipation, and insomnia.</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To date, the most commonly reported adverse events observed in the completed clinical trials of AXS-14 include anxiety, constipation, and insomnia.</w:t>
      </w:r>
    </w:p>
    <w:p>
      <w:pPr>
        <w:spacing w:after="0" w:line="174" w:lineRule="exact"/>
        <w:rPr>
          <w:sz w:val="20"/>
          <w:szCs w:val="20"/>
          <w:color w:val="auto"/>
        </w:rPr>
      </w:pPr>
    </w:p>
    <w:p>
      <w:pPr>
        <w:ind w:right="20" w:firstLine="751"/>
        <w:spacing w:after="0" w:line="173" w:lineRule="exact"/>
        <w:rPr>
          <w:sz w:val="20"/>
          <w:szCs w:val="20"/>
          <w:color w:val="auto"/>
        </w:rPr>
      </w:pPr>
      <w:r>
        <w:rPr>
          <w:rFonts w:ascii="Arial" w:cs="Arial" w:eastAsia="Arial" w:hAnsi="Arial"/>
          <w:sz w:val="14"/>
          <w:szCs w:val="14"/>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4"/>
          <w:szCs w:val="14"/>
          <w:color w:val="auto"/>
        </w:rPr>
        <w:t>‑</w:t>
      </w:r>
      <w:r>
        <w:rPr>
          <w:rFonts w:ascii="Arial" w:cs="Arial" w:eastAsia="Arial" w:hAnsi="Arial"/>
          <w:sz w:val="14"/>
          <w:szCs w:val="14"/>
          <w:color w:val="auto"/>
        </w:rPr>
        <w:t>benefit perspective. The drug</w:t>
      </w:r>
      <w:r>
        <w:rPr>
          <w:rFonts w:ascii="MS PGothic" w:cs="MS PGothic" w:eastAsia="MS PGothic" w:hAnsi="MS PGothic"/>
          <w:sz w:val="14"/>
          <w:szCs w:val="14"/>
          <w:color w:val="auto"/>
        </w:rPr>
        <w:t>‑</w:t>
      </w:r>
      <w:r>
        <w:rPr>
          <w:rFonts w:ascii="Arial" w:cs="Arial" w:eastAsia="Arial" w:hAnsi="Arial"/>
          <w:sz w:val="14"/>
          <w:szCs w:val="14"/>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174" w:lineRule="exact"/>
        <w:rPr>
          <w:sz w:val="20"/>
          <w:szCs w:val="20"/>
          <w:color w:val="auto"/>
        </w:rPr>
      </w:pPr>
    </w:p>
    <w:p>
      <w:pPr>
        <w:ind w:firstLine="751"/>
        <w:spacing w:after="0"/>
        <w:rPr>
          <w:sz w:val="20"/>
          <w:szCs w:val="20"/>
          <w:color w:val="auto"/>
        </w:rPr>
      </w:pPr>
      <w:r>
        <w:rPr>
          <w:rFonts w:ascii="Arial" w:cs="Arial" w:eastAsia="Arial" w:hAnsi="Arial"/>
          <w:sz w:val="15"/>
          <w:szCs w:val="15"/>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70" w:lineRule="exact"/>
        <w:rPr>
          <w:sz w:val="20"/>
          <w:szCs w:val="20"/>
          <w:color w:val="auto"/>
        </w:rPr>
      </w:pPr>
    </w:p>
    <w:p>
      <w:pPr>
        <w:ind w:left="1040" w:hanging="520"/>
        <w:spacing w:after="0"/>
        <w:tabs>
          <w:tab w:leader="none" w:pos="10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size and nature of the patient population;</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180"/>
          </w:cols>
          <w:pgMar w:left="300" w:top="124" w:right="419" w:bottom="1440" w:gutter="0" w:footer="0" w:header="0"/>
        </w:sectPr>
      </w:pPr>
    </w:p>
    <w:bookmarkStart w:id="58" w:name="page59"/>
    <w:bookmarkEnd w:id="5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severity of the disease under investigation;</w:t>
      </w:r>
    </w:p>
    <w:p>
      <w:pPr>
        <w:spacing w:after="0" w:line="84" w:lineRule="exact"/>
        <w:rPr>
          <w:rFonts w:ascii="Arial" w:cs="Arial" w:eastAsia="Arial" w:hAnsi="Arial"/>
          <w:sz w:val="15"/>
          <w:szCs w:val="15"/>
          <w:color w:val="auto"/>
        </w:rPr>
      </w:pPr>
    </w:p>
    <w:p>
      <w:pPr>
        <w:ind w:left="1040" w:right="560" w:hanging="520"/>
        <w:spacing w:after="0" w:line="255" w:lineRule="auto"/>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eligibility criteria for, and design of, the clinical trial in question, including factors such as frequency of required assessments, length of the study, and ongoing monitoring requirements;</w:t>
      </w:r>
    </w:p>
    <w:p>
      <w:pPr>
        <w:spacing w:after="0" w:line="57" w:lineRule="exact"/>
        <w:rPr>
          <w:rFonts w:ascii="Arial" w:cs="Arial" w:eastAsia="Arial" w:hAnsi="Arial"/>
          <w:sz w:val="15"/>
          <w:szCs w:val="15"/>
          <w:color w:val="auto"/>
        </w:rPr>
      </w:pPr>
    </w:p>
    <w:p>
      <w:pPr>
        <w:ind w:left="1040" w:right="40" w:hanging="520"/>
        <w:spacing w:after="0" w:line="255" w:lineRule="auto"/>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perceived risks and benefits of the product candidate under study, including the potential advantages or disadvantages of the product candidate being studied in relation to other available therapies;</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competition in recruiting and enrolling patients in clinical trials;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efforts to facilitate timely enrollment in clinical trials;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patient referral practices of physicians;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effectiveness of publicity created by clinical trial sites regarding the trial;</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patients’ ability to comply with the specific instructions related to the trial protocol, proper documentation, and use of the drug product;</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inability to obtain or maintain patient informed consents;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risk that enrolled patients will drop out before completion;</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ability to identify patients for enrollment and maintain a sufficient level of patient participants in our clinical studies due to the ongoing COVID-19 pandemic;</w:t>
      </w:r>
    </w:p>
    <w:p>
      <w:pPr>
        <w:spacing w:after="0" w:line="95" w:lineRule="exact"/>
        <w:rPr>
          <w:rFonts w:ascii="Arial" w:cs="Arial" w:eastAsia="Arial" w:hAnsi="Arial"/>
          <w:sz w:val="14"/>
          <w:szCs w:val="14"/>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ability to monitor patients adequately during and after treatment;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proximity and availability of clinical trial sites for prospective patients.</w:t>
      </w:r>
    </w:p>
    <w:p>
      <w:pPr>
        <w:spacing w:after="0" w:line="174"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58" w:lineRule="exact"/>
        <w:rPr>
          <w:sz w:val="20"/>
          <w:szCs w:val="20"/>
          <w:color w:val="auto"/>
        </w:rPr>
      </w:pPr>
    </w:p>
    <w:p>
      <w:pPr>
        <w:ind w:right="20" w:firstLine="751"/>
        <w:spacing w:after="0" w:line="244" w:lineRule="auto"/>
        <w:rPr>
          <w:sz w:val="20"/>
          <w:szCs w:val="20"/>
          <w:color w:val="auto"/>
        </w:rPr>
      </w:pPr>
      <w:r>
        <w:rPr>
          <w:rFonts w:ascii="Arial" w:cs="Arial" w:eastAsia="Arial" w:hAnsi="Arial"/>
          <w:sz w:val="15"/>
          <w:szCs w:val="15"/>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55"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i w:val="1"/>
          <w:iCs w:val="1"/>
          <w:color w:val="auto"/>
        </w:rPr>
        <w:t>Currently approved products containing bupropion are subject to restrictive marketing and distribution regulations, which if applied to our product candidates could restrict their use and potentially reduce our ability to generate profits.</w:t>
      </w:r>
    </w:p>
    <w:p>
      <w:pPr>
        <w:spacing w:after="0" w:line="136" w:lineRule="exact"/>
        <w:rPr>
          <w:sz w:val="20"/>
          <w:szCs w:val="20"/>
          <w:color w:val="auto"/>
        </w:rPr>
      </w:pPr>
    </w:p>
    <w:p>
      <w:pPr>
        <w:ind w:firstLine="751"/>
        <w:spacing w:after="0" w:line="242" w:lineRule="auto"/>
        <w:rPr>
          <w:sz w:val="20"/>
          <w:szCs w:val="20"/>
          <w:color w:val="auto"/>
        </w:rPr>
      </w:pPr>
      <w:r>
        <w:rPr>
          <w:rFonts w:ascii="Arial" w:cs="Arial" w:eastAsia="Arial" w:hAnsi="Arial"/>
          <w:sz w:val="13"/>
          <w:szCs w:val="13"/>
          <w:color w:val="auto"/>
        </w:rPr>
        <w:t>Currently approved products containing bupropion and meloxicam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in addition to a medication guide. We cannot predict whether that will be required as part of the FDA’s approval of our product candidates.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59" w:name="page60"/>
    <w:bookmarkEnd w:id="5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Development of combination product candidates may present more or different challenges than development of single agent product candidates.</w:t>
      </w:r>
    </w:p>
    <w:p>
      <w:pPr>
        <w:spacing w:after="0" w:line="151" w:lineRule="exact"/>
        <w:rPr>
          <w:sz w:val="20"/>
          <w:szCs w:val="20"/>
          <w:color w:val="auto"/>
        </w:rPr>
      </w:pPr>
    </w:p>
    <w:p>
      <w:pPr>
        <w:ind w:right="20" w:firstLine="751"/>
        <w:spacing w:after="0" w:line="212" w:lineRule="auto"/>
        <w:rPr>
          <w:sz w:val="20"/>
          <w:szCs w:val="20"/>
          <w:color w:val="auto"/>
        </w:rPr>
      </w:pPr>
      <w:r>
        <w:rPr>
          <w:rFonts w:ascii="Arial" w:cs="Arial" w:eastAsia="Arial" w:hAnsi="Arial"/>
          <w:sz w:val="15"/>
          <w:szCs w:val="15"/>
          <w:color w:val="auto"/>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product candidate manufacturing or formulation may result in additional costs or delay.</w:t>
      </w:r>
    </w:p>
    <w:p>
      <w:pPr>
        <w:spacing w:after="0" w:line="151" w:lineRule="exact"/>
        <w:rPr>
          <w:sz w:val="20"/>
          <w:szCs w:val="20"/>
          <w:color w:val="auto"/>
        </w:rPr>
      </w:pPr>
    </w:p>
    <w:p>
      <w:pPr>
        <w:ind w:firstLine="751"/>
        <w:spacing w:after="0" w:line="210" w:lineRule="auto"/>
        <w:rPr>
          <w:sz w:val="20"/>
          <w:szCs w:val="20"/>
          <w:color w:val="auto"/>
        </w:rPr>
      </w:pPr>
      <w:r>
        <w:rPr>
          <w:rFonts w:ascii="Arial" w:cs="Arial" w:eastAsia="Arial" w:hAnsi="Arial"/>
          <w:sz w:val="15"/>
          <w:szCs w:val="15"/>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obtain marketing approval in international jurisdictions would prevent our product candidates from being marketed abroad.</w:t>
      </w:r>
    </w:p>
    <w:p>
      <w:pPr>
        <w:spacing w:after="0" w:line="174" w:lineRule="exact"/>
        <w:rPr>
          <w:sz w:val="20"/>
          <w:szCs w:val="20"/>
          <w:color w:val="auto"/>
        </w:rPr>
      </w:pPr>
    </w:p>
    <w:p>
      <w:pPr>
        <w:ind w:firstLine="751"/>
        <w:spacing w:after="0" w:line="255" w:lineRule="auto"/>
        <w:rPr>
          <w:sz w:val="20"/>
          <w:szCs w:val="20"/>
          <w:color w:val="auto"/>
        </w:rPr>
      </w:pPr>
      <w:r>
        <w:rPr>
          <w:rFonts w:ascii="Arial" w:cs="Arial" w:eastAsia="Arial" w:hAnsi="Arial"/>
          <w:sz w:val="14"/>
          <w:szCs w:val="14"/>
          <w:color w:val="auto"/>
        </w:rPr>
        <w:t>In order to market and sell our products in the European Union, or EU, and many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47" w:lineRule="exact"/>
        <w:rPr>
          <w:sz w:val="20"/>
          <w:szCs w:val="20"/>
          <w:color w:val="auto"/>
        </w:rPr>
      </w:pPr>
    </w:p>
    <w:p>
      <w:pPr>
        <w:ind w:right="20" w:firstLine="751"/>
        <w:spacing w:after="0" w:line="260" w:lineRule="auto"/>
        <w:rPr>
          <w:sz w:val="20"/>
          <w:szCs w:val="20"/>
          <w:color w:val="auto"/>
        </w:rPr>
      </w:pPr>
      <w:r>
        <w:rPr>
          <w:rFonts w:ascii="Arial" w:cs="Arial" w:eastAsia="Arial" w:hAnsi="Arial"/>
          <w:sz w:val="14"/>
          <w:szCs w:val="14"/>
          <w:color w:val="auto"/>
        </w:rPr>
        <w:t>We have received a Fast Track product designation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44" w:lineRule="exact"/>
        <w:rPr>
          <w:sz w:val="20"/>
          <w:szCs w:val="20"/>
          <w:color w:val="auto"/>
        </w:rPr>
      </w:pPr>
    </w:p>
    <w:p>
      <w:pPr>
        <w:ind w:right="180"/>
        <w:spacing w:after="0" w:line="331" w:lineRule="auto"/>
        <w:rPr>
          <w:sz w:val="20"/>
          <w:szCs w:val="20"/>
          <w:color w:val="auto"/>
        </w:rPr>
      </w:pPr>
      <w:r>
        <w:rPr>
          <w:rFonts w:ascii="Arial" w:cs="Arial" w:eastAsia="Arial" w:hAnsi="Arial"/>
          <w:sz w:val="13"/>
          <w:szCs w:val="13"/>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60" w:name="page61"/>
    <w:bookmarkEnd w:id="6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Breakthrough Therapy designation by the FDA for AXS-05 for the treatment of MDD and for the treatment of AD agitation.</w:t>
      </w:r>
    </w:p>
    <w:p>
      <w:pPr>
        <w:spacing w:after="0" w:line="174" w:lineRule="exact"/>
        <w:rPr>
          <w:sz w:val="20"/>
          <w:szCs w:val="20"/>
          <w:color w:val="auto"/>
        </w:rPr>
      </w:pPr>
    </w:p>
    <w:p>
      <w:pPr>
        <w:ind w:right="100" w:firstLine="751"/>
        <w:spacing w:after="0" w:line="255" w:lineRule="auto"/>
        <w:rPr>
          <w:sz w:val="20"/>
          <w:szCs w:val="20"/>
          <w:color w:val="auto"/>
        </w:rPr>
      </w:pPr>
      <w:r>
        <w:rPr>
          <w:rFonts w:ascii="Arial" w:cs="Arial" w:eastAsia="Arial" w:hAnsi="Arial"/>
          <w:sz w:val="14"/>
          <w:szCs w:val="14"/>
          <w:color w:val="auto"/>
        </w:rPr>
        <w:t>We received Breakthrough Therapy designation for AXS-05 for both the treatment of MDD and the treatment of AD agitation.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51" w:lineRule="exact"/>
        <w:rPr>
          <w:sz w:val="20"/>
          <w:szCs w:val="20"/>
          <w:color w:val="auto"/>
        </w:rPr>
      </w:pPr>
    </w:p>
    <w:p>
      <w:pPr>
        <w:ind w:right="40" w:firstLine="751"/>
        <w:spacing w:after="0" w:line="260" w:lineRule="auto"/>
        <w:rPr>
          <w:sz w:val="20"/>
          <w:szCs w:val="20"/>
          <w:color w:val="auto"/>
        </w:rPr>
      </w:pPr>
      <w:r>
        <w:rPr>
          <w:rFonts w:ascii="Arial" w:cs="Arial" w:eastAsia="Arial" w:hAnsi="Arial"/>
          <w:sz w:val="14"/>
          <w:szCs w:val="14"/>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44" w:lineRule="exact"/>
        <w:rPr>
          <w:sz w:val="20"/>
          <w:szCs w:val="20"/>
          <w:color w:val="auto"/>
        </w:rPr>
      </w:pPr>
    </w:p>
    <w:p>
      <w:pPr>
        <w:ind w:right="280"/>
        <w:spacing w:after="0" w:line="174" w:lineRule="exact"/>
        <w:rPr>
          <w:sz w:val="20"/>
          <w:szCs w:val="20"/>
          <w:color w:val="auto"/>
        </w:rPr>
      </w:pPr>
      <w:r>
        <w:rPr>
          <w:rFonts w:ascii="Arial" w:cs="Arial" w:eastAsia="Arial" w:hAnsi="Arial"/>
          <w:sz w:val="15"/>
          <w:szCs w:val="15"/>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label” uses, resulting in damage to our reputation and business.</w:t>
      </w:r>
    </w:p>
    <w:p>
      <w:pPr>
        <w:spacing w:after="0" w:line="160" w:lineRule="exact"/>
        <w:rPr>
          <w:sz w:val="20"/>
          <w:szCs w:val="20"/>
          <w:color w:val="auto"/>
        </w:rPr>
      </w:pPr>
    </w:p>
    <w:p>
      <w:pPr>
        <w:ind w:right="20" w:firstLine="751"/>
        <w:spacing w:after="0" w:line="171" w:lineRule="exact"/>
        <w:rPr>
          <w:sz w:val="20"/>
          <w:szCs w:val="20"/>
          <w:color w:val="auto"/>
        </w:rPr>
      </w:pPr>
      <w:r>
        <w:rPr>
          <w:rFonts w:ascii="Arial" w:cs="Arial" w:eastAsia="Arial" w:hAnsi="Arial"/>
          <w:sz w:val="15"/>
          <w:szCs w:val="15"/>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5"/>
          <w:szCs w:val="15"/>
          <w:color w:val="auto"/>
        </w:rPr>
        <w:t>‑</w:t>
      </w:r>
      <w:r>
        <w:rPr>
          <w:rFonts w:ascii="Arial" w:cs="Arial" w:eastAsia="Arial" w:hAnsi="Arial"/>
          <w:sz w:val="15"/>
          <w:szCs w:val="15"/>
          <w:color w:val="auto"/>
        </w:rPr>
        <w:t>label uses, and our business may be adversely affected. We further must be able to sufficiently substantiate any claims that we make for our products including claims comparing our products to other companies’ products.</w:t>
      </w:r>
    </w:p>
    <w:p>
      <w:pPr>
        <w:spacing w:after="0" w:line="159" w:lineRule="exact"/>
        <w:rPr>
          <w:sz w:val="20"/>
          <w:szCs w:val="20"/>
          <w:color w:val="auto"/>
        </w:rPr>
      </w:pPr>
    </w:p>
    <w:p>
      <w:pPr>
        <w:ind w:firstLine="751"/>
        <w:spacing w:after="0" w:line="172" w:lineRule="exact"/>
        <w:rPr>
          <w:sz w:val="20"/>
          <w:szCs w:val="20"/>
          <w:color w:val="auto"/>
        </w:rPr>
      </w:pPr>
      <w:r>
        <w:rPr>
          <w:rFonts w:ascii="Arial" w:cs="Arial" w:eastAsia="Arial" w:hAnsi="Arial"/>
          <w:sz w:val="14"/>
          <w:szCs w:val="14"/>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4"/>
          <w:szCs w:val="14"/>
          <w:color w:val="auto"/>
        </w:rPr>
        <w:t>‑</w:t>
      </w:r>
      <w:r>
        <w:rPr>
          <w:rFonts w:ascii="Arial" w:cs="Arial" w:eastAsia="Arial" w:hAnsi="Arial"/>
          <w:sz w:val="14"/>
          <w:szCs w:val="14"/>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4"/>
          <w:szCs w:val="14"/>
          <w:color w:val="auto"/>
        </w:rPr>
        <w:t>‑</w:t>
      </w:r>
      <w:r>
        <w:rPr>
          <w:rFonts w:ascii="Arial" w:cs="Arial" w:eastAsia="Arial" w:hAnsi="Arial"/>
          <w:sz w:val="14"/>
          <w:szCs w:val="14"/>
          <w:color w:val="auto"/>
        </w:rPr>
        <w:t>label use.</w:t>
      </w:r>
    </w:p>
    <w:p>
      <w:pPr>
        <w:spacing w:after="0" w:line="158" w:lineRule="exact"/>
        <w:rPr>
          <w:sz w:val="20"/>
          <w:szCs w:val="20"/>
          <w:color w:val="auto"/>
        </w:rPr>
      </w:pPr>
    </w:p>
    <w:p>
      <w:pPr>
        <w:ind w:right="120" w:firstLine="751"/>
        <w:spacing w:after="0" w:line="173" w:lineRule="exact"/>
        <w:rPr>
          <w:sz w:val="20"/>
          <w:szCs w:val="20"/>
          <w:color w:val="auto"/>
        </w:rPr>
      </w:pPr>
      <w:r>
        <w:rPr>
          <w:rFonts w:ascii="Arial" w:cs="Arial" w:eastAsia="Arial" w:hAnsi="Arial"/>
          <w:sz w:val="14"/>
          <w:szCs w:val="14"/>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4"/>
          <w:szCs w:val="14"/>
          <w:color w:val="auto"/>
        </w:rPr>
        <w:t>‑</w:t>
      </w:r>
      <w:r>
        <w:rPr>
          <w:rFonts w:ascii="Arial" w:cs="Arial" w:eastAsia="Arial" w:hAnsi="Arial"/>
          <w:sz w:val="14"/>
          <w:szCs w:val="14"/>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4"/>
          <w:szCs w:val="14"/>
          <w:color w:val="auto"/>
        </w:rPr>
        <w:t>‑</w:t>
      </w:r>
      <w:r>
        <w:rPr>
          <w:rFonts w:ascii="Arial" w:cs="Arial" w:eastAsia="Arial" w:hAnsi="Arial"/>
          <w:sz w:val="14"/>
          <w:szCs w:val="14"/>
          <w:color w:val="auto"/>
        </w:rPr>
        <w:t>label promotion. The FDA has also requested that companies enter into consent decrees of permanent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61" w:name="page62"/>
    <w:bookmarkEnd w:id="6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color w:val="auto"/>
        </w:rPr>
        <w:t>injunctions under which specified promotional conduct is changed or curtailed. Thus, we and any of our collaborators will not be able to promote any products we develop for indications or uses for which they are not approved.</w:t>
      </w:r>
    </w:p>
    <w:p>
      <w:pPr>
        <w:spacing w:after="0" w:line="147" w:lineRule="exact"/>
        <w:rPr>
          <w:sz w:val="20"/>
          <w:szCs w:val="20"/>
          <w:color w:val="auto"/>
        </w:rPr>
      </w:pPr>
    </w:p>
    <w:p>
      <w:pPr>
        <w:ind w:firstLine="751"/>
        <w:spacing w:after="0" w:line="171" w:lineRule="exact"/>
        <w:rPr>
          <w:sz w:val="20"/>
          <w:szCs w:val="20"/>
          <w:color w:val="auto"/>
        </w:rPr>
      </w:pPr>
      <w:r>
        <w:rPr>
          <w:rFonts w:ascii="Arial" w:cs="Arial" w:eastAsia="Arial" w:hAnsi="Arial"/>
          <w:sz w:val="13"/>
          <w:szCs w:val="13"/>
          <w:color w:val="auto"/>
        </w:rPr>
        <w:t>In the United States, engaging in the impermissible promotion of our products, following approval, for off</w:t>
      </w:r>
      <w:r>
        <w:rPr>
          <w:rFonts w:ascii="MS PGothic" w:cs="MS PGothic" w:eastAsia="MS PGothic" w:hAnsi="MS PGothic"/>
          <w:sz w:val="13"/>
          <w:szCs w:val="13"/>
          <w:color w:val="auto"/>
        </w:rPr>
        <w:t>‑</w:t>
      </w:r>
      <w:r>
        <w:rPr>
          <w:rFonts w:ascii="Arial" w:cs="Arial" w:eastAsia="Arial" w:hAnsi="Arial"/>
          <w:sz w:val="13"/>
          <w:szCs w:val="13"/>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3"/>
          <w:szCs w:val="13"/>
          <w:color w:val="auto"/>
        </w:rPr>
        <w:t>‑</w:t>
      </w:r>
      <w:r>
        <w:rPr>
          <w:rFonts w:ascii="Arial" w:cs="Arial" w:eastAsia="Arial" w:hAnsi="Arial"/>
          <w:sz w:val="13"/>
          <w:szCs w:val="13"/>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311"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61" w:lineRule="exact"/>
        <w:rPr>
          <w:sz w:val="20"/>
          <w:szCs w:val="20"/>
          <w:color w:val="auto"/>
        </w:rPr>
      </w:pPr>
    </w:p>
    <w:p>
      <w:pPr>
        <w:jc w:val="both"/>
        <w:ind w:right="420"/>
        <w:spacing w:after="0" w:line="270" w:lineRule="auto"/>
        <w:rPr>
          <w:sz w:val="20"/>
          <w:szCs w:val="20"/>
          <w:color w:val="auto"/>
        </w:rPr>
      </w:pPr>
      <w:r>
        <w:rPr>
          <w:rFonts w:ascii="Arial" w:cs="Arial" w:eastAsia="Arial" w:hAnsi="Arial"/>
          <w:sz w:val="14"/>
          <w:szCs w:val="14"/>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8" w:lineRule="exact"/>
        <w:rPr>
          <w:sz w:val="20"/>
          <w:szCs w:val="20"/>
          <w:color w:val="auto"/>
        </w:rPr>
      </w:pPr>
    </w:p>
    <w:p>
      <w:pPr>
        <w:ind w:right="40" w:firstLine="751"/>
        <w:spacing w:after="0" w:line="276" w:lineRule="auto"/>
        <w:rPr>
          <w:sz w:val="20"/>
          <w:szCs w:val="20"/>
          <w:color w:val="auto"/>
        </w:rPr>
      </w:pPr>
      <w:r>
        <w:rPr>
          <w:rFonts w:ascii="Arial" w:cs="Arial" w:eastAsia="Arial" w:hAnsi="Arial"/>
          <w:sz w:val="13"/>
          <w:szCs w:val="13"/>
          <w:color w:val="auto"/>
        </w:rPr>
        <w:t>Any product candidate for which we obtain marketing approval will be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post-market requirements or restrictions. Any such restrictions could limit sales of the product.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62" w:name="page63"/>
    <w:bookmarkEnd w:id="6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40" w:firstLine="751"/>
        <w:spacing w:after="0" w:line="244" w:lineRule="auto"/>
        <w:rPr>
          <w:sz w:val="20"/>
          <w:szCs w:val="20"/>
          <w:color w:val="auto"/>
        </w:rPr>
      </w:pPr>
      <w:r>
        <w:rPr>
          <w:rFonts w:ascii="Arial" w:cs="Arial" w:eastAsia="Arial" w:hAnsi="Arial"/>
          <w:sz w:val="15"/>
          <w:szCs w:val="15"/>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55" w:lineRule="exact"/>
        <w:rPr>
          <w:sz w:val="20"/>
          <w:szCs w:val="20"/>
          <w:color w:val="auto"/>
        </w:rPr>
      </w:pPr>
    </w:p>
    <w:p>
      <w:pPr>
        <w:ind w:right="40" w:firstLine="751"/>
        <w:spacing w:after="0" w:line="290" w:lineRule="auto"/>
        <w:rPr>
          <w:sz w:val="20"/>
          <w:szCs w:val="20"/>
          <w:color w:val="auto"/>
        </w:rPr>
      </w:pPr>
      <w:r>
        <w:rPr>
          <w:rFonts w:ascii="Arial" w:cs="Arial" w:eastAsia="Arial" w:hAnsi="Arial"/>
          <w:sz w:val="14"/>
          <w:szCs w:val="14"/>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35" w:lineRule="exact"/>
        <w:rPr>
          <w:sz w:val="20"/>
          <w:szCs w:val="20"/>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restrictions on manufacturing or distribution, or marketing of such products;</w:t>
      </w:r>
    </w:p>
    <w:p>
      <w:pPr>
        <w:spacing w:after="0" w:line="84" w:lineRule="exact"/>
        <w:rPr>
          <w:rFonts w:ascii="Arial" w:cs="Arial" w:eastAsia="Arial" w:hAnsi="Arial"/>
          <w:sz w:val="15"/>
          <w:szCs w:val="15"/>
          <w:color w:val="auto"/>
        </w:rPr>
      </w:pPr>
    </w:p>
    <w:p>
      <w:pPr>
        <w:ind w:left="1040" w:right="60" w:hanging="520"/>
        <w:spacing w:after="0" w:line="255" w:lineRule="auto"/>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restrictions on the labeling, including required additional warnings, such as black box warnings, contraindications, precautions, and restrictions on the approved indication or use;</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modifications to promotional pieces;</w:t>
      </w:r>
    </w:p>
    <w:p>
      <w:pPr>
        <w:spacing w:after="0" w:line="84"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requirements to conduct post</w:t>
      </w:r>
      <w:r>
        <w:rPr>
          <w:rFonts w:ascii="MS PGothic" w:cs="MS PGothic" w:eastAsia="MS PGothic" w:hAnsi="MS PGothic"/>
          <w:sz w:val="15"/>
          <w:szCs w:val="15"/>
          <w:color w:val="auto"/>
        </w:rPr>
        <w:t>‑</w:t>
      </w:r>
      <w:r>
        <w:rPr>
          <w:rFonts w:ascii="Arial" w:cs="Arial" w:eastAsia="Arial" w:hAnsi="Arial"/>
          <w:sz w:val="15"/>
          <w:szCs w:val="15"/>
          <w:color w:val="auto"/>
        </w:rPr>
        <w:t>marketing studies or clinical trials; clinical holds or termination of clinical trials;</w:t>
      </w:r>
    </w:p>
    <w:p>
      <w:pPr>
        <w:spacing w:after="0" w:line="84" w:lineRule="exact"/>
        <w:rPr>
          <w:rFonts w:ascii="Arial" w:cs="Arial" w:eastAsia="Arial" w:hAnsi="Arial"/>
          <w:sz w:val="15"/>
          <w:szCs w:val="15"/>
          <w:color w:val="auto"/>
        </w:rPr>
      </w:pPr>
    </w:p>
    <w:p>
      <w:pPr>
        <w:jc w:val="both"/>
        <w:ind w:left="1040" w:right="20" w:hanging="520"/>
        <w:spacing w:after="0" w:line="244" w:lineRule="auto"/>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65"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to the way the drug is administered;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liability for harm caused to patients or subjects;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reputational harm;</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drug becoming less competitive;</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warning; or untitled letters;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suspension of marketing or withdrawal of the products from the market;</w:t>
      </w:r>
    </w:p>
    <w:p>
      <w:pPr>
        <w:spacing w:after="0" w:line="84" w:lineRule="exact"/>
        <w:rPr>
          <w:rFonts w:ascii="Arial" w:cs="Arial" w:eastAsia="Arial" w:hAnsi="Arial"/>
          <w:sz w:val="15"/>
          <w:szCs w:val="15"/>
          <w:color w:val="auto"/>
        </w:rPr>
      </w:pPr>
    </w:p>
    <w:p>
      <w:pPr>
        <w:ind w:left="1040" w:right="240" w:hanging="520"/>
        <w:spacing w:after="0" w:line="255" w:lineRule="auto"/>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regulatory authority issuance of safety alerts, Dear Healthcare Provider letters, press releases, or other communications containing warnings or other safety information about the drug;</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recall of products;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fines, damages, restitution, or disgorgement of profits or revenues;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84" w:lineRule="exact"/>
        <w:rPr>
          <w:rFonts w:ascii="Arial" w:cs="Arial" w:eastAsia="Arial" w:hAnsi="Arial"/>
          <w:sz w:val="15"/>
          <w:szCs w:val="15"/>
          <w:color w:val="auto"/>
        </w:rPr>
      </w:pPr>
    </w:p>
    <w:p>
      <w:pPr>
        <w:ind w:left="1040" w:right="20" w:hanging="520"/>
        <w:spacing w:after="0" w:line="255" w:lineRule="auto"/>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FDA debarment, debarment from government contracts, and refusal of future orders under existing contracts, exclusion from federal healthcare programs, consent decrees, or corporate integrity agreements; or</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injunctions or the imposition of civil or criminal penalties, including imprisonment.</w:t>
      </w:r>
    </w:p>
    <w:p>
      <w:pPr>
        <w:spacing w:after="0" w:line="174" w:lineRule="exact"/>
        <w:rPr>
          <w:sz w:val="20"/>
          <w:szCs w:val="20"/>
          <w:color w:val="auto"/>
        </w:rPr>
      </w:pPr>
    </w:p>
    <w:p>
      <w:pPr>
        <w:ind w:firstLine="751"/>
        <w:spacing w:after="0"/>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59" w:lineRule="exact"/>
        <w:rPr>
          <w:sz w:val="20"/>
          <w:szCs w:val="20"/>
          <w:color w:val="auto"/>
        </w:rPr>
      </w:pPr>
    </w:p>
    <w:p>
      <w:pPr>
        <w:ind w:right="40" w:firstLine="751"/>
        <w:spacing w:after="0" w:line="290" w:lineRule="auto"/>
        <w:rPr>
          <w:sz w:val="20"/>
          <w:szCs w:val="20"/>
          <w:color w:val="auto"/>
        </w:rPr>
      </w:pPr>
      <w:r>
        <w:rPr>
          <w:rFonts w:ascii="Arial" w:cs="Arial" w:eastAsia="Arial" w:hAnsi="Arial"/>
          <w:sz w:val="14"/>
          <w:szCs w:val="14"/>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63" w:name="page64"/>
    <w:bookmarkEnd w:id="6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540"/>
        <w:spacing w:after="0" w:line="255" w:lineRule="auto"/>
        <w:rPr>
          <w:sz w:val="20"/>
          <w:szCs w:val="20"/>
          <w:color w:val="auto"/>
        </w:rPr>
      </w:pPr>
      <w:r>
        <w:rPr>
          <w:rFonts w:ascii="Arial" w:cs="Arial" w:eastAsia="Arial" w:hAnsi="Arial"/>
          <w:sz w:val="15"/>
          <w:szCs w:val="15"/>
          <w:color w:val="auto"/>
        </w:rPr>
        <w:t>adoption of new requirements or policies, or if we are not able to maintain regulatory compliance, we may lose any marketing approval that we may have obtained and be subject to regulatory enforcement action.</w:t>
      </w:r>
    </w:p>
    <w:p>
      <w:pPr>
        <w:spacing w:after="0" w:line="147" w:lineRule="exact"/>
        <w:rPr>
          <w:sz w:val="20"/>
          <w:szCs w:val="20"/>
          <w:color w:val="auto"/>
        </w:rPr>
      </w:pPr>
    </w:p>
    <w:p>
      <w:pPr>
        <w:ind w:right="560" w:firstLine="751"/>
        <w:spacing w:after="0" w:line="178" w:lineRule="exact"/>
        <w:rPr>
          <w:sz w:val="20"/>
          <w:szCs w:val="20"/>
          <w:color w:val="auto"/>
        </w:rPr>
      </w:pPr>
      <w:r>
        <w:rPr>
          <w:rFonts w:ascii="Arial" w:cs="Arial" w:eastAsia="Arial" w:hAnsi="Arial"/>
          <w:sz w:val="15"/>
          <w:szCs w:val="15"/>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5"/>
          <w:szCs w:val="15"/>
          <w:color w:val="auto"/>
        </w:rPr>
        <w:t>‑</w:t>
      </w:r>
      <w:r>
        <w:rPr>
          <w:rFonts w:ascii="Arial" w:cs="Arial" w:eastAsia="Arial" w:hAnsi="Arial"/>
          <w:sz w:val="15"/>
          <w:szCs w:val="15"/>
          <w:color w:val="auto"/>
        </w:rPr>
        <w:t>approval regulations may have a negative effect on our operating results and financial condition.</w:t>
      </w:r>
    </w:p>
    <w:p>
      <w:pPr>
        <w:spacing w:after="0" w:line="148"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b w:val="1"/>
          <w:bCs w:val="1"/>
          <w:i w:val="1"/>
          <w:iCs w:val="1"/>
          <w:color w:val="auto"/>
        </w:rPr>
        <w:t>Timelines for the review of our regulatory submissions, including our NDA for AXS-05, by the FDA and other regulatory agencies are subject to change and uncertainty, which may delay the potential approval of any product candidates we seek to develop or commercialize.</w:t>
      </w:r>
    </w:p>
    <w:p>
      <w:pPr>
        <w:spacing w:after="0" w:line="147" w:lineRule="exact"/>
        <w:rPr>
          <w:sz w:val="20"/>
          <w:szCs w:val="20"/>
          <w:color w:val="auto"/>
        </w:rPr>
      </w:pPr>
    </w:p>
    <w:p>
      <w:pPr>
        <w:ind w:right="200" w:firstLine="751"/>
        <w:spacing w:after="0" w:line="244" w:lineRule="auto"/>
        <w:rPr>
          <w:sz w:val="20"/>
          <w:szCs w:val="20"/>
          <w:color w:val="auto"/>
        </w:rPr>
      </w:pPr>
      <w:r>
        <w:rPr>
          <w:rFonts w:ascii="Arial" w:cs="Arial" w:eastAsia="Arial" w:hAnsi="Arial"/>
          <w:sz w:val="15"/>
          <w:szCs w:val="15"/>
          <w:color w:val="auto"/>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w:t>
      </w:r>
    </w:p>
    <w:p>
      <w:pPr>
        <w:spacing w:after="0" w:line="155" w:lineRule="exact"/>
        <w:rPr>
          <w:sz w:val="20"/>
          <w:szCs w:val="20"/>
          <w:color w:val="auto"/>
        </w:rPr>
      </w:pPr>
    </w:p>
    <w:p>
      <w:pPr>
        <w:ind w:right="160" w:firstLine="751"/>
        <w:spacing w:after="0"/>
        <w:rPr>
          <w:sz w:val="20"/>
          <w:szCs w:val="20"/>
          <w:color w:val="auto"/>
        </w:rPr>
      </w:pPr>
      <w:r>
        <w:rPr>
          <w:rFonts w:ascii="Arial" w:cs="Arial" w:eastAsia="Arial" w:hAnsi="Arial"/>
          <w:sz w:val="15"/>
          <w:szCs w:val="15"/>
          <w:color w:val="auto"/>
        </w:rPr>
        <w:t>For example, although the FDA set a PDUFA target action date of August 22, 2021, for our NDA for AXS-05 for the treatment of MDD, its review of our NDA was not completed on such date and remains ongoing. Although we believe that we have addressed all deficiencies known to us related to the NDA in our responses to the FDA, the FDA’s review process for the NDA is not yet complete. Delays or uncertainty in the timing of regulatory action in response to our submissions could adversely impact our development and commercialization efforts and our business prospects.</w:t>
      </w:r>
    </w:p>
    <w:p>
      <w:pPr>
        <w:spacing w:after="0" w:line="159"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47" w:lineRule="exact"/>
        <w:rPr>
          <w:sz w:val="20"/>
          <w:szCs w:val="20"/>
          <w:color w:val="auto"/>
        </w:rPr>
      </w:pPr>
    </w:p>
    <w:p>
      <w:pPr>
        <w:ind w:right="180" w:firstLine="751"/>
        <w:spacing w:after="0" w:line="255" w:lineRule="auto"/>
        <w:rPr>
          <w:sz w:val="20"/>
          <w:szCs w:val="20"/>
          <w:color w:val="auto"/>
        </w:rPr>
      </w:pPr>
      <w:r>
        <w:rPr>
          <w:rFonts w:ascii="Arial" w:cs="Arial" w:eastAsia="Arial" w:hAnsi="Arial"/>
          <w:sz w:val="15"/>
          <w:szCs w:val="15"/>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58" w:lineRule="exact"/>
        <w:rPr>
          <w:sz w:val="20"/>
          <w:szCs w:val="20"/>
          <w:color w:val="auto"/>
        </w:rPr>
      </w:pPr>
    </w:p>
    <w:p>
      <w:pPr>
        <w:ind w:left="1040" w:hanging="520"/>
        <w:spacing w:after="0"/>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different regulatory requirements for approval of drugs in foreign countries;</w:t>
      </w:r>
    </w:p>
    <w:p>
      <w:pPr>
        <w:spacing w:after="0" w:line="84" w:lineRule="exact"/>
        <w:rPr>
          <w:rFonts w:ascii="Arial" w:cs="Arial" w:eastAsia="Arial" w:hAnsi="Arial"/>
          <w:sz w:val="15"/>
          <w:szCs w:val="15"/>
          <w:color w:val="auto"/>
        </w:rPr>
      </w:pPr>
    </w:p>
    <w:p>
      <w:pPr>
        <w:ind w:left="1040" w:right="200" w:hanging="520"/>
        <w:spacing w:after="0" w:line="178" w:lineRule="exact"/>
        <w:tabs>
          <w:tab w:leader="none" w:pos="10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potential for so</w:t>
      </w:r>
      <w:r>
        <w:rPr>
          <w:rFonts w:ascii="MS PGothic" w:cs="MS PGothic" w:eastAsia="MS PGothic" w:hAnsi="MS PGothic"/>
          <w:sz w:val="13"/>
          <w:szCs w:val="13"/>
          <w:color w:val="auto"/>
        </w:rPr>
        <w:t>‑</w:t>
      </w:r>
      <w:r>
        <w:rPr>
          <w:rFonts w:ascii="Arial" w:cs="Arial" w:eastAsia="Arial" w:hAnsi="Arial"/>
          <w:sz w:val="13"/>
          <w:szCs w:val="13"/>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69" w:lineRule="exact"/>
        <w:rPr>
          <w:rFonts w:ascii="Arial" w:cs="Arial" w:eastAsia="Arial" w:hAnsi="Arial"/>
          <w:sz w:val="13"/>
          <w:szCs w:val="13"/>
          <w:color w:val="auto"/>
        </w:rPr>
      </w:pPr>
    </w:p>
    <w:p>
      <w:pPr>
        <w:ind w:left="1040" w:right="380" w:hanging="520"/>
        <w:spacing w:after="0" w:line="255" w:lineRule="auto"/>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57" w:lineRule="exact"/>
        <w:rPr>
          <w:rFonts w:ascii="Arial" w:cs="Arial" w:eastAsia="Arial" w:hAnsi="Arial"/>
          <w:sz w:val="15"/>
          <w:szCs w:val="15"/>
          <w:color w:val="auto"/>
        </w:rPr>
      </w:pPr>
    </w:p>
    <w:p>
      <w:pPr>
        <w:ind w:left="1040" w:right="160" w:hanging="520"/>
        <w:spacing w:after="0" w:line="255" w:lineRule="auto"/>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challenges enforcing our contractual and intellectual property rights, especially in those foreign countries that do not respect and protect intellectual property rights to the same extent as the United States;</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unexpected changes in tariffs, trade barriers, and regulatory requirements and in the health care policies of foreign jurisdictions;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economic weakness, including inflation, or political instability in particular foreign economies and markets;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compliance with tax, employment, immigration, and labor laws for employees living or traveling abroad;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foreign taxes, including withholding of payroll taxes;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foreign currency fluctuations, which could result in increased operating expenses and reduced revenues, and other obligations incident to doing business in another country;</w:t>
      </w:r>
    </w:p>
    <w:p>
      <w:pPr>
        <w:spacing w:after="0" w:line="107" w:lineRule="exact"/>
        <w:rPr>
          <w:rFonts w:ascii="Arial" w:cs="Arial" w:eastAsia="Arial" w:hAnsi="Arial"/>
          <w:sz w:val="13"/>
          <w:szCs w:val="13"/>
          <w:color w:val="auto"/>
        </w:rPr>
      </w:pPr>
    </w:p>
    <w:p>
      <w:pPr>
        <w:ind w:left="1040" w:hanging="520"/>
        <w:spacing w:after="0"/>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difficulties staffing and managing foreign operations;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workforce uncertainty in countries where labor unrest is more common than in the United States and worker rights tend to be stronger;</w:t>
      </w:r>
    </w:p>
    <w:p>
      <w:pPr>
        <w:spacing w:after="0" w:line="84" w:lineRule="exact"/>
        <w:rPr>
          <w:rFonts w:ascii="Arial" w:cs="Arial" w:eastAsia="Arial" w:hAnsi="Arial"/>
          <w:sz w:val="15"/>
          <w:szCs w:val="15"/>
          <w:color w:val="auto"/>
        </w:rPr>
      </w:pPr>
    </w:p>
    <w:p>
      <w:pPr>
        <w:ind w:left="1040" w:right="40" w:hanging="520"/>
        <w:spacing w:after="0" w:line="255" w:lineRule="auto"/>
        <w:tabs>
          <w:tab w:leader="none" w:pos="10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costs of compliance with U.S. laws and regulations for foreign operations, including the Foreign Corrupt Practices Act or comparable foreign regulations, and the risks and costs of noncompliance;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64" w:name="page65"/>
    <w:bookmarkEnd w:id="6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hanging="520"/>
        <w:spacing w:after="0"/>
        <w:tabs>
          <w:tab w:leader="none" w:pos="10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production shortages resulting from any events affecting raw material supply or manufacturing capabilities abroad;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including war and terrorism, or natural disasters including earthquakes, typhoons, floods, and fires.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These and other risks associated with our international operations may materially adversely affect our ability to attain or maintain profitable operations.</w:t>
      </w:r>
    </w:p>
    <w:p>
      <w:pPr>
        <w:spacing w:after="0" w:line="174" w:lineRule="exact"/>
        <w:rPr>
          <w:sz w:val="20"/>
          <w:szCs w:val="20"/>
          <w:color w:val="auto"/>
        </w:rPr>
      </w:pPr>
    </w:p>
    <w:p>
      <w:pPr>
        <w:ind w:right="200"/>
        <w:spacing w:after="0" w:line="255" w:lineRule="auto"/>
        <w:rPr>
          <w:sz w:val="20"/>
          <w:szCs w:val="20"/>
          <w:color w:val="auto"/>
        </w:rPr>
      </w:pPr>
      <w:r>
        <w:rPr>
          <w:rFonts w:ascii="Arial" w:cs="Arial" w:eastAsia="Arial" w:hAnsi="Arial"/>
          <w:sz w:val="15"/>
          <w:szCs w:val="15"/>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47" w:lineRule="exact"/>
        <w:rPr>
          <w:sz w:val="20"/>
          <w:szCs w:val="20"/>
          <w:color w:val="auto"/>
        </w:rPr>
      </w:pPr>
    </w:p>
    <w:p>
      <w:pPr>
        <w:ind w:right="40" w:firstLine="751"/>
        <w:spacing w:after="0" w:line="256" w:lineRule="auto"/>
        <w:rPr>
          <w:sz w:val="20"/>
          <w:szCs w:val="20"/>
          <w:color w:val="auto"/>
        </w:rPr>
      </w:pPr>
      <w:r>
        <w:rPr>
          <w:rFonts w:ascii="Arial" w:cs="Arial" w:eastAsia="Arial" w:hAnsi="Arial"/>
          <w:sz w:val="14"/>
          <w:szCs w:val="14"/>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COMMERCIALIZATION OF OUR PRODUCT CANDIDATES</w:t>
      </w:r>
    </w:p>
    <w:p>
      <w:pPr>
        <w:spacing w:after="0" w:line="178" w:lineRule="exact"/>
        <w:rPr>
          <w:sz w:val="20"/>
          <w:szCs w:val="20"/>
          <w:color w:val="auto"/>
        </w:rPr>
      </w:pPr>
    </w:p>
    <w:p>
      <w:pPr>
        <w:ind w:right="620"/>
        <w:spacing w:after="0" w:line="255"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47" w:lineRule="exact"/>
        <w:rPr>
          <w:sz w:val="20"/>
          <w:szCs w:val="20"/>
          <w:color w:val="auto"/>
        </w:rPr>
      </w:pPr>
    </w:p>
    <w:p>
      <w:pPr>
        <w:ind w:right="40" w:firstLine="751"/>
        <w:spacing w:after="0" w:line="284" w:lineRule="auto"/>
        <w:rPr>
          <w:sz w:val="20"/>
          <w:szCs w:val="20"/>
          <w:color w:val="auto"/>
        </w:rPr>
      </w:pPr>
      <w:r>
        <w:rPr>
          <w:rFonts w:ascii="Arial" w:cs="Arial" w:eastAsia="Arial" w:hAnsi="Arial"/>
          <w:sz w:val="13"/>
          <w:szCs w:val="13"/>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32" w:lineRule="exact"/>
        <w:rPr>
          <w:sz w:val="20"/>
          <w:szCs w:val="20"/>
          <w:color w:val="auto"/>
        </w:rPr>
      </w:pPr>
    </w:p>
    <w:p>
      <w:pPr>
        <w:ind w:right="60" w:firstLine="751"/>
        <w:spacing w:after="0" w:line="289" w:lineRule="auto"/>
        <w:rPr>
          <w:sz w:val="20"/>
          <w:szCs w:val="20"/>
          <w:color w:val="auto"/>
        </w:rPr>
      </w:pPr>
      <w:r>
        <w:rPr>
          <w:rFonts w:ascii="Arial" w:cs="Arial" w:eastAsia="Arial" w:hAnsi="Arial"/>
          <w:sz w:val="13"/>
          <w:szCs w:val="13"/>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Biohaven Pharmaceutical Holding Company Ltd.; Eli Lilly and Company; H. Lundbeck A/S; Harmony Biosciences; Intra-Cellular Therapies, Inc.; Janssen; Jazz Pharmaceuticals plc; Otsuka Pharmaceutical Co. Ltd.; Relmada Therapeutics Inc.; Sage Therapeutics, Inc.; and Takeda Pharmaceutical Company Limited.</w:t>
      </w:r>
    </w:p>
    <w:p>
      <w:pPr>
        <w:spacing w:after="0" w:line="129" w:lineRule="exact"/>
        <w:rPr>
          <w:sz w:val="20"/>
          <w:szCs w:val="20"/>
          <w:color w:val="auto"/>
        </w:rPr>
      </w:pPr>
    </w:p>
    <w:p>
      <w:pPr>
        <w:ind w:firstLine="751"/>
        <w:spacing w:after="0" w:line="172" w:lineRule="exact"/>
        <w:rPr>
          <w:sz w:val="20"/>
          <w:szCs w:val="20"/>
          <w:color w:val="auto"/>
        </w:rPr>
      </w:pPr>
      <w:r>
        <w:rPr>
          <w:rFonts w:ascii="Arial" w:cs="Arial" w:eastAsia="Arial" w:hAnsi="Arial"/>
          <w:sz w:val="15"/>
          <w:szCs w:val="15"/>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5"/>
          <w:szCs w:val="15"/>
          <w:color w:val="auto"/>
        </w:rPr>
        <w:t>‑</w:t>
      </w:r>
      <w:r>
        <w:rPr>
          <w:rFonts w:ascii="Arial" w:cs="Arial" w:eastAsia="Arial" w:hAnsi="Arial"/>
          <w:sz w:val="15"/>
          <w:szCs w:val="15"/>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65" w:name="page66"/>
    <w:bookmarkEnd w:id="6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00" w:firstLine="751"/>
        <w:spacing w:after="0" w:line="238" w:lineRule="auto"/>
        <w:rPr>
          <w:sz w:val="20"/>
          <w:szCs w:val="20"/>
          <w:color w:val="auto"/>
        </w:rPr>
      </w:pPr>
      <w:r>
        <w:rPr>
          <w:rFonts w:ascii="Arial" w:cs="Arial" w:eastAsia="Arial" w:hAnsi="Arial"/>
          <w:sz w:val="15"/>
          <w:szCs w:val="15"/>
          <w:color w:val="auto"/>
        </w:rPr>
        <w:t>Generic forms of the active ingredients of our product candidates, including zoledronic acid, dextromethorphan, bupropion, meloxicam, rizatriptan, reboxetine, and esomeprazole,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61"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180"/>
        <w:spacing w:after="0" w:line="331" w:lineRule="auto"/>
        <w:rPr>
          <w:sz w:val="20"/>
          <w:szCs w:val="20"/>
          <w:color w:val="auto"/>
        </w:rPr>
      </w:pPr>
      <w:r>
        <w:rPr>
          <w:rFonts w:ascii="Arial" w:cs="Arial" w:eastAsia="Arial" w:hAnsi="Arial"/>
          <w:sz w:val="13"/>
          <w:szCs w:val="13"/>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01" w:lineRule="exact"/>
        <w:rPr>
          <w:sz w:val="20"/>
          <w:szCs w:val="20"/>
          <w:color w:val="auto"/>
        </w:rPr>
      </w:pPr>
    </w:p>
    <w:p>
      <w:pPr>
        <w:ind w:right="80" w:firstLine="751"/>
        <w:spacing w:after="0" w:line="171" w:lineRule="exact"/>
        <w:rPr>
          <w:sz w:val="20"/>
          <w:szCs w:val="20"/>
          <w:color w:val="auto"/>
        </w:rPr>
      </w:pPr>
      <w:r>
        <w:rPr>
          <w:rFonts w:ascii="Arial" w:cs="Arial" w:eastAsia="Arial" w:hAnsi="Arial"/>
          <w:sz w:val="14"/>
          <w:szCs w:val="14"/>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4"/>
          <w:szCs w:val="14"/>
          <w:color w:val="auto"/>
        </w:rPr>
        <w:t>‑</w:t>
      </w:r>
      <w:r>
        <w:rPr>
          <w:rFonts w:ascii="Arial" w:cs="Arial" w:eastAsia="Arial" w:hAnsi="Arial"/>
          <w:sz w:val="14"/>
          <w:szCs w:val="14"/>
          <w:color w:val="auto"/>
        </w:rPr>
        <w:t>party payors. Thus, following the introduction of a generic drug, a significant percentage of the sales of any branded product or reference listed drug is typically lost to the generic product.</w:t>
      </w:r>
    </w:p>
    <w:p>
      <w:pPr>
        <w:spacing w:after="0" w:line="159" w:lineRule="exact"/>
        <w:rPr>
          <w:sz w:val="20"/>
          <w:szCs w:val="20"/>
          <w:color w:val="auto"/>
        </w:rPr>
      </w:pPr>
    </w:p>
    <w:p>
      <w:pPr>
        <w:ind w:right="200" w:firstLine="751"/>
        <w:spacing w:after="0" w:line="244" w:lineRule="auto"/>
        <w:rPr>
          <w:sz w:val="20"/>
          <w:szCs w:val="20"/>
          <w:color w:val="auto"/>
        </w:rPr>
      </w:pPr>
      <w:r>
        <w:rPr>
          <w:rFonts w:ascii="Arial" w:cs="Arial" w:eastAsia="Arial" w:hAnsi="Arial"/>
          <w:sz w:val="15"/>
          <w:szCs w:val="15"/>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3"/>
          <w:szCs w:val="13"/>
          <w:color w:val="auto"/>
        </w:rPr>
        <w:t>Further, if we do not file a patent infringement lawsuit against a generic manufacturer within 45 days of receiving notice of its paragraph IV certification, the ANDA or 505(b)</w:t>
      </w:r>
    </w:p>
    <w:p>
      <w:pPr>
        <w:spacing w:after="0" w:line="30" w:lineRule="exact"/>
        <w:rPr>
          <w:sz w:val="20"/>
          <w:szCs w:val="20"/>
          <w:color w:val="auto"/>
        </w:rPr>
      </w:pPr>
    </w:p>
    <w:p>
      <w:pPr>
        <w:ind w:right="40" w:firstLine="9"/>
        <w:spacing w:after="0" w:line="170" w:lineRule="exact"/>
        <w:tabs>
          <w:tab w:leader="none" w:pos="211" w:val="left"/>
        </w:tabs>
        <w:numPr>
          <w:ilvl w:val="0"/>
          <w:numId w:val="29"/>
        </w:numPr>
        <w:rPr>
          <w:rFonts w:ascii="Arial" w:cs="Arial" w:eastAsia="Arial" w:hAnsi="Arial"/>
          <w:sz w:val="15"/>
          <w:szCs w:val="15"/>
          <w:color w:val="auto"/>
        </w:rPr>
      </w:pPr>
      <w:r>
        <w:rPr>
          <w:rFonts w:ascii="Arial" w:cs="Arial" w:eastAsia="Arial" w:hAnsi="Arial"/>
          <w:sz w:val="15"/>
          <w:szCs w:val="15"/>
          <w:color w:val="auto"/>
        </w:rPr>
        <w:t>applicant may not be subject to a 30</w:t>
      </w:r>
      <w:r>
        <w:rPr>
          <w:rFonts w:ascii="MS PGothic" w:cs="MS PGothic" w:eastAsia="MS PGothic" w:hAnsi="MS PGothic"/>
          <w:sz w:val="15"/>
          <w:szCs w:val="15"/>
          <w:color w:val="auto"/>
        </w:rPr>
        <w:t>‑</w:t>
      </w:r>
      <w:r>
        <w:rPr>
          <w:rFonts w:ascii="Arial" w:cs="Arial" w:eastAsia="Arial" w:hAnsi="Arial"/>
          <w:sz w:val="15"/>
          <w:szCs w:val="15"/>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58" w:lineRule="exact"/>
        <w:rPr>
          <w:sz w:val="20"/>
          <w:szCs w:val="20"/>
          <w:color w:val="auto"/>
        </w:rPr>
      </w:pPr>
    </w:p>
    <w:p>
      <w:pPr>
        <w:ind w:right="100" w:firstLine="751"/>
        <w:spacing w:after="0" w:line="260" w:lineRule="auto"/>
        <w:rPr>
          <w:sz w:val="20"/>
          <w:szCs w:val="20"/>
          <w:color w:val="auto"/>
        </w:rPr>
      </w:pPr>
      <w:r>
        <w:rPr>
          <w:rFonts w:ascii="Arial" w:cs="Arial" w:eastAsia="Arial" w:hAnsi="Arial"/>
          <w:sz w:val="14"/>
          <w:szCs w:val="14"/>
          <w:color w:val="auto"/>
        </w:rPr>
        <w:t>We currently anticipate that we may be eligible for three years of non-patent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non-patent protection may not prevent FDA making an approval effective.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66" w:name="page67"/>
    <w:bookmarkEnd w:id="6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80" w:firstLine="751"/>
        <w:spacing w:after="0" w:line="255" w:lineRule="auto"/>
        <w:rPr>
          <w:sz w:val="20"/>
          <w:szCs w:val="20"/>
          <w:color w:val="auto"/>
        </w:rPr>
      </w:pPr>
      <w:r>
        <w:rPr>
          <w:rFonts w:ascii="Arial" w:cs="Arial" w:eastAsia="Arial" w:hAnsi="Arial"/>
          <w:sz w:val="15"/>
          <w:szCs w:val="15"/>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47" w:lineRule="exact"/>
        <w:rPr>
          <w:sz w:val="20"/>
          <w:szCs w:val="20"/>
          <w:color w:val="auto"/>
        </w:rPr>
      </w:pPr>
    </w:p>
    <w:p>
      <w:pPr>
        <w:ind w:right="220"/>
        <w:spacing w:after="0" w:line="331" w:lineRule="auto"/>
        <w:rPr>
          <w:sz w:val="20"/>
          <w:szCs w:val="20"/>
          <w:color w:val="auto"/>
        </w:rPr>
      </w:pPr>
      <w:r>
        <w:rPr>
          <w:rFonts w:ascii="Arial" w:cs="Arial" w:eastAsia="Arial" w:hAnsi="Arial"/>
          <w:sz w:val="13"/>
          <w:szCs w:val="13"/>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AXS-12 received Orphan Drug Designation from FDA for the treatment of narcolepsy. We may also seek Orphan Drug Designation for our other product candidates, as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appropriate.</w:t>
      </w:r>
    </w:p>
    <w:p>
      <w:pPr>
        <w:spacing w:after="0" w:line="162" w:lineRule="exact"/>
        <w:rPr>
          <w:sz w:val="20"/>
          <w:szCs w:val="20"/>
          <w:color w:val="auto"/>
        </w:rPr>
      </w:pPr>
    </w:p>
    <w:p>
      <w:pPr>
        <w:ind w:firstLine="751"/>
        <w:spacing w:after="0" w:line="257" w:lineRule="auto"/>
        <w:rPr>
          <w:sz w:val="20"/>
          <w:szCs w:val="20"/>
          <w:color w:val="auto"/>
        </w:rPr>
      </w:pPr>
      <w:r>
        <w:rPr>
          <w:rFonts w:ascii="Arial" w:cs="Arial" w:eastAsia="Arial" w:hAnsi="Arial"/>
          <w:sz w:val="14"/>
          <w:szCs w:val="14"/>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50" w:lineRule="exact"/>
        <w:rPr>
          <w:sz w:val="20"/>
          <w:szCs w:val="20"/>
          <w:color w:val="auto"/>
        </w:rPr>
      </w:pPr>
    </w:p>
    <w:p>
      <w:pPr>
        <w:ind w:right="140" w:firstLine="751"/>
        <w:spacing w:after="0" w:line="172" w:lineRule="exact"/>
        <w:rPr>
          <w:sz w:val="20"/>
          <w:szCs w:val="20"/>
          <w:color w:val="auto"/>
        </w:rPr>
      </w:pPr>
      <w:r>
        <w:rPr>
          <w:rFonts w:ascii="Arial" w:cs="Arial" w:eastAsia="Arial" w:hAnsi="Arial"/>
          <w:sz w:val="15"/>
          <w:szCs w:val="15"/>
          <w:color w:val="auto"/>
        </w:rPr>
        <w:t>The FDA or the EMA may grant orphan exclusivity to two different sponsors for the same compound or active molecule and for the same indication. For example, if another sponsor had received FDA approval for a reboxetine</w:t>
      </w:r>
      <w:r>
        <w:rPr>
          <w:rFonts w:ascii="MS PGothic" w:cs="MS PGothic" w:eastAsia="MS PGothic" w:hAnsi="MS PGothic"/>
          <w:sz w:val="15"/>
          <w:szCs w:val="15"/>
          <w:color w:val="auto"/>
        </w:rPr>
        <w:t>‑</w:t>
      </w:r>
      <w:r>
        <w:rPr>
          <w:rFonts w:ascii="Arial" w:cs="Arial" w:eastAsia="Arial" w:hAnsi="Arial"/>
          <w:sz w:val="15"/>
          <w:szCs w:val="15"/>
          <w:color w:val="auto"/>
        </w:rPr>
        <w:t>containing product for the treatment of narcolepsy before we had obtained FDA approval for AXS</w:t>
      </w:r>
      <w:r>
        <w:rPr>
          <w:rFonts w:ascii="MS PGothic" w:cs="MS PGothic" w:eastAsia="MS PGothic" w:hAnsi="MS PGothic"/>
          <w:sz w:val="15"/>
          <w:szCs w:val="15"/>
          <w:color w:val="auto"/>
        </w:rPr>
        <w:t>‑</w:t>
      </w:r>
      <w:r>
        <w:rPr>
          <w:rFonts w:ascii="Arial" w:cs="Arial" w:eastAsia="Arial" w:hAnsi="Arial"/>
          <w:sz w:val="15"/>
          <w:szCs w:val="15"/>
          <w:color w:val="auto"/>
        </w:rPr>
        <w:t>12 for the treatment of narcolepsy, we would have been prevented from launching our product in the United States for this indication for a period of at least 7 years. If another sponsor had received EMA approval for a reboxetine</w:t>
      </w:r>
      <w:r>
        <w:rPr>
          <w:rFonts w:ascii="MS PGothic" w:cs="MS PGothic" w:eastAsia="MS PGothic" w:hAnsi="MS PGothic"/>
          <w:sz w:val="15"/>
          <w:szCs w:val="15"/>
          <w:color w:val="auto"/>
        </w:rPr>
        <w:t>‑</w:t>
      </w:r>
      <w:r>
        <w:rPr>
          <w:rFonts w:ascii="Arial" w:cs="Arial" w:eastAsia="Arial" w:hAnsi="Arial"/>
          <w:sz w:val="15"/>
          <w:szCs w:val="15"/>
          <w:color w:val="auto"/>
        </w:rPr>
        <w:t>containing product for the treatment of narcolepsy before we had obtained EMA approval for AXS</w:t>
      </w:r>
      <w:r>
        <w:rPr>
          <w:rFonts w:ascii="MS PGothic" w:cs="MS PGothic" w:eastAsia="MS PGothic" w:hAnsi="MS PGothic"/>
          <w:sz w:val="15"/>
          <w:szCs w:val="15"/>
          <w:color w:val="auto"/>
        </w:rPr>
        <w:t>‑</w:t>
      </w:r>
      <w:r>
        <w:rPr>
          <w:rFonts w:ascii="Arial" w:cs="Arial" w:eastAsia="Arial" w:hAnsi="Arial"/>
          <w:sz w:val="15"/>
          <w:szCs w:val="15"/>
          <w:color w:val="auto"/>
        </w:rPr>
        <w:t>12 for the treatment of narcolepsy, we would have been prevented from launching our product in the EU for this indication for a period of at least 10 to 12 years.</w:t>
      </w:r>
    </w:p>
    <w:p>
      <w:pPr>
        <w:spacing w:after="0" w:line="161" w:lineRule="exact"/>
        <w:rPr>
          <w:sz w:val="20"/>
          <w:szCs w:val="20"/>
          <w:color w:val="auto"/>
        </w:rPr>
      </w:pPr>
    </w:p>
    <w:p>
      <w:pPr>
        <w:ind w:right="120" w:firstLine="751"/>
        <w:spacing w:after="0"/>
        <w:rPr>
          <w:sz w:val="20"/>
          <w:szCs w:val="20"/>
          <w:color w:val="auto"/>
        </w:rPr>
      </w:pPr>
      <w:r>
        <w:rPr>
          <w:rFonts w:ascii="Arial" w:cs="Arial" w:eastAsia="Arial" w:hAnsi="Arial"/>
          <w:sz w:val="15"/>
          <w:szCs w:val="15"/>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59"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product revenues.</w:t>
      </w:r>
    </w:p>
    <w:p>
      <w:pPr>
        <w:spacing w:after="0" w:line="125" w:lineRule="exact"/>
        <w:rPr>
          <w:sz w:val="20"/>
          <w:szCs w:val="20"/>
          <w:color w:val="auto"/>
        </w:rPr>
      </w:pPr>
    </w:p>
    <w:p>
      <w:pPr>
        <w:ind w:right="100" w:firstLine="751"/>
        <w:spacing w:after="0" w:line="244" w:lineRule="auto"/>
        <w:rPr>
          <w:sz w:val="20"/>
          <w:szCs w:val="20"/>
          <w:color w:val="auto"/>
        </w:rPr>
      </w:pPr>
      <w:r>
        <w:rPr>
          <w:rFonts w:ascii="Arial" w:cs="Arial" w:eastAsia="Arial" w:hAnsi="Arial"/>
          <w:sz w:val="15"/>
          <w:szCs w:val="15"/>
          <w:color w:val="auto"/>
        </w:rPr>
        <w:t>We are currently building a commercial infrastructure for the marketing, sale, and distribution of pharmaceutical products, which include the creation of a sales force to launch product candidates throughout the United States. This may require additional compliance with a range of federal and state laws. If we commercialize our product candidates outside the United States, we intend to partner with marketing and sales collaborators, rather than with our own sales force.</w:t>
      </w:r>
    </w:p>
    <w:p>
      <w:pPr>
        <w:spacing w:after="0" w:line="155" w:lineRule="exact"/>
        <w:rPr>
          <w:sz w:val="20"/>
          <w:szCs w:val="20"/>
          <w:color w:val="auto"/>
        </w:rPr>
      </w:pPr>
    </w:p>
    <w:p>
      <w:pPr>
        <w:ind w:right="160" w:firstLine="751"/>
        <w:spacing w:after="0" w:line="281" w:lineRule="auto"/>
        <w:rPr>
          <w:sz w:val="20"/>
          <w:szCs w:val="20"/>
          <w:color w:val="auto"/>
        </w:rPr>
      </w:pPr>
      <w:r>
        <w:rPr>
          <w:rFonts w:ascii="Arial" w:cs="Arial" w:eastAsia="Arial" w:hAnsi="Arial"/>
          <w:sz w:val="13"/>
          <w:szCs w:val="13"/>
          <w:color w:val="auto"/>
        </w:rPr>
        <w:t>We have no prior experience in the marketing, sale, and distribution of pharmaceutical products, and there are significant risks involved in the building and managing of a commercial infrastructure. Our role as an NDA holder (if we obtain approval) and a virtual manufacturer, along with the establishment and development of our commercial infrastructure, our own sales force, and related compliance plans to market any products we may develop, will be expensive and time consuming and could delay any product launch, and we may not be able to successfully develop these capabilities. We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67" w:name="page68"/>
    <w:bookmarkEnd w:id="6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inability to recruit, train, manage, and retain adequate numbers of effective sales and marketing personnel;</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inability of sales personnel to obtain access to physicians or persuade adequate numbers of physicians to prescribe any of our current or future product candidates;</w:t>
      </w:r>
    </w:p>
    <w:p>
      <w:pPr>
        <w:spacing w:after="0" w:line="107" w:lineRule="exact"/>
        <w:rPr>
          <w:rFonts w:ascii="Arial" w:cs="Arial" w:eastAsia="Arial" w:hAnsi="Arial"/>
          <w:sz w:val="13"/>
          <w:szCs w:val="13"/>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inability of sales personnel to travel and/or arrange in-person meetings with physicians due to the ongoing COVID-19 pandemic;</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inability to effectively oversee a geographically dispersed sales and marketing team;</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application of federal and state drug distribution and supply chain requirements to our business;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costs associated with training sales and marketing personnel on legal and regulatory compliance matters and monitoring their actions;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 inability to secure adequate coverage and reimbursement by government and private health plans;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clinical indications and labeled claims for which the product is approved;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limitations or warnings, including distribution or use restrictions, contained in the product’s approved labeling;</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distribution and use restrictions imposed by the FDA or to which we agree as part of a mandatory REMS or voluntary risk management plan;</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liability for sales or marketing personnel who fail to comply with the applicable legal and regulatory requirements;</w:t>
      </w:r>
    </w:p>
    <w:p>
      <w:pPr>
        <w:spacing w:after="0" w:line="84" w:lineRule="exact"/>
        <w:rPr>
          <w:rFonts w:ascii="Arial" w:cs="Arial" w:eastAsia="Arial" w:hAnsi="Arial"/>
          <w:sz w:val="15"/>
          <w:szCs w:val="15"/>
          <w:color w:val="auto"/>
        </w:rPr>
      </w:pPr>
    </w:p>
    <w:p>
      <w:pPr>
        <w:ind w:left="1040" w:right="180" w:hanging="520"/>
        <w:spacing w:after="0" w:line="255" w:lineRule="auto"/>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lack of complementary products to be offered by sales personnel, which may put us at a competitive disadvantage relative to companies with more extensive product lines; and</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or engaging a contract sales organization.</w:t>
      </w:r>
    </w:p>
    <w:p>
      <w:pPr>
        <w:spacing w:after="0" w:line="174" w:lineRule="exact"/>
        <w:rPr>
          <w:sz w:val="20"/>
          <w:szCs w:val="20"/>
          <w:color w:val="auto"/>
        </w:rPr>
      </w:pPr>
    </w:p>
    <w:p>
      <w:pPr>
        <w:ind w:right="20" w:firstLine="751"/>
        <w:spacing w:after="0"/>
        <w:rPr>
          <w:sz w:val="20"/>
          <w:szCs w:val="20"/>
          <w:color w:val="auto"/>
        </w:rPr>
      </w:pPr>
      <w:r>
        <w:rPr>
          <w:rFonts w:ascii="Arial" w:cs="Arial" w:eastAsia="Arial" w:hAnsi="Arial"/>
          <w:sz w:val="15"/>
          <w:szCs w:val="15"/>
          <w:color w:val="auto"/>
        </w:rPr>
        <w:t>As we build our commercial infrastructure prior to approval of a product candidate by the FDA,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any of our current or future product candidates do not achieve broad market acceptance, the revenues that we generate from their sales will be limited.</w:t>
      </w:r>
    </w:p>
    <w:p>
      <w:pPr>
        <w:spacing w:after="0" w:line="174" w:lineRule="exact"/>
        <w:rPr>
          <w:sz w:val="20"/>
          <w:szCs w:val="20"/>
          <w:color w:val="auto"/>
        </w:rPr>
      </w:pPr>
    </w:p>
    <w:p>
      <w:pPr>
        <w:ind w:firstLine="751"/>
        <w:spacing w:after="0" w:line="236" w:lineRule="auto"/>
        <w:rPr>
          <w:sz w:val="20"/>
          <w:szCs w:val="20"/>
          <w:color w:val="auto"/>
        </w:rPr>
      </w:pPr>
      <w:r>
        <w:rPr>
          <w:rFonts w:ascii="Arial" w:cs="Arial" w:eastAsia="Arial" w:hAnsi="Arial"/>
          <w:sz w:val="15"/>
          <w:szCs w:val="15"/>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60" w:lineRule="exact"/>
        <w:rPr>
          <w:sz w:val="20"/>
          <w:szCs w:val="20"/>
          <w:color w:val="auto"/>
        </w:rPr>
      </w:pPr>
    </w:p>
    <w:p>
      <w:pPr>
        <w:ind w:right="140" w:firstLine="751"/>
        <w:spacing w:after="0" w:line="331" w:lineRule="auto"/>
        <w:rPr>
          <w:sz w:val="20"/>
          <w:szCs w:val="20"/>
          <w:color w:val="auto"/>
        </w:rPr>
      </w:pPr>
      <w:r>
        <w:rPr>
          <w:rFonts w:ascii="Arial" w:cs="Arial" w:eastAsia="Arial" w:hAnsi="Arial"/>
          <w:sz w:val="13"/>
          <w:szCs w:val="13"/>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68" w:name="page69"/>
    <w:bookmarkEnd w:id="6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profitable. The degree of market acceptance of any of our product candidates will depend on a number of factors, including:</w:t>
      </w:r>
    </w:p>
    <w:p>
      <w:pPr>
        <w:spacing w:after="0" w:line="84" w:lineRule="exact"/>
        <w:rPr>
          <w:sz w:val="20"/>
          <w:szCs w:val="20"/>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efficacy of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prevalence and severity of adverse events associated with such product candidate;</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clinical indications for which the product is approved and the approved claims that we may make for the product;</w:t>
      </w:r>
    </w:p>
    <w:p>
      <w:pPr>
        <w:spacing w:after="0" w:line="84" w:lineRule="exact"/>
        <w:rPr>
          <w:rFonts w:ascii="Arial" w:cs="Arial" w:eastAsia="Arial" w:hAnsi="Arial"/>
          <w:sz w:val="15"/>
          <w:szCs w:val="15"/>
          <w:color w:val="auto"/>
        </w:rPr>
      </w:pPr>
    </w:p>
    <w:p>
      <w:pPr>
        <w:ind w:left="1040" w:right="460" w:hanging="520"/>
        <w:spacing w:after="0" w:line="178" w:lineRule="exact"/>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limitations or warnings contained in the product’s FDA</w:t>
      </w:r>
      <w:r>
        <w:rPr>
          <w:rFonts w:ascii="MS PGothic" w:cs="MS PGothic" w:eastAsia="MS PGothic" w:hAnsi="MS PGothic"/>
          <w:sz w:val="15"/>
          <w:szCs w:val="15"/>
          <w:color w:val="auto"/>
        </w:rPr>
        <w:t>‑</w:t>
      </w:r>
      <w:r>
        <w:rPr>
          <w:rFonts w:ascii="Arial" w:cs="Arial" w:eastAsia="Arial" w:hAnsi="Arial"/>
          <w:sz w:val="15"/>
          <w:szCs w:val="15"/>
          <w:color w:val="auto"/>
        </w:rPr>
        <w:t>approved labeling, including potential limitations or warnings for such product candidate, that may be more restrictive than other competitive products;</w:t>
      </w:r>
    </w:p>
    <w:p>
      <w:pPr>
        <w:spacing w:after="0" w:line="69" w:lineRule="exact"/>
        <w:rPr>
          <w:rFonts w:ascii="Arial" w:cs="Arial" w:eastAsia="Arial" w:hAnsi="Arial"/>
          <w:sz w:val="15"/>
          <w:szCs w:val="15"/>
          <w:color w:val="auto"/>
        </w:rPr>
      </w:pPr>
    </w:p>
    <w:p>
      <w:pPr>
        <w:ind w:left="1040" w:right="560" w:hanging="520"/>
        <w:spacing w:after="0" w:line="255" w:lineRule="auto"/>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changes in the standard of care for the targeted indications for such product candidate, which could reduce the marketing impact of any claims that we could make following FDA approval, if obtained;</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relative convenience and ease of administration of such product candidate;</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cost of treatment versus economic and clinical benefit in relation to alternative treatments or therapies;</w:t>
      </w:r>
    </w:p>
    <w:p>
      <w:pPr>
        <w:spacing w:after="0" w:line="84" w:lineRule="exact"/>
        <w:rPr>
          <w:rFonts w:ascii="Arial" w:cs="Arial" w:eastAsia="Arial" w:hAnsi="Arial"/>
          <w:sz w:val="15"/>
          <w:szCs w:val="15"/>
          <w:color w:val="auto"/>
        </w:rPr>
      </w:pPr>
    </w:p>
    <w:p>
      <w:pPr>
        <w:ind w:left="1040" w:right="40" w:hanging="520"/>
        <w:spacing w:after="0" w:line="255" w:lineRule="auto"/>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availability of adequate coverage or reimbursement by third parties, such as insurance companies and other healthcare payors, and by government healthcare programs, including Medicare and Medicaid;</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willingness of third-party payors to prefer similar but less expensive products even if not approved for our product’s indication;</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extent and strength of our marketing and distribution of such product candidate;</w:t>
      </w:r>
    </w:p>
    <w:p>
      <w:pPr>
        <w:spacing w:after="0" w:line="84" w:lineRule="exact"/>
        <w:rPr>
          <w:rFonts w:ascii="Arial" w:cs="Arial" w:eastAsia="Arial" w:hAnsi="Arial"/>
          <w:sz w:val="15"/>
          <w:szCs w:val="15"/>
          <w:color w:val="auto"/>
        </w:rPr>
      </w:pPr>
    </w:p>
    <w:p>
      <w:pPr>
        <w:ind w:left="1040" w:right="440" w:hanging="520"/>
        <w:spacing w:after="0" w:line="255" w:lineRule="auto"/>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safety, efficacy, and other potential advantages over, and availability of, alternative treatments already used or that may later be approved for any of our intended indications;</w:t>
      </w:r>
    </w:p>
    <w:p>
      <w:pPr>
        <w:spacing w:after="0" w:line="57" w:lineRule="exact"/>
        <w:rPr>
          <w:rFonts w:ascii="Arial" w:cs="Arial" w:eastAsia="Arial" w:hAnsi="Arial"/>
          <w:sz w:val="15"/>
          <w:szCs w:val="15"/>
          <w:color w:val="auto"/>
        </w:rPr>
      </w:pPr>
    </w:p>
    <w:p>
      <w:pPr>
        <w:ind w:left="1040" w:right="280" w:hanging="520"/>
        <w:spacing w:after="0" w:line="255" w:lineRule="auto"/>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distribution and use restrictions imposed by the FDA with respect to such product candidate or to which we agree as part of a mandatory risk evaluation and mitigation strategy or voluntary risk management plan;</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timing of market introduction of such product candidate, as well as competitive products;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ability to offer such product candidate for sale at competitive prices, including prices that are competitive with generic products;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84" w:lineRule="exact"/>
        <w:rPr>
          <w:rFonts w:ascii="Arial" w:cs="Arial" w:eastAsia="Arial" w:hAnsi="Arial"/>
          <w:sz w:val="15"/>
          <w:szCs w:val="15"/>
          <w:color w:val="auto"/>
        </w:rPr>
      </w:pPr>
    </w:p>
    <w:p>
      <w:pPr>
        <w:ind w:left="1040" w:hanging="520"/>
        <w:spacing w:after="0" w:line="173" w:lineRule="exact"/>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extent and strength of our third</w:t>
      </w:r>
      <w:r>
        <w:rPr>
          <w:rFonts w:ascii="MS PGothic" w:cs="MS PGothic" w:eastAsia="MS PGothic" w:hAnsi="MS PGothic"/>
          <w:sz w:val="15"/>
          <w:szCs w:val="15"/>
          <w:color w:val="auto"/>
        </w:rPr>
        <w:t>‑</w:t>
      </w:r>
      <w:r>
        <w:rPr>
          <w:rFonts w:ascii="Arial" w:cs="Arial" w:eastAsia="Arial" w:hAnsi="Arial"/>
          <w:sz w:val="15"/>
          <w:szCs w:val="15"/>
          <w:color w:val="auto"/>
        </w:rPr>
        <w:t>party manufacturer and supplier support;</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approval of other new products for the same indications;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adverse publicity about the product or favorable publicity about competitive products;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potential product liability claims.</w:t>
      </w:r>
    </w:p>
    <w:p>
      <w:pPr>
        <w:spacing w:after="0" w:line="174" w:lineRule="exact"/>
        <w:rPr>
          <w:sz w:val="20"/>
          <w:szCs w:val="20"/>
          <w:color w:val="auto"/>
        </w:rPr>
      </w:pPr>
    </w:p>
    <w:p>
      <w:pPr>
        <w:ind w:left="760"/>
        <w:spacing w:after="0" w:line="150" w:lineRule="exact"/>
        <w:rPr>
          <w:sz w:val="20"/>
          <w:szCs w:val="20"/>
          <w:color w:val="auto"/>
        </w:rPr>
      </w:pPr>
      <w:r>
        <w:rPr>
          <w:rFonts w:ascii="Arial" w:cs="Arial" w:eastAsia="Arial" w:hAnsi="Arial"/>
          <w:sz w:val="13"/>
          <w:szCs w:val="13"/>
          <w:color w:val="auto"/>
        </w:rPr>
        <w:t>Our efforts to educate the medical community and third</w:t>
      </w:r>
      <w:r>
        <w:rPr>
          <w:rFonts w:ascii="MS PGothic" w:cs="MS PGothic" w:eastAsia="MS PGothic" w:hAnsi="MS PGothic"/>
          <w:sz w:val="13"/>
          <w:szCs w:val="13"/>
          <w:color w:val="auto"/>
        </w:rPr>
        <w:t>‑</w:t>
      </w:r>
      <w:r>
        <w:rPr>
          <w:rFonts w:ascii="Arial" w:cs="Arial" w:eastAsia="Arial" w:hAnsi="Arial"/>
          <w:sz w:val="13"/>
          <w:szCs w:val="13"/>
          <w:color w:val="auto"/>
        </w:rPr>
        <w:t>party payors on the benefits of our product candidates may require significant resources and may never be successful.</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Even if the medical community accepts that one of our product candidates is safe and effective for its approved indications, physicians and patients may not immediately be receptive to</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such product candidate and may be slow to adopt it as an accepted treatment of the approved indication. It is unlikely that any labeling approved by the FDA will contain claims that one of</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our product candidates is safer or more effective than competitive products or will permit us to promote such product candidate as being superior to competing products. Further, the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availability of inexpensive generic forms of pain management products for acute pain may also limit acceptance of certain of our product candidates among physicians, patients, and</w:t>
      </w:r>
    </w:p>
    <w:p>
      <w:pPr>
        <w:spacing w:after="0" w:line="7"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third</w:t>
      </w:r>
      <w:r>
        <w:rPr>
          <w:rFonts w:ascii="MS PGothic" w:cs="MS PGothic" w:eastAsia="MS PGothic" w:hAnsi="MS PGothic"/>
          <w:sz w:val="13"/>
          <w:szCs w:val="13"/>
          <w:color w:val="auto"/>
        </w:rPr>
        <w:t>‑</w:t>
      </w:r>
      <w:r>
        <w:rPr>
          <w:rFonts w:ascii="Arial" w:cs="Arial" w:eastAsia="Arial" w:hAnsi="Arial"/>
          <w:sz w:val="13"/>
          <w:szCs w:val="13"/>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3"/>
          <w:szCs w:val="13"/>
          <w:color w:val="auto"/>
        </w:rPr>
        <w:t>‑</w:t>
      </w:r>
      <w:r>
        <w:rPr>
          <w:rFonts w:ascii="Arial" w:cs="Arial" w:eastAsia="Arial" w:hAnsi="Arial"/>
          <w:sz w:val="13"/>
          <w:szCs w:val="13"/>
          <w:color w:val="auto"/>
        </w:rPr>
        <w:t>party payors, we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may not generate meaningful revenues from our product candidates, and we may not become profitable.</w:t>
      </w:r>
    </w:p>
    <w:p>
      <w:pPr>
        <w:spacing w:after="0" w:line="162" w:lineRule="exact"/>
        <w:rPr>
          <w:sz w:val="20"/>
          <w:szCs w:val="20"/>
          <w:color w:val="auto"/>
        </w:rPr>
      </w:pPr>
    </w:p>
    <w:p>
      <w:pPr>
        <w:ind w:right="120" w:firstLine="751"/>
        <w:spacing w:after="0" w:line="290" w:lineRule="auto"/>
        <w:rPr>
          <w:sz w:val="20"/>
          <w:szCs w:val="20"/>
          <w:color w:val="auto"/>
        </w:rPr>
      </w:pPr>
      <w:r>
        <w:rPr>
          <w:rFonts w:ascii="Arial" w:cs="Arial" w:eastAsia="Arial" w:hAnsi="Arial"/>
          <w:sz w:val="14"/>
          <w:szCs w:val="14"/>
          <w:color w:val="auto"/>
        </w:rPr>
        <w:t>The ability of patients to purchase certain of the active ingredients of our product candidates in generic form could put us at a competitive disadvantage. For example, in some foreign jurisdictions, generic oral forms of dextromethorphan and bupropion are currently available individually for consumer purchase. In addition, physicians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69" w:name="page70"/>
    <w:bookmarkEnd w:id="6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500"/>
        <w:spacing w:after="0" w:line="178" w:lineRule="exact"/>
        <w:rPr>
          <w:sz w:val="20"/>
          <w:szCs w:val="20"/>
          <w:color w:val="auto"/>
        </w:rPr>
      </w:pPr>
      <w:r>
        <w:rPr>
          <w:rFonts w:ascii="Arial" w:cs="Arial" w:eastAsia="Arial" w:hAnsi="Arial"/>
          <w:sz w:val="15"/>
          <w:szCs w:val="15"/>
          <w:color w:val="auto"/>
        </w:rPr>
        <w:t>may prescribe generic zoledronic acid for the treatment of pain off</w:t>
      </w:r>
      <w:r>
        <w:rPr>
          <w:rFonts w:ascii="MS PGothic" w:cs="MS PGothic" w:eastAsia="MS PGothic" w:hAnsi="MS PGothic"/>
          <w:sz w:val="15"/>
          <w:szCs w:val="15"/>
          <w:color w:val="auto"/>
        </w:rPr>
        <w:t>‑</w:t>
      </w:r>
      <w:r>
        <w:rPr>
          <w:rFonts w:ascii="Arial" w:cs="Arial" w:eastAsia="Arial" w:hAnsi="Arial"/>
          <w:sz w:val="15"/>
          <w:szCs w:val="15"/>
          <w:color w:val="auto"/>
        </w:rPr>
        <w:t>label. Any use of these generic forms of the active molecules of our product candidates could adversely affect our business and our results of operations.</w:t>
      </w:r>
    </w:p>
    <w:p>
      <w:pPr>
        <w:spacing w:after="0" w:line="159" w:lineRule="exact"/>
        <w:rPr>
          <w:sz w:val="20"/>
          <w:szCs w:val="20"/>
          <w:color w:val="auto"/>
        </w:rPr>
      </w:pPr>
    </w:p>
    <w:p>
      <w:pPr>
        <w:ind w:right="80" w:firstLine="751"/>
        <w:spacing w:after="0" w:line="172" w:lineRule="exact"/>
        <w:rPr>
          <w:sz w:val="20"/>
          <w:szCs w:val="20"/>
          <w:color w:val="auto"/>
        </w:rPr>
      </w:pPr>
      <w:r>
        <w:rPr>
          <w:rFonts w:ascii="Arial" w:cs="Arial" w:eastAsia="Arial" w:hAnsi="Arial"/>
          <w:sz w:val="15"/>
          <w:szCs w:val="15"/>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5"/>
          <w:szCs w:val="15"/>
          <w:color w:val="auto"/>
        </w:rPr>
        <w:t>‑</w:t>
      </w:r>
      <w:r>
        <w:rPr>
          <w:rFonts w:ascii="Arial" w:cs="Arial" w:eastAsia="Arial" w:hAnsi="Arial"/>
          <w:sz w:val="15"/>
          <w:szCs w:val="15"/>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47" w:lineRule="exact"/>
        <w:rPr>
          <w:sz w:val="20"/>
          <w:szCs w:val="20"/>
          <w:color w:val="auto"/>
        </w:rPr>
      </w:pPr>
    </w:p>
    <w:p>
      <w:pPr>
        <w:ind w:right="60" w:firstLine="751"/>
        <w:spacing w:after="0" w:line="255" w:lineRule="auto"/>
        <w:rPr>
          <w:sz w:val="20"/>
          <w:szCs w:val="20"/>
          <w:color w:val="auto"/>
        </w:rPr>
      </w:pPr>
      <w:r>
        <w:rPr>
          <w:rFonts w:ascii="Arial" w:cs="Arial" w:eastAsia="Arial" w:hAnsi="Arial"/>
          <w:sz w:val="14"/>
          <w:szCs w:val="14"/>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 loss of revenue from including from:</w:t>
      </w:r>
    </w:p>
    <w:p>
      <w:pPr>
        <w:spacing w:after="0" w:line="61" w:lineRule="exact"/>
        <w:rPr>
          <w:sz w:val="20"/>
          <w:szCs w:val="20"/>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decreased demand for our products and/or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impairment of our business reputation or financial stability;</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costs of related litigation;</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substantial monetary awards to patients or other claimants;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diversion of management attention;</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loss of revenues;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withdrawal of clinical trial participants and potential termination of clinical trial sites or entire clinical programs;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inability to commercialize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significant negative media attention;</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decrease in our stock price;</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initiation of investigations and enforcement actions by regulators;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product recalls, withdrawals, or labeling, marketing, or promotional restrictions.</w:t>
      </w:r>
    </w:p>
    <w:p>
      <w:pPr>
        <w:spacing w:after="0" w:line="174"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0" w:name="page71"/>
    <w:bookmarkEnd w:id="7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DEPENDENCE ON THIRD PARTIES</w:t>
      </w:r>
    </w:p>
    <w:p>
      <w:pPr>
        <w:spacing w:after="0" w:line="155" w:lineRule="exact"/>
        <w:rPr>
          <w:sz w:val="20"/>
          <w:szCs w:val="20"/>
          <w:color w:val="auto"/>
        </w:rPr>
      </w:pPr>
    </w:p>
    <w:p>
      <w:pPr>
        <w:ind w:right="720"/>
        <w:spacing w:after="0" w:line="257"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35" w:lineRule="exact"/>
        <w:rPr>
          <w:sz w:val="20"/>
          <w:szCs w:val="20"/>
          <w:color w:val="auto"/>
        </w:rPr>
      </w:pPr>
    </w:p>
    <w:p>
      <w:pPr>
        <w:ind w:firstLine="751"/>
        <w:spacing w:after="0" w:line="171" w:lineRule="exact"/>
        <w:rPr>
          <w:sz w:val="20"/>
          <w:szCs w:val="20"/>
          <w:color w:val="auto"/>
        </w:rPr>
      </w:pPr>
      <w:r>
        <w:rPr>
          <w:rFonts w:ascii="Arial" w:cs="Arial" w:eastAsia="Arial" w:hAnsi="Arial"/>
          <w:sz w:val="15"/>
          <w:szCs w:val="15"/>
          <w:color w:val="auto"/>
        </w:rPr>
        <w:t>We rely on third</w:t>
      </w:r>
      <w:r>
        <w:rPr>
          <w:rFonts w:ascii="MS PGothic" w:cs="MS PGothic" w:eastAsia="MS PGothic" w:hAnsi="MS PGothic"/>
          <w:sz w:val="15"/>
          <w:szCs w:val="15"/>
          <w:color w:val="auto"/>
        </w:rPr>
        <w:t>‑</w:t>
      </w:r>
      <w:r>
        <w:rPr>
          <w:rFonts w:ascii="Arial" w:cs="Arial" w:eastAsia="Arial" w:hAnsi="Arial"/>
          <w:sz w:val="15"/>
          <w:szCs w:val="15"/>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59" w:lineRule="exact"/>
        <w:rPr>
          <w:sz w:val="20"/>
          <w:szCs w:val="20"/>
          <w:color w:val="auto"/>
        </w:rPr>
      </w:pPr>
    </w:p>
    <w:p>
      <w:pPr>
        <w:ind w:right="60" w:firstLine="751"/>
        <w:spacing w:after="0" w:line="254" w:lineRule="auto"/>
        <w:rPr>
          <w:sz w:val="20"/>
          <w:szCs w:val="20"/>
          <w:color w:val="auto"/>
        </w:rPr>
      </w:pPr>
      <w:r>
        <w:rPr>
          <w:rFonts w:ascii="Arial" w:cs="Arial" w:eastAsia="Arial" w:hAnsi="Arial"/>
          <w:sz w:val="14"/>
          <w:szCs w:val="14"/>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53" w:lineRule="exact"/>
        <w:rPr>
          <w:sz w:val="20"/>
          <w:szCs w:val="20"/>
          <w:color w:val="auto"/>
        </w:rPr>
      </w:pPr>
    </w:p>
    <w:p>
      <w:pPr>
        <w:ind w:firstLine="751"/>
        <w:spacing w:after="0" w:line="173" w:lineRule="exact"/>
        <w:rPr>
          <w:sz w:val="20"/>
          <w:szCs w:val="20"/>
          <w:color w:val="auto"/>
        </w:rPr>
      </w:pPr>
      <w:r>
        <w:rPr>
          <w:rFonts w:ascii="Arial" w:cs="Arial" w:eastAsia="Arial" w:hAnsi="Arial"/>
          <w:sz w:val="13"/>
          <w:szCs w:val="13"/>
          <w:color w:val="auto"/>
        </w:rPr>
        <w:t>In addition, when we submit an NDA for review, we are required to report certain financial interests of our third</w:t>
      </w:r>
      <w:r>
        <w:rPr>
          <w:rFonts w:ascii="MS PGothic" w:cs="MS PGothic" w:eastAsia="MS PGothic" w:hAnsi="MS PGothic"/>
          <w:sz w:val="13"/>
          <w:szCs w:val="13"/>
          <w:color w:val="auto"/>
        </w:rPr>
        <w:t>‑</w:t>
      </w:r>
      <w:r>
        <w:rPr>
          <w:rFonts w:ascii="Arial" w:cs="Arial" w:eastAsia="Arial" w:hAnsi="Arial"/>
          <w:sz w:val="13"/>
          <w:szCs w:val="13"/>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59" w:lineRule="exact"/>
        <w:rPr>
          <w:sz w:val="20"/>
          <w:szCs w:val="20"/>
          <w:color w:val="auto"/>
        </w:rPr>
      </w:pPr>
    </w:p>
    <w:p>
      <w:pPr>
        <w:ind w:right="20" w:firstLine="751"/>
        <w:spacing w:after="0" w:line="172" w:lineRule="exact"/>
        <w:rPr>
          <w:sz w:val="20"/>
          <w:szCs w:val="20"/>
          <w:color w:val="auto"/>
        </w:rPr>
      </w:pPr>
      <w:r>
        <w:rPr>
          <w:rFonts w:ascii="Arial" w:cs="Arial" w:eastAsia="Arial" w:hAnsi="Arial"/>
          <w:sz w:val="15"/>
          <w:szCs w:val="15"/>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5"/>
          <w:szCs w:val="15"/>
          <w:color w:val="auto"/>
        </w:rPr>
        <w:t>‑</w:t>
      </w:r>
      <w:r>
        <w:rPr>
          <w:rFonts w:ascii="Arial" w:cs="Arial" w:eastAsia="Arial" w:hAnsi="Arial"/>
          <w:sz w:val="15"/>
          <w:szCs w:val="15"/>
          <w:color w:val="auto"/>
        </w:rPr>
        <w:t>sponsored database, ClinicalTrials.gov, within specified timeframes. Failure to do so or to meet the related submission requirements can result in enforcement actions, including civil monetary penalties and adverse publicity.</w:t>
      </w:r>
    </w:p>
    <w:p>
      <w:pPr>
        <w:spacing w:after="0" w:line="161" w:lineRule="exact"/>
        <w:rPr>
          <w:sz w:val="20"/>
          <w:szCs w:val="20"/>
          <w:color w:val="auto"/>
        </w:rPr>
      </w:pPr>
    </w:p>
    <w:p>
      <w:pPr>
        <w:ind w:right="180" w:firstLine="751"/>
        <w:spacing w:after="0" w:line="173" w:lineRule="exact"/>
        <w:rPr>
          <w:sz w:val="20"/>
          <w:szCs w:val="20"/>
          <w:color w:val="auto"/>
        </w:rPr>
      </w:pPr>
      <w:r>
        <w:rPr>
          <w:rFonts w:ascii="Arial" w:cs="Arial" w:eastAsia="Arial" w:hAnsi="Arial"/>
          <w:sz w:val="15"/>
          <w:szCs w:val="15"/>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5"/>
          <w:szCs w:val="15"/>
          <w:color w:val="auto"/>
        </w:rPr>
        <w:t>‑</w:t>
      </w:r>
      <w:r>
        <w:rPr>
          <w:rFonts w:ascii="Arial" w:cs="Arial" w:eastAsia="Arial" w:hAnsi="Arial"/>
          <w:sz w:val="15"/>
          <w:szCs w:val="15"/>
          <w:color w:val="auto"/>
        </w:rPr>
        <w:t>clinical, and preclinical programs. If these third parties do not successfully carry out their contractual duties, meet expected</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71" w:name="page72"/>
    <w:bookmarkEnd w:id="7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line="171" w:lineRule="exact"/>
        <w:rPr>
          <w:sz w:val="20"/>
          <w:szCs w:val="20"/>
          <w:color w:val="auto"/>
        </w:rPr>
      </w:pPr>
      <w:r>
        <w:rPr>
          <w:rFonts w:ascii="Arial" w:cs="Arial" w:eastAsia="Arial" w:hAnsi="Arial"/>
          <w:sz w:val="14"/>
          <w:szCs w:val="14"/>
          <w:color w:val="auto"/>
        </w:rPr>
        <w:t>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4"/>
          <w:szCs w:val="14"/>
          <w:color w:val="auto"/>
        </w:rPr>
        <w:t>‑</w:t>
      </w:r>
      <w:r>
        <w:rPr>
          <w:rFonts w:ascii="Arial" w:cs="Arial" w:eastAsia="Arial" w:hAnsi="Arial"/>
          <w:sz w:val="14"/>
          <w:szCs w:val="14"/>
          <w:color w:val="auto"/>
        </w:rPr>
        <w:t>party service providers in the future, our business may be materially and adversely affected.</w:t>
      </w:r>
    </w:p>
    <w:p>
      <w:pPr>
        <w:spacing w:after="0" w:line="162" w:lineRule="exact"/>
        <w:rPr>
          <w:sz w:val="20"/>
          <w:szCs w:val="20"/>
          <w:color w:val="auto"/>
        </w:rPr>
      </w:pPr>
    </w:p>
    <w:p>
      <w:pPr>
        <w:jc w:val="both"/>
        <w:ind w:right="60" w:firstLine="751"/>
        <w:spacing w:after="0" w:line="172" w:lineRule="exact"/>
        <w:rPr>
          <w:sz w:val="20"/>
          <w:szCs w:val="20"/>
          <w:color w:val="auto"/>
        </w:rPr>
      </w:pPr>
      <w:r>
        <w:rPr>
          <w:rFonts w:ascii="Arial" w:cs="Arial" w:eastAsia="Arial" w:hAnsi="Arial"/>
          <w:sz w:val="15"/>
          <w:szCs w:val="15"/>
          <w:color w:val="auto"/>
        </w:rPr>
        <w:t>If any of our relationships with these third</w:t>
      </w:r>
      <w:r>
        <w:rPr>
          <w:rFonts w:ascii="MS PGothic" w:cs="MS PGothic" w:eastAsia="MS PGothic" w:hAnsi="MS PGothic"/>
          <w:sz w:val="15"/>
          <w:szCs w:val="15"/>
          <w:color w:val="auto"/>
        </w:rPr>
        <w:t>‑</w:t>
      </w:r>
      <w:r>
        <w:rPr>
          <w:rFonts w:ascii="Arial" w:cs="Arial" w:eastAsia="Arial" w:hAnsi="Arial"/>
          <w:sz w:val="15"/>
          <w:szCs w:val="15"/>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1" w:lineRule="exact"/>
        <w:rPr>
          <w:sz w:val="20"/>
          <w:szCs w:val="20"/>
          <w:color w:val="auto"/>
        </w:rPr>
      </w:pPr>
    </w:p>
    <w:p>
      <w:pPr>
        <w:jc w:val="both"/>
        <w:ind w:right="40"/>
        <w:spacing w:after="0" w:line="379" w:lineRule="auto"/>
        <w:rPr>
          <w:sz w:val="20"/>
          <w:szCs w:val="20"/>
          <w:color w:val="auto"/>
        </w:rPr>
      </w:pPr>
      <w:r>
        <w:rPr>
          <w:rFonts w:ascii="Arial" w:cs="Arial" w:eastAsia="Arial" w:hAnsi="Arial"/>
          <w:sz w:val="12"/>
          <w:szCs w:val="12"/>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78" w:lineRule="exact"/>
        <w:rPr>
          <w:sz w:val="20"/>
          <w:szCs w:val="20"/>
          <w:color w:val="auto"/>
        </w:rPr>
      </w:pPr>
    </w:p>
    <w:p>
      <w:pPr>
        <w:ind w:right="140" w:firstLine="751"/>
        <w:spacing w:after="0" w:line="260" w:lineRule="auto"/>
        <w:rPr>
          <w:sz w:val="20"/>
          <w:szCs w:val="20"/>
          <w:color w:val="auto"/>
        </w:rPr>
      </w:pPr>
      <w:r>
        <w:rPr>
          <w:rFonts w:ascii="Arial" w:cs="Arial" w:eastAsia="Arial" w:hAnsi="Arial"/>
          <w:sz w:val="14"/>
          <w:szCs w:val="14"/>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44" w:lineRule="exact"/>
        <w:rPr>
          <w:sz w:val="20"/>
          <w:szCs w:val="20"/>
          <w:color w:val="auto"/>
        </w:rPr>
      </w:pPr>
    </w:p>
    <w:p>
      <w:pPr>
        <w:ind w:right="100" w:firstLine="751"/>
        <w:spacing w:after="0" w:line="171" w:lineRule="exact"/>
        <w:rPr>
          <w:sz w:val="20"/>
          <w:szCs w:val="20"/>
          <w:color w:val="auto"/>
        </w:rPr>
      </w:pPr>
      <w:r>
        <w:rPr>
          <w:rFonts w:ascii="Arial" w:cs="Arial" w:eastAsia="Arial" w:hAnsi="Arial"/>
          <w:sz w:val="13"/>
          <w:szCs w:val="13"/>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3"/>
          <w:szCs w:val="13"/>
          <w:color w:val="auto"/>
        </w:rPr>
        <w:t>‑</w:t>
      </w:r>
      <w:r>
        <w:rPr>
          <w:rFonts w:ascii="Arial" w:cs="Arial" w:eastAsia="Arial" w:hAnsi="Arial"/>
          <w:sz w:val="13"/>
          <w:szCs w:val="13"/>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3"/>
          <w:szCs w:val="13"/>
          <w:color w:val="auto"/>
        </w:rPr>
        <w:t>‑</w:t>
      </w:r>
      <w:r>
        <w:rPr>
          <w:rFonts w:ascii="Arial" w:cs="Arial" w:eastAsia="Arial" w:hAnsi="Arial"/>
          <w:sz w:val="13"/>
          <w:szCs w:val="13"/>
          <w:color w:val="auto"/>
        </w:rPr>
        <w:t>party manufacturers may breach, terminate, or not renew these agreements.</w:t>
      </w:r>
    </w:p>
    <w:p>
      <w:pPr>
        <w:spacing w:after="0" w:line="161" w:lineRule="exact"/>
        <w:rPr>
          <w:sz w:val="20"/>
          <w:szCs w:val="20"/>
          <w:color w:val="auto"/>
        </w:rPr>
      </w:pPr>
    </w:p>
    <w:p>
      <w:pPr>
        <w:ind w:right="40" w:firstLine="751"/>
        <w:spacing w:after="0" w:line="171" w:lineRule="exact"/>
        <w:rPr>
          <w:sz w:val="20"/>
          <w:szCs w:val="20"/>
          <w:color w:val="auto"/>
        </w:rPr>
      </w:pPr>
      <w:r>
        <w:rPr>
          <w:rFonts w:ascii="Arial" w:cs="Arial" w:eastAsia="Arial" w:hAnsi="Arial"/>
          <w:sz w:val="13"/>
          <w:szCs w:val="13"/>
          <w:color w:val="auto"/>
        </w:rPr>
        <w:t>Any problems or delays we experience in preparing for commercial</w:t>
      </w:r>
      <w:r>
        <w:rPr>
          <w:rFonts w:ascii="MS PGothic" w:cs="MS PGothic" w:eastAsia="MS PGothic" w:hAnsi="MS PGothic"/>
          <w:sz w:val="13"/>
          <w:szCs w:val="13"/>
          <w:color w:val="auto"/>
        </w:rPr>
        <w:t>‑</w:t>
      </w:r>
      <w:r>
        <w:rPr>
          <w:rFonts w:ascii="Arial" w:cs="Arial" w:eastAsia="Arial" w:hAnsi="Arial"/>
          <w:sz w:val="13"/>
          <w:szCs w:val="13"/>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2" w:name="page73"/>
    <w:bookmarkEnd w:id="7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firstLine="751"/>
        <w:spacing w:after="0" w:line="171" w:lineRule="exact"/>
        <w:rPr>
          <w:sz w:val="20"/>
          <w:szCs w:val="20"/>
          <w:color w:val="auto"/>
        </w:rPr>
      </w:pPr>
      <w:r>
        <w:rPr>
          <w:rFonts w:ascii="Arial" w:cs="Arial" w:eastAsia="Arial" w:hAnsi="Arial"/>
          <w:sz w:val="15"/>
          <w:szCs w:val="15"/>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5"/>
          <w:szCs w:val="15"/>
          <w:color w:val="auto"/>
        </w:rPr>
        <w:t>‑</w:t>
      </w:r>
      <w:r>
        <w:rPr>
          <w:rFonts w:ascii="Arial" w:cs="Arial" w:eastAsia="Arial" w:hAnsi="Arial"/>
          <w:sz w:val="15"/>
          <w:szCs w:val="15"/>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59" w:lineRule="exact"/>
        <w:rPr>
          <w:sz w:val="20"/>
          <w:szCs w:val="20"/>
          <w:color w:val="auto"/>
        </w:rPr>
      </w:pPr>
    </w:p>
    <w:p>
      <w:pPr>
        <w:ind w:firstLine="751"/>
        <w:spacing w:after="0" w:line="252" w:lineRule="auto"/>
        <w:rPr>
          <w:sz w:val="20"/>
          <w:szCs w:val="20"/>
          <w:color w:val="auto"/>
        </w:rPr>
      </w:pPr>
      <w:r>
        <w:rPr>
          <w:rFonts w:ascii="Arial" w:cs="Arial" w:eastAsia="Arial" w:hAnsi="Arial"/>
          <w:sz w:val="14"/>
          <w:szCs w:val="14"/>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55" w:lineRule="exact"/>
        <w:rPr>
          <w:sz w:val="20"/>
          <w:szCs w:val="20"/>
          <w:color w:val="auto"/>
        </w:rPr>
      </w:pPr>
    </w:p>
    <w:p>
      <w:pPr>
        <w:jc w:val="both"/>
        <w:ind w:right="320" w:firstLine="751"/>
        <w:spacing w:after="0" w:line="244" w:lineRule="auto"/>
        <w:rPr>
          <w:sz w:val="20"/>
          <w:szCs w:val="20"/>
          <w:color w:val="auto"/>
        </w:rPr>
      </w:pPr>
      <w:r>
        <w:rPr>
          <w:rFonts w:ascii="Arial" w:cs="Arial" w:eastAsia="Arial" w:hAnsi="Arial"/>
          <w:sz w:val="15"/>
          <w:szCs w:val="15"/>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55"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b w:val="1"/>
          <w:bCs w:val="1"/>
          <w:i w:val="1"/>
          <w:iCs w:val="1"/>
          <w:color w:val="auto"/>
        </w:rPr>
        <w:t>Our business operations, financial condition, results of operations and cash flows may be adversely affected by the effects of health epidemics, pandemics, or outbreaks of infectious diseases, including the ongoing COVID-19 pandemic.</w:t>
      </w:r>
    </w:p>
    <w:p>
      <w:pPr>
        <w:spacing w:after="0" w:line="147" w:lineRule="exact"/>
        <w:rPr>
          <w:sz w:val="20"/>
          <w:szCs w:val="20"/>
          <w:color w:val="auto"/>
        </w:rPr>
      </w:pPr>
    </w:p>
    <w:p>
      <w:pPr>
        <w:ind w:right="480" w:firstLine="751"/>
        <w:spacing w:after="0" w:line="255" w:lineRule="auto"/>
        <w:rPr>
          <w:sz w:val="20"/>
          <w:szCs w:val="20"/>
          <w:color w:val="auto"/>
        </w:rPr>
      </w:pPr>
      <w:r>
        <w:rPr>
          <w:rFonts w:ascii="Arial" w:cs="Arial" w:eastAsia="Arial" w:hAnsi="Arial"/>
          <w:sz w:val="15"/>
          <w:szCs w:val="15"/>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47" w:lineRule="exact"/>
        <w:rPr>
          <w:sz w:val="20"/>
          <w:szCs w:val="20"/>
          <w:color w:val="auto"/>
        </w:rPr>
      </w:pPr>
    </w:p>
    <w:p>
      <w:pPr>
        <w:ind w:right="80" w:firstLine="751"/>
        <w:spacing w:after="0" w:line="238" w:lineRule="auto"/>
        <w:rPr>
          <w:sz w:val="20"/>
          <w:szCs w:val="20"/>
          <w:color w:val="auto"/>
        </w:rPr>
      </w:pPr>
      <w:r>
        <w:rPr>
          <w:rFonts w:ascii="Arial" w:cs="Arial" w:eastAsia="Arial" w:hAnsi="Arial"/>
          <w:sz w:val="15"/>
          <w:szCs w:val="15"/>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 chains and created significant volatility and disruption of financial markets. The evolving COVID-19 pandemic may impact the pace of enrollment in clinical trials, and we may be affected by similar delays as patients may avoid or may not be able to travel to healthcare facilities and physicians’ offices unless due to a health emergency and clinical trial staff can no longer get to the clinic. Such facilities and offices have been and may continue to be required to focus limited resources on non-clinical trial matters, including treatment of COVID-19 patients, thereby decreasing availability, in whole or 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3" w:name="page74"/>
    <w:bookmarkEnd w:id="7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300"/>
        <w:spacing w:after="0" w:line="300" w:lineRule="auto"/>
        <w:rPr>
          <w:sz w:val="20"/>
          <w:szCs w:val="20"/>
          <w:color w:val="auto"/>
        </w:rPr>
      </w:pPr>
      <w:r>
        <w:rPr>
          <w:rFonts w:ascii="Arial" w:cs="Arial" w:eastAsia="Arial" w:hAnsi="Arial"/>
          <w:sz w:val="13"/>
          <w:szCs w:val="13"/>
          <w:color w:val="auto"/>
        </w:rPr>
        <w:t>part, for clinical trial services. In addition, employee disruptions and remote working environments related to the COVID-19 pandemic and the federal, state and local responses to such virus, has impacted and could continue to impact the 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21" w:lineRule="exact"/>
        <w:rPr>
          <w:sz w:val="20"/>
          <w:szCs w:val="20"/>
          <w:color w:val="auto"/>
        </w:rPr>
      </w:pPr>
    </w:p>
    <w:p>
      <w:pPr>
        <w:ind w:right="20" w:firstLine="751"/>
        <w:spacing w:after="0" w:line="255" w:lineRule="auto"/>
        <w:rPr>
          <w:sz w:val="20"/>
          <w:szCs w:val="20"/>
          <w:color w:val="auto"/>
        </w:rPr>
      </w:pPr>
      <w:r>
        <w:rPr>
          <w:rFonts w:ascii="Arial" w:cs="Arial" w:eastAsia="Arial" w:hAnsi="Arial"/>
          <w:sz w:val="14"/>
          <w:szCs w:val="14"/>
          <w:color w:val="auto"/>
        </w:rPr>
        <w:t>We may utilize contract manufacturers to manufacture our investigational products and plan to utilize contract manufacturers if and when we obtain FDA approval. The FDA announced it would resume domestic facility inspections, after a previous temporary delay, and more recently the agency stated that it is transitioning back to standard operations for conducting domestic facility inspections. The agency continues its general suspension of foreign facility inspections (other than “mission-critical” inspections). Because of the global pandemic, decision-making around facility inspections by the FDA (including Pre-Approval and for cause inspections) continues to evolve. For example, the FDA recently announced an extension to a previous pause on domestic inspections through February 4, 2022, due to the omicron variant of COVID-19, with the goal of restarting inspections as soon as possible. Due to the uncertainty of the COVID-19 pandemic and the FDA’s related internal policies, this could impact future applications and approval of product candidates. The FDA has indicated that under certain circumstances it will utilize remote interactive evaluations which include inspection activities “in advance of or in lieu of” on-site drug inspections. Nevertheless, we cannot predict at this time whether this or other developments will cause delays or cause other situations that may adversely impact our business.</w:t>
      </w:r>
    </w:p>
    <w:p>
      <w:pPr>
        <w:spacing w:after="0" w:line="151" w:lineRule="exact"/>
        <w:rPr>
          <w:sz w:val="20"/>
          <w:szCs w:val="20"/>
          <w:color w:val="auto"/>
        </w:rPr>
      </w:pPr>
    </w:p>
    <w:p>
      <w:pPr>
        <w:ind w:right="60" w:firstLine="751"/>
        <w:spacing w:after="0" w:line="256" w:lineRule="auto"/>
        <w:rPr>
          <w:sz w:val="20"/>
          <w:szCs w:val="20"/>
          <w:color w:val="auto"/>
        </w:rPr>
      </w:pPr>
      <w:r>
        <w:rPr>
          <w:rFonts w:ascii="Arial" w:cs="Arial" w:eastAsia="Arial" w:hAnsi="Arial"/>
          <w:sz w:val="14"/>
          <w:szCs w:val="14"/>
          <w:color w:val="auto"/>
        </w:rPr>
        <w:t>The FDA continues to periodically update its guidance, Conduct of Clinical Trials of Medical Products During the COVID-19 Public Health Emergency, which was implemented to assist sponsors in assuring the safety of trial participants, maintaining compliance with GCP,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49" w:lineRule="exact"/>
        <w:rPr>
          <w:sz w:val="20"/>
          <w:szCs w:val="20"/>
          <w:color w:val="auto"/>
        </w:rPr>
      </w:pPr>
    </w:p>
    <w:p>
      <w:pPr>
        <w:ind w:right="40" w:firstLine="751"/>
        <w:spacing w:after="0"/>
        <w:rPr>
          <w:sz w:val="20"/>
          <w:szCs w:val="20"/>
          <w:color w:val="auto"/>
        </w:rPr>
      </w:pPr>
      <w:r>
        <w:rPr>
          <w:rFonts w:ascii="Arial" w:cs="Arial" w:eastAsia="Arial" w:hAnsi="Arial"/>
          <w:sz w:val="15"/>
          <w:szCs w:val="15"/>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159" w:lineRule="exact"/>
        <w:rPr>
          <w:sz w:val="20"/>
          <w:szCs w:val="20"/>
          <w:color w:val="auto"/>
        </w:rPr>
      </w:pPr>
    </w:p>
    <w:p>
      <w:pPr>
        <w:ind w:right="240"/>
        <w:spacing w:after="0" w:line="289" w:lineRule="auto"/>
        <w:rPr>
          <w:sz w:val="20"/>
          <w:szCs w:val="20"/>
          <w:color w:val="auto"/>
        </w:rPr>
      </w:pPr>
      <w:r>
        <w:rPr>
          <w:rFonts w:ascii="Arial" w:cs="Arial" w:eastAsia="Arial" w:hAnsi="Arial"/>
          <w:sz w:val="13"/>
          <w:szCs w:val="13"/>
          <w:b w:val="1"/>
          <w:bCs w:val="1"/>
          <w:i w:val="1"/>
          <w:iCs w:val="1"/>
          <w:color w:val="auto"/>
        </w:rPr>
        <w:t>As an NDA applicant and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29" w:lineRule="exact"/>
        <w:rPr>
          <w:sz w:val="20"/>
          <w:szCs w:val="20"/>
          <w:color w:val="auto"/>
        </w:rPr>
      </w:pPr>
    </w:p>
    <w:p>
      <w:pPr>
        <w:ind w:firstLine="751"/>
        <w:spacing w:after="0" w:line="171" w:lineRule="exact"/>
        <w:rPr>
          <w:sz w:val="20"/>
          <w:szCs w:val="20"/>
          <w:color w:val="auto"/>
        </w:rPr>
      </w:pPr>
      <w:r>
        <w:rPr>
          <w:rFonts w:ascii="Arial" w:cs="Arial" w:eastAsia="Arial" w:hAnsi="Arial"/>
          <w:sz w:val="15"/>
          <w:szCs w:val="15"/>
          <w:color w:val="auto"/>
        </w:rPr>
        <w:t>We may retain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5"/>
          <w:szCs w:val="15"/>
          <w:color w:val="auto"/>
        </w:rPr>
        <w:t>‑</w:t>
      </w:r>
      <w:r>
        <w:rPr>
          <w:rFonts w:ascii="Arial" w:cs="Arial" w:eastAsia="Arial" w:hAnsi="Arial"/>
          <w:sz w:val="15"/>
          <w:szCs w:val="15"/>
          <w:color w:val="auto"/>
        </w:rPr>
        <w:t>party providers that perform services for us, including entrusting our inventories of products to their care and handling. If these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4" w:name="page75"/>
    <w:bookmarkEnd w:id="7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180" w:firstLine="751"/>
        <w:spacing w:after="0" w:line="270" w:lineRule="auto"/>
        <w:rPr>
          <w:sz w:val="20"/>
          <w:szCs w:val="20"/>
          <w:color w:val="auto"/>
        </w:rPr>
      </w:pPr>
      <w:r>
        <w:rPr>
          <w:rFonts w:ascii="Arial" w:cs="Arial" w:eastAsia="Arial" w:hAnsi="Arial"/>
          <w:sz w:val="14"/>
          <w:szCs w:val="14"/>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38" w:lineRule="exact"/>
        <w:rPr>
          <w:sz w:val="20"/>
          <w:szCs w:val="20"/>
          <w:color w:val="auto"/>
        </w:rPr>
      </w:pPr>
    </w:p>
    <w:p>
      <w:pPr>
        <w:ind w:right="60" w:firstLine="751"/>
        <w:spacing w:after="0" w:line="331" w:lineRule="auto"/>
        <w:rPr>
          <w:sz w:val="20"/>
          <w:szCs w:val="20"/>
          <w:color w:val="auto"/>
        </w:rPr>
      </w:pPr>
      <w:r>
        <w:rPr>
          <w:rFonts w:ascii="Arial" w:cs="Arial" w:eastAsia="Arial" w:hAnsi="Arial"/>
          <w:sz w:val="13"/>
          <w:szCs w:val="13"/>
          <w:color w:val="auto"/>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01" w:lineRule="exact"/>
        <w:rPr>
          <w:sz w:val="20"/>
          <w:szCs w:val="20"/>
          <w:color w:val="auto"/>
        </w:rPr>
      </w:pPr>
    </w:p>
    <w:p>
      <w:pPr>
        <w:ind w:right="100"/>
        <w:spacing w:after="0" w:line="255" w:lineRule="auto"/>
        <w:rPr>
          <w:sz w:val="20"/>
          <w:szCs w:val="20"/>
          <w:color w:val="auto"/>
        </w:rPr>
      </w:pPr>
      <w:r>
        <w:rPr>
          <w:rFonts w:ascii="Arial" w:cs="Arial" w:eastAsia="Arial" w:hAnsi="Arial"/>
          <w:sz w:val="15"/>
          <w:szCs w:val="15"/>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firstLine="751"/>
        <w:spacing w:after="0" w:line="170" w:lineRule="exact"/>
        <w:rPr>
          <w:sz w:val="20"/>
          <w:szCs w:val="20"/>
          <w:color w:val="auto"/>
        </w:rPr>
      </w:pPr>
      <w:r>
        <w:rPr>
          <w:rFonts w:ascii="Arial" w:cs="Arial" w:eastAsia="Arial" w:hAnsi="Arial"/>
          <w:sz w:val="14"/>
          <w:szCs w:val="14"/>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w:t>
      </w:r>
      <w:r>
        <w:rPr>
          <w:rFonts w:ascii="MS PGothic" w:cs="MS PGothic" w:eastAsia="MS PGothic" w:hAnsi="MS PGothic"/>
          <w:sz w:val="14"/>
          <w:szCs w:val="14"/>
          <w:color w:val="auto"/>
        </w:rPr>
        <w:t>‑</w:t>
      </w:r>
      <w:r>
        <w:rPr>
          <w:rFonts w:ascii="Arial" w:cs="Arial" w:eastAsia="Arial" w:hAnsi="Arial"/>
          <w:sz w:val="14"/>
          <w:szCs w:val="14"/>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64" w:lineRule="exact"/>
        <w:rPr>
          <w:sz w:val="20"/>
          <w:szCs w:val="20"/>
          <w:color w:val="auto"/>
        </w:rPr>
      </w:pPr>
    </w:p>
    <w:p>
      <w:pPr>
        <w:jc w:val="both"/>
        <w:ind w:right="280" w:firstLine="751"/>
        <w:spacing w:after="0" w:line="244" w:lineRule="auto"/>
        <w:rPr>
          <w:sz w:val="20"/>
          <w:szCs w:val="20"/>
          <w:color w:val="auto"/>
        </w:rPr>
      </w:pPr>
      <w:r>
        <w:rPr>
          <w:rFonts w:ascii="Arial" w:cs="Arial" w:eastAsia="Arial" w:hAnsi="Arial"/>
          <w:sz w:val="15"/>
          <w:szCs w:val="15"/>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55" w:lineRule="exact"/>
        <w:rPr>
          <w:sz w:val="20"/>
          <w:szCs w:val="20"/>
          <w:color w:val="auto"/>
        </w:rPr>
      </w:pPr>
    </w:p>
    <w:p>
      <w:pPr>
        <w:ind w:right="240" w:firstLine="751"/>
        <w:spacing w:after="0" w:line="290" w:lineRule="auto"/>
        <w:rPr>
          <w:sz w:val="20"/>
          <w:szCs w:val="20"/>
          <w:color w:val="auto"/>
        </w:rPr>
      </w:pPr>
      <w:r>
        <w:rPr>
          <w:rFonts w:ascii="Arial" w:cs="Arial" w:eastAsia="Arial" w:hAnsi="Arial"/>
          <w:sz w:val="14"/>
          <w:szCs w:val="14"/>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35" w:lineRule="exact"/>
        <w:rPr>
          <w:sz w:val="20"/>
          <w:szCs w:val="20"/>
          <w:color w:val="auto"/>
        </w:rPr>
      </w:pPr>
    </w:p>
    <w:p>
      <w:pPr>
        <w:ind w:left="1040" w:hanging="520"/>
        <w:spacing w:after="0"/>
        <w:tabs>
          <w:tab w:leader="none" w:pos="10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84" w:lineRule="exact"/>
        <w:rPr>
          <w:rFonts w:ascii="Arial" w:cs="Arial" w:eastAsia="Arial" w:hAnsi="Arial"/>
          <w:sz w:val="15"/>
          <w:szCs w:val="15"/>
          <w:color w:val="auto"/>
        </w:rPr>
      </w:pPr>
    </w:p>
    <w:p>
      <w:pPr>
        <w:ind w:left="1040" w:right="60" w:hanging="520"/>
        <w:spacing w:after="0" w:line="244" w:lineRule="auto"/>
        <w:tabs>
          <w:tab w:leader="none" w:pos="10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5" w:lineRule="exact"/>
        <w:rPr>
          <w:rFonts w:ascii="Arial" w:cs="Arial" w:eastAsia="Arial" w:hAnsi="Arial"/>
          <w:sz w:val="15"/>
          <w:szCs w:val="15"/>
          <w:color w:val="auto"/>
        </w:rPr>
      </w:pPr>
    </w:p>
    <w:p>
      <w:pPr>
        <w:ind w:left="1040" w:right="180" w:hanging="520"/>
        <w:spacing w:after="0" w:line="255" w:lineRule="auto"/>
        <w:tabs>
          <w:tab w:leader="none" w:pos="10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collaborators could fail to make timely regulatory submissions for a product candidate;</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collaborators may not comply with all applicable regulatory requirements or may fail to report safety data in accordance with all applicable regulatory requirements;</w:t>
      </w:r>
    </w:p>
    <w:p>
      <w:pPr>
        <w:spacing w:after="0" w:line="95" w:lineRule="exact"/>
        <w:rPr>
          <w:rFonts w:ascii="Arial" w:cs="Arial" w:eastAsia="Arial" w:hAnsi="Arial"/>
          <w:sz w:val="14"/>
          <w:szCs w:val="14"/>
          <w:color w:val="auto"/>
        </w:rPr>
      </w:pPr>
    </w:p>
    <w:p>
      <w:pPr>
        <w:ind w:left="1040" w:right="200" w:hanging="520"/>
        <w:spacing w:after="0" w:line="244" w:lineRule="auto"/>
        <w:tabs>
          <w:tab w:leader="none" w:pos="10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5" w:name="page76"/>
    <w:bookmarkEnd w:id="7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right="60" w:hanging="520"/>
        <w:spacing w:after="0" w:line="255" w:lineRule="auto"/>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7" w:lineRule="exact"/>
        <w:rPr>
          <w:rFonts w:ascii="Arial" w:cs="Arial" w:eastAsia="Arial" w:hAnsi="Arial"/>
          <w:sz w:val="15"/>
          <w:szCs w:val="15"/>
          <w:color w:val="auto"/>
        </w:rPr>
      </w:pPr>
    </w:p>
    <w:p>
      <w:pPr>
        <w:ind w:left="1040" w:right="120" w:hanging="520"/>
        <w:spacing w:after="0" w:line="255" w:lineRule="auto"/>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57" w:lineRule="exact"/>
        <w:rPr>
          <w:rFonts w:ascii="Arial" w:cs="Arial" w:eastAsia="Arial" w:hAnsi="Arial"/>
          <w:sz w:val="15"/>
          <w:szCs w:val="15"/>
          <w:color w:val="auto"/>
        </w:rPr>
      </w:pPr>
    </w:p>
    <w:p>
      <w:pPr>
        <w:ind w:left="1040" w:right="80" w:hanging="520"/>
        <w:spacing w:after="0" w:line="244" w:lineRule="auto"/>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65" w:lineRule="exact"/>
        <w:rPr>
          <w:rFonts w:ascii="Arial" w:cs="Arial" w:eastAsia="Arial" w:hAnsi="Arial"/>
          <w:sz w:val="15"/>
          <w:szCs w:val="15"/>
          <w:color w:val="auto"/>
        </w:rPr>
      </w:pPr>
    </w:p>
    <w:p>
      <w:pPr>
        <w:ind w:left="1040" w:right="280" w:hanging="520"/>
        <w:spacing w:after="0" w:line="255" w:lineRule="auto"/>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174" w:lineRule="exact"/>
        <w:rPr>
          <w:sz w:val="20"/>
          <w:szCs w:val="20"/>
          <w:color w:val="auto"/>
        </w:rPr>
      </w:pPr>
    </w:p>
    <w:p>
      <w:pPr>
        <w:jc w:val="both"/>
        <w:ind w:right="20" w:firstLine="751"/>
        <w:spacing w:after="0" w:line="300" w:lineRule="auto"/>
        <w:rPr>
          <w:sz w:val="20"/>
          <w:szCs w:val="20"/>
          <w:color w:val="auto"/>
        </w:rPr>
      </w:pPr>
      <w:r>
        <w:rPr>
          <w:rFonts w:ascii="Arial" w:cs="Arial" w:eastAsia="Arial" w:hAnsi="Arial"/>
          <w:sz w:val="13"/>
          <w:szCs w:val="13"/>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21" w:lineRule="exact"/>
        <w:rPr>
          <w:sz w:val="20"/>
          <w:szCs w:val="20"/>
          <w:color w:val="auto"/>
        </w:rPr>
      </w:pPr>
    </w:p>
    <w:p>
      <w:pPr>
        <w:jc w:val="both"/>
        <w:ind w:right="240" w:firstLine="751"/>
        <w:spacing w:after="0" w:line="244" w:lineRule="auto"/>
        <w:rPr>
          <w:sz w:val="20"/>
          <w:szCs w:val="20"/>
          <w:color w:val="auto"/>
        </w:rPr>
      </w:pPr>
      <w:r>
        <w:rPr>
          <w:rFonts w:ascii="Arial" w:cs="Arial" w:eastAsia="Arial" w:hAnsi="Arial"/>
          <w:sz w:val="15"/>
          <w:szCs w:val="15"/>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55" w:lineRule="exact"/>
        <w:rPr>
          <w:sz w:val="20"/>
          <w:szCs w:val="20"/>
          <w:color w:val="auto"/>
        </w:rPr>
      </w:pPr>
    </w:p>
    <w:p>
      <w:pPr>
        <w:ind w:firstLine="751"/>
        <w:spacing w:after="0" w:line="276" w:lineRule="auto"/>
        <w:rPr>
          <w:sz w:val="20"/>
          <w:szCs w:val="20"/>
          <w:color w:val="auto"/>
        </w:rPr>
      </w:pPr>
      <w:r>
        <w:rPr>
          <w:rFonts w:ascii="Arial" w:cs="Arial" w:eastAsia="Arial" w:hAnsi="Arial"/>
          <w:sz w:val="13"/>
          <w:szCs w:val="13"/>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28" w:lineRule="exact"/>
        <w:rPr>
          <w:sz w:val="20"/>
          <w:szCs w:val="20"/>
          <w:color w:val="auto"/>
        </w:rPr>
      </w:pPr>
    </w:p>
    <w:p>
      <w:pPr>
        <w:ind w:right="220"/>
        <w:spacing w:after="0" w:line="232" w:lineRule="auto"/>
        <w:rPr>
          <w:sz w:val="20"/>
          <w:szCs w:val="20"/>
          <w:color w:val="auto"/>
        </w:rPr>
      </w:pPr>
      <w:r>
        <w:rPr>
          <w:rFonts w:ascii="Arial" w:cs="Arial" w:eastAsia="Arial" w:hAnsi="Arial"/>
          <w:sz w:val="15"/>
          <w:szCs w:val="15"/>
          <w:b w:val="1"/>
          <w:bCs w:val="1"/>
          <w:i w:val="1"/>
          <w:iCs w:val="1"/>
          <w:color w:val="auto"/>
        </w:rPr>
        <w:t>We are dependent on third parties to decide to utilize our product candidates effectively, including by making them readily available at the point of care throughout their networks of pharmacies.</w:t>
      </w:r>
    </w:p>
    <w:p>
      <w:pPr>
        <w:spacing w:after="0" w:line="136" w:lineRule="exact"/>
        <w:rPr>
          <w:sz w:val="20"/>
          <w:szCs w:val="20"/>
          <w:color w:val="auto"/>
        </w:rPr>
      </w:pPr>
    </w:p>
    <w:p>
      <w:pPr>
        <w:ind w:right="40" w:firstLine="751"/>
        <w:spacing w:after="0" w:line="243" w:lineRule="auto"/>
        <w:rPr>
          <w:sz w:val="20"/>
          <w:szCs w:val="20"/>
          <w:color w:val="auto"/>
        </w:rPr>
      </w:pPr>
      <w:r>
        <w:rPr>
          <w:rFonts w:ascii="Arial" w:cs="Arial" w:eastAsia="Arial" w:hAnsi="Arial"/>
          <w:sz w:val="13"/>
          <w:szCs w:val="13"/>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6" w:name="page77"/>
    <w:bookmarkEnd w:id="7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INTELLECTUAL PROPERTY</w:t>
      </w:r>
    </w:p>
    <w:p>
      <w:pPr>
        <w:spacing w:after="0" w:line="178"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36" w:lineRule="exact"/>
        <w:rPr>
          <w:sz w:val="20"/>
          <w:szCs w:val="20"/>
          <w:color w:val="auto"/>
        </w:rPr>
      </w:pPr>
    </w:p>
    <w:p>
      <w:pPr>
        <w:ind w:right="60" w:firstLine="751"/>
        <w:spacing w:after="0" w:line="156" w:lineRule="exact"/>
        <w:rPr>
          <w:sz w:val="20"/>
          <w:szCs w:val="20"/>
          <w:color w:val="auto"/>
        </w:rPr>
      </w:pPr>
      <w:r>
        <w:rPr>
          <w:rFonts w:ascii="Arial" w:cs="Arial" w:eastAsia="Arial" w:hAnsi="Arial"/>
          <w:sz w:val="15"/>
          <w:szCs w:val="15"/>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5"/>
          <w:szCs w:val="15"/>
          <w:color w:val="auto"/>
        </w:rPr>
        <w:t>‑</w:t>
      </w:r>
      <w:r>
        <w:rPr>
          <w:rFonts w:ascii="Arial" w:cs="Arial" w:eastAsia="Arial" w:hAnsi="Arial"/>
          <w:sz w:val="15"/>
          <w:szCs w:val="15"/>
          <w:color w:val="auto"/>
        </w:rPr>
        <w:t>party challenges, patent and trade secret protection for our current and future product candidates that we may develop, license, or acquire, as well as the related manufacturing methods. We will be able to protect our technologies from unauthorized use by third parties to the extent that the technologies are covered by valid and enforceable patents or trade secrets.</w:t>
      </w:r>
    </w:p>
    <w:p>
      <w:pPr>
        <w:spacing w:after="0" w:line="136" w:lineRule="exact"/>
        <w:rPr>
          <w:sz w:val="20"/>
          <w:szCs w:val="20"/>
          <w:color w:val="auto"/>
        </w:rPr>
      </w:pPr>
    </w:p>
    <w:p>
      <w:pPr>
        <w:ind w:firstLine="751"/>
        <w:spacing w:after="0" w:line="149" w:lineRule="exact"/>
        <w:rPr>
          <w:sz w:val="20"/>
          <w:szCs w:val="20"/>
          <w:color w:val="auto"/>
        </w:rPr>
      </w:pPr>
      <w:r>
        <w:rPr>
          <w:rFonts w:ascii="Arial" w:cs="Arial" w:eastAsia="Arial" w:hAnsi="Arial"/>
          <w:sz w:val="14"/>
          <w:szCs w:val="14"/>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4"/>
          <w:szCs w:val="14"/>
          <w:color w:val="auto"/>
        </w:rPr>
        <w:t>‑</w:t>
      </w:r>
      <w:r>
        <w:rPr>
          <w:rFonts w:ascii="Arial" w:cs="Arial" w:eastAsia="Arial" w:hAnsi="Arial"/>
          <w:sz w:val="14"/>
          <w:szCs w:val="14"/>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64" w:lineRule="exact"/>
        <w:rPr>
          <w:sz w:val="20"/>
          <w:szCs w:val="20"/>
          <w:color w:val="auto"/>
        </w:rPr>
      </w:pPr>
    </w:p>
    <w:p>
      <w:pPr>
        <w:ind w:left="1040" w:hanging="520"/>
        <w:spacing w:after="0"/>
        <w:tabs>
          <w:tab w:leader="none" w:pos="10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not have been the first to conceive of and reduce to practice the inventions covered by each of our pending patent applications and issued patents;</w:t>
      </w:r>
    </w:p>
    <w:p>
      <w:pPr>
        <w:spacing w:after="0" w:line="95" w:lineRule="exact"/>
        <w:rPr>
          <w:rFonts w:ascii="Arial" w:cs="Arial" w:eastAsia="Arial" w:hAnsi="Arial"/>
          <w:sz w:val="14"/>
          <w:szCs w:val="14"/>
          <w:color w:val="auto"/>
        </w:rPr>
      </w:pPr>
    </w:p>
    <w:p>
      <w:pPr>
        <w:ind w:left="1040" w:hanging="520"/>
        <w:spacing w:after="0"/>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not have been the first to file patent applications for these inventions;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others may independently develop similar or alternative technologies or duplicate any of our product candidates or technologies;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it is possible that none of the pending patent applications will result in issued patents;</w:t>
      </w:r>
    </w:p>
    <w:p>
      <w:pPr>
        <w:spacing w:after="0" w:line="84" w:lineRule="exact"/>
        <w:rPr>
          <w:rFonts w:ascii="Arial" w:cs="Arial" w:eastAsia="Arial" w:hAnsi="Arial"/>
          <w:sz w:val="15"/>
          <w:szCs w:val="15"/>
          <w:color w:val="auto"/>
        </w:rPr>
      </w:pPr>
    </w:p>
    <w:p>
      <w:pPr>
        <w:ind w:left="1040" w:right="240" w:hanging="520"/>
        <w:spacing w:after="0" w:line="255" w:lineRule="auto"/>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issued patents may not cover commercially viable active products, may not provide us with any competitive advantages, or may be successfully challenged by third parties;</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may not develop additional proprietary technologies that are patentable;</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patents of others may have an adverse effect on our business;</w:t>
      </w:r>
    </w:p>
    <w:p>
      <w:pPr>
        <w:spacing w:after="0" w:line="84" w:lineRule="exact"/>
        <w:rPr>
          <w:rFonts w:ascii="Arial" w:cs="Arial" w:eastAsia="Arial" w:hAnsi="Arial"/>
          <w:sz w:val="15"/>
          <w:szCs w:val="15"/>
          <w:color w:val="auto"/>
        </w:rPr>
      </w:pPr>
    </w:p>
    <w:p>
      <w:pPr>
        <w:ind w:left="1040" w:hanging="520"/>
        <w:spacing w:after="0" w:line="290" w:lineRule="auto"/>
        <w:tabs>
          <w:tab w:leader="none" w:pos="10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77" w:name="page78"/>
    <w:bookmarkEnd w:id="7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right="240" w:hanging="520"/>
        <w:spacing w:after="0" w:line="331" w:lineRule="auto"/>
        <w:tabs>
          <w:tab w:leader="none" w:pos="10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2" w:lineRule="exact"/>
        <w:rPr>
          <w:rFonts w:ascii="Arial" w:cs="Arial" w:eastAsia="Arial" w:hAnsi="Arial"/>
          <w:sz w:val="13"/>
          <w:szCs w:val="13"/>
          <w:color w:val="auto"/>
        </w:rPr>
      </w:pPr>
    </w:p>
    <w:p>
      <w:pPr>
        <w:ind w:left="1040" w:hanging="520"/>
        <w:spacing w:after="0" w:line="255" w:lineRule="auto"/>
        <w:tabs>
          <w:tab w:leader="none" w:pos="10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36" w:lineRule="exact"/>
        <w:rPr>
          <w:sz w:val="20"/>
          <w:szCs w:val="20"/>
          <w:color w:val="auto"/>
        </w:rPr>
      </w:pPr>
    </w:p>
    <w:p>
      <w:pPr>
        <w:ind w:right="20" w:firstLine="751"/>
        <w:spacing w:after="0" w:line="150" w:lineRule="exact"/>
        <w:rPr>
          <w:sz w:val="20"/>
          <w:szCs w:val="20"/>
          <w:color w:val="auto"/>
        </w:rPr>
      </w:pPr>
      <w:r>
        <w:rPr>
          <w:rFonts w:ascii="Arial" w:cs="Arial" w:eastAsia="Arial" w:hAnsi="Arial"/>
          <w:sz w:val="13"/>
          <w:szCs w:val="13"/>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3"/>
          <w:szCs w:val="13"/>
          <w:color w:val="auto"/>
        </w:rPr>
        <w:t>‑</w:t>
      </w:r>
      <w:r>
        <w:rPr>
          <w:rFonts w:ascii="Arial" w:cs="Arial" w:eastAsia="Arial" w:hAnsi="Arial"/>
          <w:sz w:val="13"/>
          <w:szCs w:val="13"/>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51" w:lineRule="exact"/>
        <w:rPr>
          <w:sz w:val="20"/>
          <w:szCs w:val="20"/>
          <w:color w:val="auto"/>
        </w:rPr>
      </w:pPr>
    </w:p>
    <w:p>
      <w:pPr>
        <w:ind w:right="480"/>
        <w:spacing w:after="0" w:line="255" w:lineRule="auto"/>
        <w:rPr>
          <w:sz w:val="20"/>
          <w:szCs w:val="20"/>
          <w:color w:val="auto"/>
        </w:rPr>
      </w:pPr>
      <w:r>
        <w:rPr>
          <w:rFonts w:ascii="Arial" w:cs="Arial" w:eastAsia="Arial" w:hAnsi="Arial"/>
          <w:sz w:val="15"/>
          <w:szCs w:val="15"/>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36" w:lineRule="exact"/>
        <w:rPr>
          <w:sz w:val="20"/>
          <w:szCs w:val="20"/>
          <w:color w:val="auto"/>
        </w:rPr>
      </w:pPr>
    </w:p>
    <w:p>
      <w:pPr>
        <w:ind w:right="20" w:firstLine="751"/>
        <w:spacing w:after="0" w:line="227" w:lineRule="auto"/>
        <w:rPr>
          <w:sz w:val="20"/>
          <w:szCs w:val="20"/>
          <w:color w:val="auto"/>
        </w:rPr>
      </w:pPr>
      <w:r>
        <w:rPr>
          <w:rFonts w:ascii="Arial" w:cs="Arial" w:eastAsia="Arial" w:hAnsi="Arial"/>
          <w:sz w:val="14"/>
          <w:szCs w:val="14"/>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36" w:lineRule="exact"/>
        <w:rPr>
          <w:sz w:val="20"/>
          <w:szCs w:val="20"/>
          <w:color w:val="auto"/>
        </w:rPr>
      </w:pPr>
    </w:p>
    <w:p>
      <w:pPr>
        <w:ind w:firstLine="751"/>
        <w:spacing w:after="0" w:line="221" w:lineRule="auto"/>
        <w:rPr>
          <w:sz w:val="20"/>
          <w:szCs w:val="20"/>
          <w:color w:val="auto"/>
        </w:rPr>
      </w:pPr>
      <w:r>
        <w:rPr>
          <w:rFonts w:ascii="Arial" w:cs="Arial" w:eastAsia="Arial" w:hAnsi="Arial"/>
          <w:sz w:val="14"/>
          <w:szCs w:val="14"/>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may allow third parties to commercialize our technology or products and compete directly with us, without payment to us, or may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39" w:lineRule="exact"/>
        <w:rPr>
          <w:sz w:val="20"/>
          <w:szCs w:val="20"/>
          <w:color w:val="auto"/>
        </w:rPr>
      </w:pPr>
    </w:p>
    <w:p>
      <w:pPr>
        <w:ind w:right="40" w:firstLine="751"/>
        <w:spacing w:after="0" w:line="217" w:lineRule="auto"/>
        <w:rPr>
          <w:sz w:val="20"/>
          <w:szCs w:val="20"/>
          <w:color w:val="auto"/>
        </w:rPr>
      </w:pPr>
      <w:r>
        <w:rPr>
          <w:rFonts w:ascii="Arial" w:cs="Arial" w:eastAsia="Arial" w:hAnsi="Arial"/>
          <w:sz w:val="15"/>
          <w:szCs w:val="15"/>
          <w:color w:val="auto"/>
        </w:rPr>
        <w:t>In addition, the patentability of claims in pending patent applications covering any of our current or future product candidates can be challenged by third parties during prosecution before the USPTO, for example by third-party observations and derivation proceedings, and the validity of claims in issued patents can be challenged by third parties in various post-grant proceedings such as post-grant review, reexamination, and inter-partes review proceedings. We may incur increased expenses related to the growth of our intellectual property portfolio and to its defense.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78" w:name="page79"/>
    <w:bookmarkEnd w:id="7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jc w:val="both"/>
        <w:ind w:right="60" w:firstLine="751"/>
        <w:spacing w:after="0" w:line="232" w:lineRule="auto"/>
        <w:rPr>
          <w:sz w:val="20"/>
          <w:szCs w:val="20"/>
          <w:color w:val="auto"/>
        </w:rPr>
      </w:pPr>
      <w:r>
        <w:rPr>
          <w:rFonts w:ascii="Arial" w:cs="Arial" w:eastAsia="Arial" w:hAnsi="Arial"/>
          <w:sz w:val="14"/>
          <w:szCs w:val="14"/>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37" w:lineRule="exact"/>
        <w:rPr>
          <w:sz w:val="20"/>
          <w:szCs w:val="20"/>
          <w:color w:val="auto"/>
        </w:rPr>
      </w:pPr>
    </w:p>
    <w:p>
      <w:pPr>
        <w:ind w:firstLine="751"/>
        <w:spacing w:after="0" w:line="214" w:lineRule="auto"/>
        <w:rPr>
          <w:sz w:val="20"/>
          <w:szCs w:val="20"/>
          <w:color w:val="auto"/>
        </w:rPr>
      </w:pPr>
      <w:r>
        <w:rPr>
          <w:rFonts w:ascii="Arial" w:cs="Arial" w:eastAsia="Arial" w:hAnsi="Arial"/>
          <w:sz w:val="15"/>
          <w:szCs w:val="15"/>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47" w:lineRule="exact"/>
        <w:rPr>
          <w:sz w:val="20"/>
          <w:szCs w:val="20"/>
          <w:color w:val="auto"/>
        </w:rPr>
      </w:pPr>
    </w:p>
    <w:p>
      <w:pPr>
        <w:ind w:right="20" w:firstLine="751"/>
        <w:spacing w:after="0" w:line="254" w:lineRule="auto"/>
        <w:rPr>
          <w:sz w:val="20"/>
          <w:szCs w:val="20"/>
          <w:color w:val="auto"/>
        </w:rPr>
      </w:pPr>
      <w:r>
        <w:rPr>
          <w:rFonts w:ascii="Arial" w:cs="Arial" w:eastAsia="Arial" w:hAnsi="Arial"/>
          <w:sz w:val="14"/>
          <w:szCs w:val="14"/>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non-U.S. patent agencies for the patents and patent applications we own and those that we in license. We also employ reputable law firms and other professionals to help us comply with the various documentary and other procedural requirements with respect to the patents and patent applications that we own and those that we in 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53" w:lineRule="exact"/>
        <w:rPr>
          <w:sz w:val="20"/>
          <w:szCs w:val="20"/>
          <w:color w:val="auto"/>
        </w:rPr>
      </w:pPr>
    </w:p>
    <w:p>
      <w:pPr>
        <w:ind w:right="180"/>
        <w:spacing w:after="0" w:line="255" w:lineRule="auto"/>
        <w:rPr>
          <w:sz w:val="20"/>
          <w:szCs w:val="20"/>
          <w:color w:val="auto"/>
        </w:rPr>
      </w:pPr>
      <w:r>
        <w:rPr>
          <w:rFonts w:ascii="Arial" w:cs="Arial" w:eastAsia="Arial" w:hAnsi="Arial"/>
          <w:sz w:val="15"/>
          <w:szCs w:val="15"/>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47" w:lineRule="exact"/>
        <w:rPr>
          <w:sz w:val="20"/>
          <w:szCs w:val="20"/>
          <w:color w:val="auto"/>
        </w:rPr>
      </w:pPr>
    </w:p>
    <w:p>
      <w:pPr>
        <w:ind w:firstLine="751"/>
        <w:spacing w:after="0" w:line="254" w:lineRule="auto"/>
        <w:rPr>
          <w:sz w:val="20"/>
          <w:szCs w:val="20"/>
          <w:color w:val="auto"/>
        </w:rPr>
      </w:pPr>
      <w:r>
        <w:rPr>
          <w:rFonts w:ascii="Arial" w:cs="Arial" w:eastAsia="Arial" w:hAnsi="Arial"/>
          <w:sz w:val="14"/>
          <w:szCs w:val="14"/>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If a third-party claims that we infringe their intellectual property rights, we could face a number of issues, including:</w:t>
      </w:r>
    </w:p>
    <w:p>
      <w:pPr>
        <w:spacing w:after="0" w:line="84" w:lineRule="exact"/>
        <w:rPr>
          <w:sz w:val="20"/>
          <w:szCs w:val="20"/>
          <w:color w:val="auto"/>
        </w:rPr>
      </w:pPr>
    </w:p>
    <w:p>
      <w:pPr>
        <w:ind w:left="1040" w:right="440" w:hanging="520"/>
        <w:spacing w:after="0" w:line="255" w:lineRule="auto"/>
        <w:tabs>
          <w:tab w:leader="none" w:pos="10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infringement and other intellectual property claims which, whether meritorious or not, can be expensive and time consuming to litigate and can divert management’s attention from our core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79" w:name="page80"/>
    <w:bookmarkEnd w:id="7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hanging="520"/>
        <w:spacing w:after="0"/>
        <w:tabs>
          <w:tab w:leader="none" w:pos="10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substantial damages for past infringement which we may have to pay if a court decides that our product infringes on a competitor’s patent;</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 court prohibiting us from selling or licensing our product unless the patent holder licenses the patent to us, which it would not be required to do;</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if a license is available from a patent holder, we may have to pay substantial royalties or grant cross licenses to our patents;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redesigning our product candidates and processes so they do not infringe, which may not be possible or could require substantial funds and time.</w:t>
      </w:r>
    </w:p>
    <w:p>
      <w:pPr>
        <w:spacing w:after="0" w:line="174" w:lineRule="exact"/>
        <w:rPr>
          <w:sz w:val="20"/>
          <w:szCs w:val="20"/>
          <w:color w:val="auto"/>
        </w:rPr>
      </w:pPr>
    </w:p>
    <w:p>
      <w:pPr>
        <w:ind w:right="140" w:firstLine="751"/>
        <w:spacing w:after="0" w:line="171" w:lineRule="exact"/>
        <w:rPr>
          <w:sz w:val="20"/>
          <w:szCs w:val="20"/>
          <w:color w:val="auto"/>
        </w:rPr>
      </w:pPr>
      <w:r>
        <w:rPr>
          <w:rFonts w:ascii="Arial" w:cs="Arial" w:eastAsia="Arial" w:hAnsi="Arial"/>
          <w:sz w:val="15"/>
          <w:szCs w:val="15"/>
          <w:color w:val="auto"/>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5"/>
          <w:szCs w:val="15"/>
          <w:color w:val="auto"/>
        </w:rPr>
        <w:t>‑</w:t>
      </w:r>
      <w:r>
        <w:rPr>
          <w:rFonts w:ascii="Arial" w:cs="Arial" w:eastAsia="Arial" w:hAnsi="Arial"/>
          <w:sz w:val="15"/>
          <w:szCs w:val="15"/>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 consuming, and unsuccessful.</w:t>
      </w:r>
    </w:p>
    <w:p>
      <w:pPr>
        <w:spacing w:after="0" w:line="185" w:lineRule="exact"/>
        <w:rPr>
          <w:sz w:val="20"/>
          <w:szCs w:val="20"/>
          <w:color w:val="auto"/>
        </w:rPr>
      </w:pPr>
    </w:p>
    <w:p>
      <w:pPr>
        <w:ind w:firstLine="751"/>
        <w:spacing w:after="0" w:line="236" w:lineRule="auto"/>
        <w:rPr>
          <w:sz w:val="20"/>
          <w:szCs w:val="20"/>
          <w:color w:val="auto"/>
        </w:rPr>
      </w:pPr>
      <w:r>
        <w:rPr>
          <w:rFonts w:ascii="Arial" w:cs="Arial" w:eastAsia="Arial" w:hAnsi="Arial"/>
          <w:sz w:val="15"/>
          <w:szCs w:val="15"/>
          <w:color w:val="auto"/>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2" w:lineRule="exact"/>
        <w:rPr>
          <w:sz w:val="20"/>
          <w:szCs w:val="20"/>
          <w:color w:val="auto"/>
        </w:rPr>
      </w:pPr>
    </w:p>
    <w:p>
      <w:pPr>
        <w:ind w:right="20" w:firstLine="751"/>
        <w:spacing w:after="0" w:line="300" w:lineRule="auto"/>
        <w:rPr>
          <w:sz w:val="20"/>
          <w:szCs w:val="20"/>
          <w:color w:val="auto"/>
        </w:rPr>
      </w:pPr>
      <w:r>
        <w:rPr>
          <w:rFonts w:ascii="Arial" w:cs="Arial" w:eastAsia="Arial" w:hAnsi="Arial"/>
          <w:sz w:val="13"/>
          <w:szCs w:val="13"/>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21" w:lineRule="exact"/>
        <w:rPr>
          <w:sz w:val="20"/>
          <w:szCs w:val="20"/>
          <w:color w:val="auto"/>
        </w:rPr>
      </w:pPr>
    </w:p>
    <w:p>
      <w:pPr>
        <w:ind w:right="300"/>
        <w:spacing w:after="0" w:line="255" w:lineRule="auto"/>
        <w:rPr>
          <w:sz w:val="20"/>
          <w:szCs w:val="20"/>
          <w:color w:val="auto"/>
        </w:rPr>
      </w:pPr>
      <w:r>
        <w:rPr>
          <w:rFonts w:ascii="Arial" w:cs="Arial" w:eastAsia="Arial" w:hAnsi="Arial"/>
          <w:sz w:val="15"/>
          <w:szCs w:val="15"/>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47" w:lineRule="exact"/>
        <w:rPr>
          <w:sz w:val="20"/>
          <w:szCs w:val="20"/>
          <w:color w:val="auto"/>
        </w:rPr>
      </w:pPr>
    </w:p>
    <w:p>
      <w:pPr>
        <w:ind w:right="40" w:firstLine="751"/>
        <w:spacing w:after="0" w:line="284" w:lineRule="auto"/>
        <w:rPr>
          <w:sz w:val="20"/>
          <w:szCs w:val="20"/>
          <w:color w:val="auto"/>
        </w:rPr>
      </w:pPr>
      <w:r>
        <w:rPr>
          <w:rFonts w:ascii="Arial" w:cs="Arial" w:eastAsia="Arial" w:hAnsi="Arial"/>
          <w:sz w:val="13"/>
          <w:szCs w:val="13"/>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80" w:name="page81"/>
    <w:bookmarkEnd w:id="8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agreements, the applicable licensor may have the right to terminate our license, in which case we may not be able to develop or commercialize the products covered by such license.</w:t>
      </w:r>
    </w:p>
    <w:p>
      <w:pPr>
        <w:spacing w:after="0" w:line="185" w:lineRule="exact"/>
        <w:rPr>
          <w:sz w:val="20"/>
          <w:szCs w:val="20"/>
          <w:color w:val="auto"/>
        </w:rPr>
      </w:pPr>
    </w:p>
    <w:p>
      <w:pPr>
        <w:ind w:firstLine="751"/>
        <w:spacing w:after="0" w:line="252" w:lineRule="auto"/>
        <w:rPr>
          <w:sz w:val="20"/>
          <w:szCs w:val="20"/>
          <w:color w:val="auto"/>
        </w:rPr>
      </w:pPr>
      <w:r>
        <w:rPr>
          <w:rFonts w:ascii="Arial" w:cs="Arial" w:eastAsia="Arial" w:hAnsi="Arial"/>
          <w:sz w:val="14"/>
          <w:szCs w:val="14"/>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55" w:lineRule="exact"/>
        <w:rPr>
          <w:sz w:val="20"/>
          <w:szCs w:val="20"/>
          <w:color w:val="auto"/>
        </w:rPr>
      </w:pPr>
    </w:p>
    <w:p>
      <w:pPr>
        <w:ind w:right="60" w:firstLine="751"/>
        <w:spacing w:after="0" w:line="170" w:lineRule="exact"/>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4"/>
          <w:szCs w:val="14"/>
          <w:color w:val="auto"/>
        </w:rPr>
        <w:t>‑</w:t>
      </w:r>
      <w:r>
        <w:rPr>
          <w:rFonts w:ascii="Arial" w:cs="Arial" w:eastAsia="Arial" w:hAnsi="Arial"/>
          <w:sz w:val="14"/>
          <w:szCs w:val="14"/>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159" w:lineRule="exact"/>
        <w:rPr>
          <w:sz w:val="20"/>
          <w:szCs w:val="20"/>
          <w:color w:val="auto"/>
        </w:rPr>
      </w:pPr>
    </w:p>
    <w:p>
      <w:pPr>
        <w:ind w:right="340"/>
        <w:spacing w:after="0" w:line="255" w:lineRule="auto"/>
        <w:rPr>
          <w:sz w:val="20"/>
          <w:szCs w:val="20"/>
          <w:color w:val="auto"/>
        </w:rPr>
      </w:pPr>
      <w:r>
        <w:rPr>
          <w:rFonts w:ascii="Arial" w:cs="Arial" w:eastAsia="Arial" w:hAnsi="Arial"/>
          <w:sz w:val="15"/>
          <w:szCs w:val="15"/>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36" w:lineRule="exact"/>
        <w:rPr>
          <w:sz w:val="20"/>
          <w:szCs w:val="20"/>
          <w:color w:val="auto"/>
        </w:rPr>
      </w:pPr>
    </w:p>
    <w:p>
      <w:pPr>
        <w:ind w:right="20" w:firstLine="751"/>
        <w:spacing w:after="0" w:line="232" w:lineRule="auto"/>
        <w:rPr>
          <w:sz w:val="20"/>
          <w:szCs w:val="20"/>
          <w:color w:val="auto"/>
        </w:rPr>
      </w:pPr>
      <w:r>
        <w:rPr>
          <w:rFonts w:ascii="Arial" w:cs="Arial" w:eastAsia="Arial" w:hAnsi="Arial"/>
          <w:sz w:val="14"/>
          <w:szCs w:val="14"/>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81" w:name="page82"/>
    <w:bookmarkEnd w:id="8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adequately prevent disclosure of trade secrets and other proprietary information.</w:t>
      </w:r>
    </w:p>
    <w:p>
      <w:pPr>
        <w:spacing w:after="0" w:line="151" w:lineRule="exact"/>
        <w:rPr>
          <w:sz w:val="20"/>
          <w:szCs w:val="20"/>
          <w:color w:val="auto"/>
        </w:rPr>
      </w:pPr>
    </w:p>
    <w:p>
      <w:pPr>
        <w:ind w:right="40" w:firstLine="751"/>
        <w:spacing w:after="0"/>
        <w:rPr>
          <w:sz w:val="20"/>
          <w:szCs w:val="20"/>
          <w:color w:val="auto"/>
        </w:rPr>
      </w:pPr>
      <w:r>
        <w:rPr>
          <w:rFonts w:ascii="Arial" w:cs="Arial" w:eastAsia="Arial" w:hAnsi="Arial"/>
          <w:sz w:val="13"/>
          <w:szCs w:val="13"/>
          <w:color w:val="auto"/>
        </w:rPr>
        <w:t>We rely on trade secrets to protect our proprietary technological advances and know 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or our licensors may not be able to protect our intellectual property rights throughout the world.</w:t>
      </w:r>
    </w:p>
    <w:p>
      <w:pPr>
        <w:spacing w:after="0" w:line="163" w:lineRule="exact"/>
        <w:rPr>
          <w:sz w:val="20"/>
          <w:szCs w:val="20"/>
          <w:color w:val="auto"/>
        </w:rPr>
      </w:pPr>
    </w:p>
    <w:p>
      <w:pPr>
        <w:ind w:right="40" w:firstLine="751"/>
        <w:spacing w:after="0" w:line="225" w:lineRule="auto"/>
        <w:rPr>
          <w:sz w:val="20"/>
          <w:szCs w:val="20"/>
          <w:color w:val="auto"/>
        </w:rPr>
      </w:pPr>
      <w:r>
        <w:rPr>
          <w:rFonts w:ascii="Arial" w:cs="Arial" w:eastAsia="Arial" w:hAnsi="Arial"/>
          <w:sz w:val="14"/>
          <w:szCs w:val="14"/>
          <w:color w:val="auto"/>
        </w:rPr>
        <w:t>Filing, prosecuting, and defending patent applications and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39" w:lineRule="exact"/>
        <w:rPr>
          <w:sz w:val="20"/>
          <w:szCs w:val="20"/>
          <w:color w:val="auto"/>
        </w:rPr>
      </w:pPr>
    </w:p>
    <w:p>
      <w:pPr>
        <w:ind w:right="80" w:firstLine="751"/>
        <w:spacing w:after="0" w:line="227"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LEGAL AND COMPLIANCE MATTERS</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14" w:lineRule="exact"/>
        <w:rPr>
          <w:sz w:val="20"/>
          <w:szCs w:val="20"/>
          <w:color w:val="auto"/>
        </w:rPr>
      </w:pPr>
    </w:p>
    <w:p>
      <w:pPr>
        <w:ind w:right="120" w:firstLine="751"/>
        <w:spacing w:after="0" w:line="152" w:lineRule="exact"/>
        <w:rPr>
          <w:sz w:val="20"/>
          <w:szCs w:val="20"/>
          <w:color w:val="auto"/>
        </w:rPr>
      </w:pPr>
      <w:r>
        <w:rPr>
          <w:rFonts w:ascii="Arial" w:cs="Arial" w:eastAsia="Arial" w:hAnsi="Arial"/>
          <w:sz w:val="13"/>
          <w:szCs w:val="13"/>
          <w:color w:val="auto"/>
        </w:rPr>
        <w:t>As a pharmaceutical company, we are subject to many federal and state healthcare laws, including those described in “Business—Government Regulation and Product Approval” above in this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would be subject to healthcare fraud and abuse laws by both the federal government and the states in which we conduct our business.</w:t>
      </w:r>
    </w:p>
    <w:p>
      <w:pPr>
        <w:spacing w:after="0" w:line="138" w:lineRule="exact"/>
        <w:rPr>
          <w:sz w:val="20"/>
          <w:szCs w:val="20"/>
          <w:color w:val="auto"/>
        </w:rPr>
      </w:pPr>
    </w:p>
    <w:p>
      <w:pPr>
        <w:ind w:right="320" w:firstLine="751"/>
        <w:spacing w:after="0" w:line="232" w:lineRule="auto"/>
        <w:rPr>
          <w:sz w:val="20"/>
          <w:szCs w:val="20"/>
          <w:color w:val="auto"/>
        </w:rPr>
      </w:pPr>
      <w:r>
        <w:rPr>
          <w:rFonts w:ascii="Arial" w:cs="Arial" w:eastAsia="Arial" w:hAnsi="Arial"/>
          <w:sz w:val="15"/>
          <w:szCs w:val="15"/>
          <w:color w:val="auto"/>
        </w:rPr>
        <w:t>There are numerous other laws and legislative and regulatory initiatives at the federal and state levels addressing privacy and security concerns, and some state privacy and security laws apply more broadly than the Health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82" w:name="page83"/>
    <w:bookmarkEnd w:id="8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ind w:right="60"/>
        <w:spacing w:after="0" w:line="212" w:lineRule="auto"/>
        <w:rPr>
          <w:sz w:val="20"/>
          <w:szCs w:val="20"/>
          <w:color w:val="auto"/>
        </w:rPr>
      </w:pPr>
      <w:r>
        <w:rPr>
          <w:rFonts w:ascii="Arial" w:cs="Arial" w:eastAsia="Arial" w:hAnsi="Arial"/>
          <w:sz w:val="15"/>
          <w:szCs w:val="15"/>
          <w:color w:val="auto"/>
        </w:rPr>
        <w:t>Insurance Portability and Accountability Act (HIPAA) and its implementing regulations. For example, 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36" w:lineRule="exact"/>
        <w:rPr>
          <w:sz w:val="20"/>
          <w:szCs w:val="20"/>
          <w:color w:val="auto"/>
        </w:rPr>
      </w:pPr>
    </w:p>
    <w:p>
      <w:pPr>
        <w:ind w:firstLine="751"/>
        <w:spacing w:after="0" w:line="221" w:lineRule="auto"/>
        <w:rPr>
          <w:sz w:val="20"/>
          <w:szCs w:val="20"/>
          <w:color w:val="auto"/>
        </w:rPr>
      </w:pPr>
      <w:r>
        <w:rPr>
          <w:rFonts w:ascii="Arial" w:cs="Arial" w:eastAsia="Arial" w:hAnsi="Arial"/>
          <w:sz w:val="14"/>
          <w:szCs w:val="14"/>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42" w:lineRule="exact"/>
        <w:rPr>
          <w:sz w:val="20"/>
          <w:szCs w:val="20"/>
          <w:color w:val="auto"/>
        </w:rPr>
      </w:pPr>
    </w:p>
    <w:p>
      <w:pPr>
        <w:ind w:right="20" w:firstLine="751"/>
        <w:spacing w:after="0" w:line="227" w:lineRule="auto"/>
        <w:rPr>
          <w:sz w:val="20"/>
          <w:szCs w:val="20"/>
          <w:color w:val="auto"/>
        </w:rPr>
      </w:pPr>
      <w:r>
        <w:rPr>
          <w:rFonts w:ascii="Arial" w:cs="Arial" w:eastAsia="Arial" w:hAnsi="Arial"/>
          <w:sz w:val="14"/>
          <w:szCs w:val="14"/>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36" w:lineRule="exact"/>
        <w:rPr>
          <w:sz w:val="20"/>
          <w:szCs w:val="20"/>
          <w:color w:val="auto"/>
        </w:rPr>
      </w:pPr>
    </w:p>
    <w:p>
      <w:pPr>
        <w:jc w:val="both"/>
        <w:ind w:right="80" w:firstLine="751"/>
        <w:spacing w:after="0" w:line="238" w:lineRule="auto"/>
        <w:rPr>
          <w:sz w:val="20"/>
          <w:szCs w:val="20"/>
          <w:color w:val="auto"/>
        </w:rPr>
      </w:pPr>
      <w:r>
        <w:rPr>
          <w:rFonts w:ascii="Arial" w:cs="Arial" w:eastAsia="Arial" w:hAnsi="Arial"/>
          <w:sz w:val="14"/>
          <w:szCs w:val="14"/>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6" w:lineRule="exact"/>
        <w:rPr>
          <w:sz w:val="20"/>
          <w:szCs w:val="20"/>
          <w:color w:val="auto"/>
        </w:rPr>
      </w:pPr>
    </w:p>
    <w:p>
      <w:pPr>
        <w:jc w:val="both"/>
        <w:ind w:right="60"/>
        <w:spacing w:after="0" w:line="290" w:lineRule="auto"/>
        <w:rPr>
          <w:sz w:val="20"/>
          <w:szCs w:val="20"/>
          <w:color w:val="auto"/>
        </w:rPr>
      </w:pPr>
      <w:r>
        <w:rPr>
          <w:rFonts w:ascii="Arial" w:cs="Arial" w:eastAsia="Arial" w:hAnsi="Arial"/>
          <w:sz w:val="14"/>
          <w:szCs w:val="14"/>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14" w:lineRule="exact"/>
        <w:rPr>
          <w:sz w:val="20"/>
          <w:szCs w:val="20"/>
          <w:color w:val="auto"/>
        </w:rPr>
      </w:pPr>
    </w:p>
    <w:p>
      <w:pPr>
        <w:jc w:val="both"/>
        <w:ind w:right="20" w:firstLine="751"/>
        <w:spacing w:after="0" w:line="239" w:lineRule="auto"/>
        <w:rPr>
          <w:sz w:val="20"/>
          <w:szCs w:val="20"/>
          <w:color w:val="auto"/>
        </w:rPr>
      </w:pPr>
      <w:r>
        <w:rPr>
          <w:rFonts w:ascii="Arial" w:cs="Arial" w:eastAsia="Arial" w:hAnsi="Arial"/>
          <w:sz w:val="13"/>
          <w:szCs w:val="13"/>
          <w:color w:val="auto"/>
        </w:rPr>
        <w:t>In both domestic and foreign markets, sales of our future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w:t>
      </w:r>
    </w:p>
    <w:p>
      <w:pPr>
        <w:spacing w:after="0" w:line="1" w:lineRule="exact"/>
        <w:rPr>
          <w:sz w:val="20"/>
          <w:szCs w:val="20"/>
          <w:color w:val="auto"/>
        </w:rPr>
      </w:pPr>
    </w:p>
    <w:p>
      <w:pPr>
        <w:ind w:right="20"/>
        <w:spacing w:after="0" w:line="209" w:lineRule="auto"/>
        <w:rPr>
          <w:sz w:val="20"/>
          <w:szCs w:val="20"/>
          <w:color w:val="auto"/>
        </w:rPr>
      </w:pPr>
      <w:r>
        <w:rPr>
          <w:rFonts w:ascii="Arial" w:cs="Arial" w:eastAsia="Arial" w:hAnsi="Arial"/>
          <w:sz w:val="15"/>
          <w:szCs w:val="15"/>
          <w:color w:val="auto"/>
        </w:rPr>
        <w:t>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83" w:name="page84"/>
    <w:bookmarkEnd w:id="8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ind w:firstLine="751"/>
        <w:spacing w:after="0" w:line="237" w:lineRule="auto"/>
        <w:rPr>
          <w:sz w:val="20"/>
          <w:szCs w:val="20"/>
          <w:color w:val="auto"/>
        </w:rPr>
      </w:pPr>
      <w:r>
        <w:rPr>
          <w:rFonts w:ascii="Arial" w:cs="Arial" w:eastAsia="Arial" w:hAnsi="Arial"/>
          <w:sz w:val="13"/>
          <w:szCs w:val="13"/>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140" w:lineRule="exact"/>
        <w:rPr>
          <w:sz w:val="20"/>
          <w:szCs w:val="20"/>
          <w:color w:val="auto"/>
        </w:rPr>
      </w:pPr>
    </w:p>
    <w:p>
      <w:pPr>
        <w:ind w:firstLine="751"/>
        <w:spacing w:after="0" w:line="229" w:lineRule="auto"/>
        <w:rPr>
          <w:sz w:val="20"/>
          <w:szCs w:val="20"/>
          <w:color w:val="auto"/>
        </w:rPr>
      </w:pPr>
      <w:r>
        <w:rPr>
          <w:rFonts w:ascii="Arial" w:cs="Arial" w:eastAsia="Arial" w:hAnsi="Arial"/>
          <w:sz w:val="14"/>
          <w:szCs w:val="14"/>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37" w:lineRule="exact"/>
        <w:rPr>
          <w:sz w:val="20"/>
          <w:szCs w:val="20"/>
          <w:color w:val="auto"/>
        </w:rPr>
      </w:pPr>
    </w:p>
    <w:p>
      <w:pPr>
        <w:ind w:right="80" w:firstLine="751"/>
        <w:spacing w:after="0" w:line="245" w:lineRule="auto"/>
        <w:rPr>
          <w:sz w:val="20"/>
          <w:szCs w:val="20"/>
          <w:color w:val="auto"/>
        </w:rPr>
      </w:pPr>
      <w:r>
        <w:rPr>
          <w:rFonts w:ascii="Arial" w:cs="Arial" w:eastAsia="Arial" w:hAnsi="Arial"/>
          <w:sz w:val="13"/>
          <w:szCs w:val="13"/>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134" w:lineRule="exact"/>
        <w:rPr>
          <w:sz w:val="20"/>
          <w:szCs w:val="20"/>
          <w:color w:val="auto"/>
        </w:rPr>
      </w:pPr>
    </w:p>
    <w:p>
      <w:pPr>
        <w:ind w:firstLine="751"/>
        <w:spacing w:after="0" w:line="209" w:lineRule="auto"/>
        <w:rPr>
          <w:sz w:val="20"/>
          <w:szCs w:val="20"/>
          <w:color w:val="auto"/>
        </w:rPr>
      </w:pPr>
      <w:r>
        <w:rPr>
          <w:rFonts w:ascii="Arial" w:cs="Arial" w:eastAsia="Arial" w:hAnsi="Arial"/>
          <w:sz w:val="15"/>
          <w:szCs w:val="15"/>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39" w:lineRule="exact"/>
        <w:rPr>
          <w:sz w:val="20"/>
          <w:szCs w:val="20"/>
          <w:color w:val="auto"/>
        </w:rPr>
      </w:pPr>
    </w:p>
    <w:p>
      <w:pPr>
        <w:ind w:right="280" w:firstLine="751"/>
        <w:spacing w:after="0" w:line="295" w:lineRule="auto"/>
        <w:rPr>
          <w:sz w:val="20"/>
          <w:szCs w:val="20"/>
          <w:color w:val="auto"/>
        </w:rPr>
      </w:pPr>
      <w:r>
        <w:rPr>
          <w:rFonts w:ascii="Arial" w:cs="Arial" w:eastAsia="Arial" w:hAnsi="Arial"/>
          <w:sz w:val="13"/>
          <w:szCs w:val="13"/>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84" w:name="page85"/>
    <w:bookmarkEnd w:id="8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jc w:val="both"/>
        <w:ind w:right="20"/>
        <w:spacing w:after="0" w:line="238" w:lineRule="auto"/>
        <w:rPr>
          <w:sz w:val="20"/>
          <w:szCs w:val="20"/>
          <w:color w:val="auto"/>
        </w:rPr>
      </w:pPr>
      <w:r>
        <w:rPr>
          <w:rFonts w:ascii="Arial" w:cs="Arial" w:eastAsia="Arial" w:hAnsi="Arial"/>
          <w:sz w:val="14"/>
          <w:szCs w:val="14"/>
          <w:color w:val="auto"/>
        </w:rPr>
        <w:t>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35" w:lineRule="exact"/>
        <w:rPr>
          <w:sz w:val="20"/>
          <w:szCs w:val="20"/>
          <w:color w:val="auto"/>
        </w:rPr>
      </w:pPr>
    </w:p>
    <w:p>
      <w:pPr>
        <w:ind w:right="20" w:firstLine="751"/>
        <w:spacing w:after="0" w:line="248" w:lineRule="auto"/>
        <w:rPr>
          <w:sz w:val="20"/>
          <w:szCs w:val="20"/>
          <w:color w:val="auto"/>
        </w:rPr>
      </w:pPr>
      <w:r>
        <w:rPr>
          <w:rFonts w:ascii="Arial" w:cs="Arial" w:eastAsia="Arial" w:hAnsi="Arial"/>
          <w:sz w:val="13"/>
          <w:szCs w:val="13"/>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32" w:lineRule="exact"/>
        <w:rPr>
          <w:sz w:val="20"/>
          <w:szCs w:val="20"/>
          <w:color w:val="auto"/>
        </w:rPr>
      </w:pPr>
    </w:p>
    <w:p>
      <w:pPr>
        <w:ind w:right="60" w:firstLine="751"/>
        <w:spacing w:after="0" w:line="212" w:lineRule="auto"/>
        <w:rPr>
          <w:sz w:val="20"/>
          <w:szCs w:val="20"/>
          <w:color w:val="auto"/>
        </w:rPr>
      </w:pPr>
      <w:r>
        <w:rPr>
          <w:rFonts w:ascii="Arial" w:cs="Arial" w:eastAsia="Arial" w:hAnsi="Arial"/>
          <w:sz w:val="15"/>
          <w:szCs w:val="15"/>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7" w:lineRule="exact"/>
        <w:rPr>
          <w:sz w:val="20"/>
          <w:szCs w:val="20"/>
          <w:color w:val="auto"/>
        </w:rPr>
      </w:pPr>
    </w:p>
    <w:p>
      <w:pPr>
        <w:ind w:right="480"/>
        <w:spacing w:after="0" w:line="255"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36" w:lineRule="exact"/>
        <w:rPr>
          <w:sz w:val="20"/>
          <w:szCs w:val="20"/>
          <w:color w:val="auto"/>
        </w:rPr>
      </w:pPr>
    </w:p>
    <w:p>
      <w:pPr>
        <w:ind w:right="120" w:firstLine="751"/>
        <w:spacing w:after="0" w:line="154" w:lineRule="exact"/>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5"/>
          <w:szCs w:val="15"/>
          <w:color w:val="auto"/>
        </w:rPr>
        <w:t>‑</w:t>
      </w:r>
      <w:r>
        <w:rPr>
          <w:rFonts w:ascii="Arial" w:cs="Arial" w:eastAsia="Arial" w:hAnsi="Arial"/>
          <w:sz w:val="15"/>
          <w:szCs w:val="15"/>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36" w:lineRule="exact"/>
        <w:rPr>
          <w:sz w:val="20"/>
          <w:szCs w:val="20"/>
          <w:color w:val="auto"/>
        </w:rPr>
      </w:pPr>
    </w:p>
    <w:p>
      <w:pPr>
        <w:jc w:val="both"/>
        <w:ind w:right="200" w:firstLine="751"/>
        <w:spacing w:after="0" w:line="222" w:lineRule="auto"/>
        <w:rPr>
          <w:sz w:val="20"/>
          <w:szCs w:val="20"/>
          <w:color w:val="auto"/>
        </w:rPr>
      </w:pPr>
      <w:r>
        <w:rPr>
          <w:rFonts w:ascii="Arial" w:cs="Arial" w:eastAsia="Arial" w:hAnsi="Arial"/>
          <w:sz w:val="15"/>
          <w:szCs w:val="15"/>
          <w:color w:val="auto"/>
        </w:rPr>
        <w:t>For example, there have been numerous attempts by Congress and the former Trump Administration, through legislation and executive orders, to repeal or materially modify various aspects of ACA. In addition, there have been multiple lawsuits challenging the constitutionality of the ACA as well as various components of the ACA. After proceeding through more recent appellate challenges, in June 2021, the Supreme Court upheld the ACA.</w:t>
      </w:r>
    </w:p>
    <w:p>
      <w:pPr>
        <w:spacing w:after="0" w:line="136" w:lineRule="exact"/>
        <w:rPr>
          <w:sz w:val="20"/>
          <w:szCs w:val="20"/>
          <w:color w:val="auto"/>
        </w:rPr>
      </w:pPr>
    </w:p>
    <w:p>
      <w:pPr>
        <w:ind w:firstLine="751"/>
        <w:spacing w:after="0" w:line="209" w:lineRule="auto"/>
        <w:rPr>
          <w:sz w:val="20"/>
          <w:szCs w:val="20"/>
          <w:color w:val="auto"/>
        </w:rPr>
      </w:pPr>
      <w:r>
        <w:rPr>
          <w:rFonts w:ascii="Arial" w:cs="Arial" w:eastAsia="Arial" w:hAnsi="Arial"/>
          <w:sz w:val="15"/>
          <w:szCs w:val="15"/>
          <w:color w:val="auto"/>
        </w:rPr>
        <w:t>It is unclear how regulations and sub-regulatory policy, which fluctuate continually, may affect interpretation and further implementation of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Furthermore, we anticipate that the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139" w:lineRule="exact"/>
        <w:rPr>
          <w:sz w:val="20"/>
          <w:szCs w:val="20"/>
          <w:color w:val="auto"/>
        </w:rPr>
      </w:pPr>
    </w:p>
    <w:p>
      <w:pPr>
        <w:ind w:right="140" w:firstLine="751"/>
        <w:spacing w:after="0" w:line="229" w:lineRule="auto"/>
        <w:rPr>
          <w:sz w:val="20"/>
          <w:szCs w:val="20"/>
          <w:color w:val="auto"/>
        </w:rPr>
      </w:pPr>
      <w:r>
        <w:rPr>
          <w:rFonts w:ascii="Arial" w:cs="Arial" w:eastAsia="Arial" w:hAnsi="Arial"/>
          <w:sz w:val="14"/>
          <w:szCs w:val="14"/>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85" w:name="page86"/>
    <w:bookmarkEnd w:id="8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49"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drug price increases and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For example, under the Biden Administration’s Build Back Better Agenda, Medicare negotiation of prescription drug costs with biopharmaceutical companies is proposed to lower prescription drug costs.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37" w:lineRule="exact"/>
        <w:rPr>
          <w:sz w:val="20"/>
          <w:szCs w:val="20"/>
          <w:color w:val="auto"/>
        </w:rPr>
      </w:pPr>
    </w:p>
    <w:p>
      <w:pPr>
        <w:jc w:val="both"/>
        <w:ind w:right="40" w:firstLine="751"/>
        <w:spacing w:after="0" w:line="217" w:lineRule="auto"/>
        <w:rPr>
          <w:sz w:val="20"/>
          <w:szCs w:val="20"/>
          <w:color w:val="auto"/>
        </w:rPr>
      </w:pPr>
      <w:r>
        <w:rPr>
          <w:rFonts w:ascii="Arial" w:cs="Arial" w:eastAsia="Arial" w:hAnsi="Arial"/>
          <w:sz w:val="15"/>
          <w:szCs w:val="15"/>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36" w:lineRule="exact"/>
        <w:rPr>
          <w:sz w:val="20"/>
          <w:szCs w:val="20"/>
          <w:color w:val="auto"/>
        </w:rPr>
      </w:pPr>
    </w:p>
    <w:p>
      <w:pPr>
        <w:ind w:right="20" w:firstLine="751"/>
        <w:spacing w:after="0"/>
        <w:rPr>
          <w:sz w:val="20"/>
          <w:szCs w:val="20"/>
          <w:color w:val="auto"/>
        </w:rPr>
      </w:pPr>
      <w:r>
        <w:rPr>
          <w:rFonts w:ascii="Arial" w:cs="Arial" w:eastAsia="Arial" w:hAnsi="Arial"/>
          <w:sz w:val="13"/>
          <w:szCs w:val="13"/>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140" w:lineRule="exact"/>
        <w:rPr>
          <w:sz w:val="20"/>
          <w:szCs w:val="20"/>
          <w:color w:val="auto"/>
        </w:rPr>
      </w:pPr>
    </w:p>
    <w:p>
      <w:pPr>
        <w:jc w:val="both"/>
        <w:ind w:right="100" w:firstLine="751"/>
        <w:spacing w:after="0" w:line="222" w:lineRule="auto"/>
        <w:rPr>
          <w:sz w:val="20"/>
          <w:szCs w:val="20"/>
          <w:color w:val="auto"/>
        </w:rPr>
      </w:pPr>
      <w:r>
        <w:rPr>
          <w:rFonts w:ascii="Arial" w:cs="Arial" w:eastAsia="Arial" w:hAnsi="Arial"/>
          <w:sz w:val="15"/>
          <w:szCs w:val="15"/>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if any.</w:t>
      </w:r>
    </w:p>
    <w:p>
      <w:pPr>
        <w:spacing w:after="0" w:line="174" w:lineRule="exact"/>
        <w:rPr>
          <w:sz w:val="20"/>
          <w:szCs w:val="20"/>
          <w:color w:val="auto"/>
        </w:rPr>
      </w:pPr>
    </w:p>
    <w:p>
      <w:pPr>
        <w:ind w:firstLine="751"/>
        <w:spacing w:after="0" w:line="237" w:lineRule="auto"/>
        <w:rPr>
          <w:sz w:val="20"/>
          <w:szCs w:val="20"/>
          <w:color w:val="auto"/>
        </w:rPr>
      </w:pPr>
      <w:r>
        <w:rPr>
          <w:rFonts w:ascii="Arial" w:cs="Arial" w:eastAsia="Arial" w:hAnsi="Arial"/>
          <w:sz w:val="15"/>
          <w:szCs w:val="15"/>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 effectiveness of our product candidate to other available therapies. There can be no assurance that our products will be considered cost effective by third 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59"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25" w:lineRule="exact"/>
        <w:rPr>
          <w:sz w:val="20"/>
          <w:szCs w:val="20"/>
          <w:color w:val="auto"/>
        </w:rPr>
      </w:pPr>
    </w:p>
    <w:p>
      <w:pPr>
        <w:ind w:right="420" w:firstLine="751"/>
        <w:spacing w:after="0" w:line="289" w:lineRule="auto"/>
        <w:rPr>
          <w:sz w:val="20"/>
          <w:szCs w:val="20"/>
          <w:color w:val="auto"/>
        </w:rPr>
      </w:pPr>
      <w:r>
        <w:rPr>
          <w:rFonts w:ascii="Arial" w:cs="Arial" w:eastAsia="Arial" w:hAnsi="Arial"/>
          <w:sz w:val="13"/>
          <w:szCs w:val="13"/>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86" w:name="page87"/>
    <w:bookmarkEnd w:id="8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58" w:lineRule="exact"/>
        <w:rPr>
          <w:sz w:val="20"/>
          <w:szCs w:val="20"/>
          <w:color w:val="auto"/>
        </w:rPr>
      </w:pPr>
    </w:p>
    <w:p>
      <w:pPr>
        <w:ind w:right="140"/>
        <w:spacing w:after="0" w:line="178"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59" w:lineRule="exact"/>
        <w:rPr>
          <w:sz w:val="20"/>
          <w:szCs w:val="20"/>
          <w:color w:val="auto"/>
        </w:rPr>
      </w:pPr>
    </w:p>
    <w:p>
      <w:pPr>
        <w:ind w:right="100" w:firstLine="751"/>
        <w:spacing w:after="0" w:line="171" w:lineRule="exact"/>
        <w:rPr>
          <w:sz w:val="20"/>
          <w:szCs w:val="20"/>
          <w:color w:val="auto"/>
        </w:rPr>
      </w:pPr>
      <w:r>
        <w:rPr>
          <w:rFonts w:ascii="Arial" w:cs="Arial" w:eastAsia="Arial" w:hAnsi="Arial"/>
          <w:sz w:val="14"/>
          <w:szCs w:val="14"/>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4"/>
          <w:szCs w:val="14"/>
          <w:color w:val="auto"/>
        </w:rPr>
        <w:t>‑</w:t>
      </w:r>
      <w:r>
        <w:rPr>
          <w:rFonts w:ascii="Arial" w:cs="Arial" w:eastAsia="Arial" w:hAnsi="Arial"/>
          <w:sz w:val="14"/>
          <w:szCs w:val="14"/>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4"/>
          <w:szCs w:val="14"/>
          <w:color w:val="auto"/>
        </w:rPr>
        <w:t>‑</w:t>
      </w:r>
      <w:r>
        <w:rPr>
          <w:rFonts w:ascii="Arial" w:cs="Arial" w:eastAsia="Arial" w:hAnsi="Arial"/>
          <w:sz w:val="14"/>
          <w:szCs w:val="14"/>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59" w:lineRule="exact"/>
        <w:rPr>
          <w:sz w:val="20"/>
          <w:szCs w:val="20"/>
          <w:color w:val="auto"/>
        </w:rPr>
      </w:pPr>
    </w:p>
    <w:p>
      <w:pPr>
        <w:ind w:right="120" w:firstLine="751"/>
        <w:spacing w:after="0" w:line="244"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5" w:lineRule="exact"/>
        <w:rPr>
          <w:sz w:val="20"/>
          <w:szCs w:val="20"/>
          <w:color w:val="auto"/>
        </w:rPr>
      </w:pPr>
    </w:p>
    <w:p>
      <w:pPr>
        <w:ind w:right="240" w:firstLine="751"/>
        <w:spacing w:after="0" w:line="244" w:lineRule="auto"/>
        <w:rPr>
          <w:sz w:val="20"/>
          <w:szCs w:val="20"/>
          <w:color w:val="auto"/>
        </w:rPr>
      </w:pPr>
      <w:r>
        <w:rPr>
          <w:rFonts w:ascii="Arial" w:cs="Arial" w:eastAsia="Arial" w:hAnsi="Arial"/>
          <w:sz w:val="15"/>
          <w:szCs w:val="15"/>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OPERATIONS</w:t>
      </w:r>
    </w:p>
    <w:p>
      <w:pPr>
        <w:spacing w:after="0" w:line="178" w:lineRule="exact"/>
        <w:rPr>
          <w:sz w:val="20"/>
          <w:szCs w:val="20"/>
          <w:color w:val="auto"/>
        </w:rPr>
      </w:pPr>
    </w:p>
    <w:p>
      <w:pPr>
        <w:ind w:right="340"/>
        <w:spacing w:after="0" w:line="255" w:lineRule="auto"/>
        <w:rPr>
          <w:sz w:val="20"/>
          <w:szCs w:val="20"/>
          <w:color w:val="auto"/>
        </w:rPr>
      </w:pPr>
      <w:r>
        <w:rPr>
          <w:rFonts w:ascii="Arial" w:cs="Arial" w:eastAsia="Arial" w:hAnsi="Arial"/>
          <w:sz w:val="15"/>
          <w:szCs w:val="15"/>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47" w:lineRule="exact"/>
        <w:rPr>
          <w:sz w:val="20"/>
          <w:szCs w:val="20"/>
          <w:color w:val="auto"/>
        </w:rPr>
      </w:pPr>
    </w:p>
    <w:p>
      <w:pPr>
        <w:ind w:right="40" w:firstLine="751"/>
        <w:spacing w:after="0" w:line="171" w:lineRule="exact"/>
        <w:rPr>
          <w:sz w:val="20"/>
          <w:szCs w:val="20"/>
          <w:color w:val="auto"/>
        </w:rPr>
      </w:pPr>
      <w:r>
        <w:rPr>
          <w:rFonts w:ascii="Arial" w:cs="Arial" w:eastAsia="Arial" w:hAnsi="Arial"/>
          <w:sz w:val="13"/>
          <w:szCs w:val="13"/>
          <w:color w:val="auto"/>
        </w:rPr>
        <w:t>As of February 22, 2022, we had 108 full</w:t>
      </w:r>
      <w:r>
        <w:rPr>
          <w:rFonts w:ascii="MS PGothic" w:cs="MS PGothic" w:eastAsia="MS PGothic" w:hAnsi="MS PGothic"/>
          <w:sz w:val="13"/>
          <w:szCs w:val="13"/>
          <w:color w:val="auto"/>
        </w:rPr>
        <w:t>‑</w:t>
      </w:r>
      <w:r>
        <w:rPr>
          <w:rFonts w:ascii="Arial" w:cs="Arial" w:eastAsia="Arial" w:hAnsi="Arial"/>
          <w:sz w:val="13"/>
          <w:szCs w:val="13"/>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71" w:lineRule="exact"/>
        <w:rPr>
          <w:sz w:val="20"/>
          <w:szCs w:val="20"/>
          <w:color w:val="auto"/>
        </w:rPr>
      </w:pPr>
    </w:p>
    <w:p>
      <w:pPr>
        <w:ind w:left="1040" w:right="340" w:hanging="520"/>
        <w:spacing w:after="0" w:line="255" w:lineRule="auto"/>
        <w:tabs>
          <w:tab w:leader="none" w:pos="10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57" w:lineRule="exact"/>
        <w:rPr>
          <w:rFonts w:ascii="Arial" w:cs="Arial" w:eastAsia="Arial" w:hAnsi="Arial"/>
          <w:sz w:val="15"/>
          <w:szCs w:val="15"/>
          <w:color w:val="auto"/>
        </w:rPr>
      </w:pPr>
    </w:p>
    <w:p>
      <w:pPr>
        <w:ind w:left="1040" w:hanging="520"/>
        <w:spacing w:after="0"/>
        <w:tabs>
          <w:tab w:leader="none" w:pos="10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ensure that our consultants and other service providers successfully carry out their contractual obligations, provide high quality results, and meet expected deadlines;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87" w:name="page88"/>
    <w:bookmarkEnd w:id="8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hanging="520"/>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continue to carry out our own contractual obligations to our licensors and other third parties;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continue to improve our operational, financial, and management controls, reporting systems, and procedures.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may be unable to successfully implement these tasks on a larger scale and, accordingly, may not achieve our development and commercialization goals.</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47"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174" w:lineRule="exact"/>
        <w:rPr>
          <w:sz w:val="20"/>
          <w:szCs w:val="20"/>
          <w:color w:val="auto"/>
        </w:rPr>
      </w:pPr>
    </w:p>
    <w:p>
      <w:pPr>
        <w:jc w:val="both"/>
        <w:ind w:right="120" w:firstLine="751"/>
        <w:spacing w:after="0" w:line="238"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manage our business effectively if we are unable to attract and retain key personnel.</w:t>
      </w:r>
    </w:p>
    <w:p>
      <w:pPr>
        <w:spacing w:after="0" w:line="163" w:lineRule="exact"/>
        <w:rPr>
          <w:sz w:val="20"/>
          <w:szCs w:val="20"/>
          <w:color w:val="auto"/>
        </w:rPr>
      </w:pPr>
    </w:p>
    <w:p>
      <w:pPr>
        <w:jc w:val="both"/>
        <w:ind w:right="160" w:firstLine="751"/>
        <w:spacing w:after="0" w:line="300" w:lineRule="auto"/>
        <w:rPr>
          <w:sz w:val="20"/>
          <w:szCs w:val="20"/>
          <w:color w:val="auto"/>
        </w:rPr>
      </w:pPr>
      <w:r>
        <w:rPr>
          <w:rFonts w:ascii="Arial" w:cs="Arial" w:eastAsia="Arial" w:hAnsi="Arial"/>
          <w:sz w:val="13"/>
          <w:szCs w:val="13"/>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21" w:lineRule="exact"/>
        <w:rPr>
          <w:sz w:val="20"/>
          <w:szCs w:val="20"/>
          <w:color w:val="auto"/>
        </w:rPr>
      </w:pPr>
    </w:p>
    <w:p>
      <w:pPr>
        <w:ind w:firstLine="751"/>
        <w:spacing w:after="0" w:line="256" w:lineRule="auto"/>
        <w:rPr>
          <w:sz w:val="20"/>
          <w:szCs w:val="20"/>
          <w:color w:val="auto"/>
        </w:rPr>
      </w:pPr>
      <w:r>
        <w:rPr>
          <w:rFonts w:ascii="Arial" w:cs="Arial" w:eastAsia="Arial" w:hAnsi="Arial"/>
          <w:sz w:val="14"/>
          <w:szCs w:val="14"/>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88" w:name="page89"/>
    <w:bookmarkEnd w:id="8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320"/>
        <w:spacing w:after="0" w:line="25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47" w:lineRule="exact"/>
        <w:rPr>
          <w:sz w:val="20"/>
          <w:szCs w:val="20"/>
          <w:color w:val="auto"/>
        </w:rPr>
      </w:pPr>
    </w:p>
    <w:p>
      <w:pPr>
        <w:ind w:right="100" w:firstLine="751"/>
        <w:spacing w:after="0" w:line="238" w:lineRule="auto"/>
        <w:rPr>
          <w:sz w:val="20"/>
          <w:szCs w:val="20"/>
          <w:color w:val="auto"/>
        </w:rPr>
      </w:pPr>
      <w:r>
        <w:rPr>
          <w:rFonts w:ascii="Arial" w:cs="Arial" w:eastAsia="Arial" w:hAnsi="Arial"/>
          <w:sz w:val="15"/>
          <w:szCs w:val="15"/>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61" w:lineRule="exact"/>
        <w:rPr>
          <w:sz w:val="20"/>
          <w:szCs w:val="20"/>
          <w:color w:val="auto"/>
        </w:rPr>
      </w:pPr>
    </w:p>
    <w:p>
      <w:pPr>
        <w:ind w:firstLine="751"/>
        <w:spacing w:after="0" w:line="276" w:lineRule="auto"/>
        <w:rPr>
          <w:sz w:val="20"/>
          <w:szCs w:val="20"/>
          <w:color w:val="auto"/>
        </w:rPr>
      </w:pPr>
      <w:r>
        <w:rPr>
          <w:rFonts w:ascii="Arial" w:cs="Arial" w:eastAsia="Arial" w:hAnsi="Arial"/>
          <w:sz w:val="13"/>
          <w:szCs w:val="13"/>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39" w:lineRule="exact"/>
        <w:rPr>
          <w:sz w:val="20"/>
          <w:szCs w:val="20"/>
          <w:color w:val="auto"/>
        </w:rPr>
      </w:pPr>
    </w:p>
    <w:p>
      <w:pPr>
        <w:ind w:firstLine="751"/>
        <w:spacing w:after="0" w:line="236" w:lineRule="auto"/>
        <w:rPr>
          <w:sz w:val="20"/>
          <w:szCs w:val="20"/>
          <w:color w:val="auto"/>
        </w:rPr>
      </w:pPr>
      <w:r>
        <w:rPr>
          <w:rFonts w:ascii="Arial" w:cs="Arial" w:eastAsia="Arial" w:hAnsi="Arial"/>
          <w:sz w:val="15"/>
          <w:szCs w:val="15"/>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62" w:lineRule="exact"/>
        <w:rPr>
          <w:sz w:val="20"/>
          <w:szCs w:val="20"/>
          <w:color w:val="auto"/>
        </w:rPr>
      </w:pPr>
    </w:p>
    <w:p>
      <w:pPr>
        <w:ind w:right="60" w:firstLine="751"/>
        <w:spacing w:after="0" w:line="238" w:lineRule="auto"/>
        <w:rPr>
          <w:sz w:val="20"/>
          <w:szCs w:val="20"/>
          <w:color w:val="auto"/>
        </w:rPr>
      </w:pPr>
      <w:r>
        <w:rPr>
          <w:rFonts w:ascii="Arial" w:cs="Arial" w:eastAsia="Arial" w:hAnsi="Arial"/>
          <w:sz w:val="15"/>
          <w:szCs w:val="15"/>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disclosure controls and procedures may not prevent or detect all errors or acts of fraud.</w:t>
      </w:r>
    </w:p>
    <w:p>
      <w:pPr>
        <w:spacing w:after="0" w:line="174" w:lineRule="exact"/>
        <w:rPr>
          <w:sz w:val="20"/>
          <w:szCs w:val="20"/>
          <w:color w:val="auto"/>
        </w:rPr>
      </w:pPr>
    </w:p>
    <w:p>
      <w:pPr>
        <w:ind w:right="280" w:firstLine="751"/>
        <w:spacing w:after="0" w:line="289" w:lineRule="auto"/>
        <w:rPr>
          <w:sz w:val="20"/>
          <w:szCs w:val="20"/>
          <w:color w:val="auto"/>
        </w:rPr>
      </w:pPr>
      <w:r>
        <w:rPr>
          <w:rFonts w:ascii="Arial" w:cs="Arial" w:eastAsia="Arial" w:hAnsi="Arial"/>
          <w:sz w:val="13"/>
          <w:szCs w:val="13"/>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89" w:name="page90"/>
    <w:bookmarkEnd w:id="8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60" w:firstLine="751"/>
        <w:spacing w:after="0" w:line="255" w:lineRule="auto"/>
        <w:rPr>
          <w:sz w:val="20"/>
          <w:szCs w:val="20"/>
          <w:color w:val="auto"/>
        </w:rPr>
      </w:pPr>
      <w:r>
        <w:rPr>
          <w:rFonts w:ascii="Arial" w:cs="Arial" w:eastAsia="Arial" w:hAnsi="Arial"/>
          <w:sz w:val="14"/>
          <w:szCs w:val="14"/>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51" w:lineRule="exact"/>
        <w:rPr>
          <w:sz w:val="20"/>
          <w:szCs w:val="20"/>
          <w:color w:val="auto"/>
        </w:rPr>
      </w:pPr>
    </w:p>
    <w:p>
      <w:pPr>
        <w:jc w:val="both"/>
        <w:ind w:firstLine="751"/>
        <w:spacing w:after="0" w:line="270"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operations would suffer in the event of system failures.</w:t>
      </w:r>
    </w:p>
    <w:p>
      <w:pPr>
        <w:spacing w:after="0" w:line="174" w:lineRule="exact"/>
        <w:rPr>
          <w:sz w:val="20"/>
          <w:szCs w:val="20"/>
          <w:color w:val="auto"/>
        </w:rPr>
      </w:pPr>
    </w:p>
    <w:p>
      <w:pPr>
        <w:ind w:right="40" w:firstLine="751"/>
        <w:spacing w:after="0" w:line="277" w:lineRule="auto"/>
        <w:rPr>
          <w:sz w:val="20"/>
          <w:szCs w:val="20"/>
          <w:color w:val="auto"/>
        </w:rPr>
      </w:pPr>
      <w:r>
        <w:rPr>
          <w:rFonts w:ascii="Arial" w:cs="Arial" w:eastAsia="Arial" w:hAnsi="Arial"/>
          <w:sz w:val="13"/>
          <w:szCs w:val="13"/>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OWNERSHIP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common stock may not be sustained.</w:t>
      </w:r>
    </w:p>
    <w:p>
      <w:pPr>
        <w:spacing w:after="0" w:line="174" w:lineRule="exact"/>
        <w:rPr>
          <w:sz w:val="20"/>
          <w:szCs w:val="20"/>
          <w:color w:val="auto"/>
        </w:rPr>
      </w:pPr>
    </w:p>
    <w:p>
      <w:pPr>
        <w:ind w:right="80" w:firstLine="751"/>
        <w:spacing w:after="0" w:line="238" w:lineRule="auto"/>
        <w:rPr>
          <w:sz w:val="20"/>
          <w:szCs w:val="20"/>
          <w:color w:val="auto"/>
        </w:rPr>
      </w:pPr>
      <w:r>
        <w:rPr>
          <w:rFonts w:ascii="Arial" w:cs="Arial" w:eastAsia="Arial" w:hAnsi="Arial"/>
          <w:sz w:val="15"/>
          <w:szCs w:val="15"/>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common stock may be highly volatile.</w:t>
      </w:r>
    </w:p>
    <w:p>
      <w:pPr>
        <w:spacing w:after="0" w:line="174" w:lineRule="exact"/>
        <w:rPr>
          <w:sz w:val="20"/>
          <w:szCs w:val="20"/>
          <w:color w:val="auto"/>
        </w:rPr>
      </w:pPr>
    </w:p>
    <w:p>
      <w:pPr>
        <w:ind w:right="20" w:firstLine="751"/>
        <w:spacing w:after="0"/>
        <w:rPr>
          <w:sz w:val="20"/>
          <w:szCs w:val="20"/>
          <w:color w:val="auto"/>
        </w:rPr>
      </w:pPr>
      <w:r>
        <w:rPr>
          <w:rFonts w:ascii="Arial" w:cs="Arial" w:eastAsia="Arial" w:hAnsi="Arial"/>
          <w:sz w:val="15"/>
          <w:szCs w:val="15"/>
          <w:color w:val="auto"/>
        </w:rPr>
        <w:t>The trading price of our common stock is likely to be highly volatile. For example, in 2019, we experienced an extraordinary level of appreciation in our stock price. Such levels of gain are unlikely to continue in the future. For example, throughout the course of fiscal year 2020 and during the first half of 2021,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0" w:name="page91"/>
    <w:bookmarkEnd w:id="9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delays in the commencement, enrollment, and ultimate completion, of our planned and ongoing Phase 3 clinical trials for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any delay or refusal on the part of the FDA in approving an NDA for any of our current and future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commercial success of any of our current and future product candidates, if approved by the FDA;</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operating and stock price performance of other companies that investors deem comparable to ours;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recommendations by securities analysts;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news relating to our industry as a whole and news relating to trends in our markets;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results of clinical trials of any of our current and future product candidates or those of our competitors;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actual or anticipated variations in quarterly or annual operating results;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failure to meet or exceed financial projections we provide to the public, if any;</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failure to meet or exceed the estimates and projections of the investment community, including securities analysts;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introduction of competitive products or technologies;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or developments in laws or regulations applicable to our product candidates;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perception of the pharmaceutical industry by the public, legislatures, regulators, and the investment community;</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general economic and market conditions and overall fluctuations in U.S. equity markets;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data or security breaches;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developments concerning our sources of manufacturing supply, warehousing, and inventory control;</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disputes or other developments relating to patents or other proprietary rights;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additions or departures of key scientific or management personnel;</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announcements of investigations or regulatory scrutiny of our operations or lawsuits filed against us;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capital commitments;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investors’ general perception of our company and our business;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announcements and expectations of additional financing efforts, including the issuance of debt, equity or convertible securities;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sales of our common stock, including sales by our directors and officers or significant stockholders;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in the market valuations of companies similar to us;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partnerships, or divestitures;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general conditions or trends in our industry;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w:t>
      </w:r>
    </w:p>
    <w:p>
      <w:pPr>
        <w:spacing w:after="0" w:line="174" w:lineRule="exact"/>
        <w:rPr>
          <w:sz w:val="20"/>
          <w:szCs w:val="20"/>
          <w:color w:val="auto"/>
        </w:rPr>
      </w:pPr>
    </w:p>
    <w:p>
      <w:pPr>
        <w:ind w:firstLine="751"/>
        <w:spacing w:after="0" w:line="244" w:lineRule="auto"/>
        <w:rPr>
          <w:sz w:val="20"/>
          <w:szCs w:val="20"/>
          <w:color w:val="auto"/>
        </w:rPr>
      </w:pPr>
      <w:r>
        <w:rPr>
          <w:rFonts w:ascii="Arial" w:cs="Arial" w:eastAsia="Arial" w:hAnsi="Arial"/>
          <w:sz w:val="15"/>
          <w:szCs w:val="15"/>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55" w:lineRule="exact"/>
        <w:rPr>
          <w:sz w:val="20"/>
          <w:szCs w:val="20"/>
          <w:color w:val="auto"/>
        </w:rPr>
      </w:pPr>
    </w:p>
    <w:p>
      <w:pPr>
        <w:ind w:right="40" w:firstLine="751"/>
        <w:spacing w:after="0" w:line="331" w:lineRule="auto"/>
        <w:rPr>
          <w:sz w:val="20"/>
          <w:szCs w:val="20"/>
          <w:color w:val="auto"/>
        </w:rPr>
      </w:pPr>
      <w:r>
        <w:rPr>
          <w:rFonts w:ascii="Arial" w:cs="Arial" w:eastAsia="Arial" w:hAnsi="Arial"/>
          <w:sz w:val="13"/>
          <w:szCs w:val="13"/>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91" w:name="page92"/>
    <w:bookmarkEnd w:id="9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40"/>
        <w:spacing w:after="0" w:line="255" w:lineRule="auto"/>
        <w:rPr>
          <w:sz w:val="20"/>
          <w:szCs w:val="20"/>
          <w:color w:val="auto"/>
        </w:rPr>
      </w:pPr>
      <w:r>
        <w:rPr>
          <w:rFonts w:ascii="Arial" w:cs="Arial" w:eastAsia="Arial" w:hAnsi="Arial"/>
          <w:sz w:val="15"/>
          <w:szCs w:val="15"/>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47" w:lineRule="exact"/>
        <w:rPr>
          <w:sz w:val="20"/>
          <w:szCs w:val="20"/>
          <w:color w:val="auto"/>
        </w:rPr>
      </w:pPr>
    </w:p>
    <w:p>
      <w:pPr>
        <w:ind w:right="80" w:firstLine="751"/>
        <w:spacing w:after="0" w:line="263" w:lineRule="auto"/>
        <w:rPr>
          <w:sz w:val="20"/>
          <w:szCs w:val="20"/>
          <w:color w:val="auto"/>
        </w:rPr>
      </w:pPr>
      <w:r>
        <w:rPr>
          <w:rFonts w:ascii="Arial" w:cs="Arial" w:eastAsia="Arial" w:hAnsi="Arial"/>
          <w:sz w:val="14"/>
          <w:szCs w:val="14"/>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may fluctuate significantly.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expect our operating results to be subject to quarterly fluctuations. Our net loss and other operating results will be affected by numerous factors, including:</w:t>
      </w:r>
    </w:p>
    <w:p>
      <w:pPr>
        <w:spacing w:after="0" w:line="84" w:lineRule="exact"/>
        <w:rPr>
          <w:sz w:val="20"/>
          <w:szCs w:val="20"/>
          <w:color w:val="auto"/>
        </w:rPr>
      </w:pPr>
    </w:p>
    <w:p>
      <w:pPr>
        <w:ind w:left="1040" w:right="300" w:hanging="520"/>
        <w:spacing w:after="0" w:line="255" w:lineRule="auto"/>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57" w:lineRule="exact"/>
        <w:rPr>
          <w:rFonts w:ascii="Arial" w:cs="Arial" w:eastAsia="Arial" w:hAnsi="Arial"/>
          <w:sz w:val="15"/>
          <w:szCs w:val="15"/>
          <w:color w:val="auto"/>
        </w:rPr>
      </w:pPr>
    </w:p>
    <w:p>
      <w:pPr>
        <w:ind w:left="1040" w:right="100" w:hanging="520"/>
        <w:spacing w:after="0" w:line="244" w:lineRule="auto"/>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65" w:lineRule="exact"/>
        <w:rPr>
          <w:rFonts w:ascii="Arial" w:cs="Arial" w:eastAsia="Arial" w:hAnsi="Arial"/>
          <w:sz w:val="15"/>
          <w:szCs w:val="15"/>
          <w:color w:val="auto"/>
        </w:rPr>
      </w:pPr>
    </w:p>
    <w:p>
      <w:pPr>
        <w:ind w:left="1040" w:right="420" w:hanging="520"/>
        <w:spacing w:after="0" w:line="178" w:lineRule="exact"/>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ability to identify and enter into third</w:t>
      </w:r>
      <w:r>
        <w:rPr>
          <w:rFonts w:ascii="MS PGothic" w:cs="MS PGothic" w:eastAsia="MS PGothic" w:hAnsi="MS PGothic"/>
          <w:sz w:val="15"/>
          <w:szCs w:val="15"/>
          <w:color w:val="auto"/>
        </w:rPr>
        <w:t>‑</w:t>
      </w:r>
      <w:r>
        <w:rPr>
          <w:rFonts w:ascii="Arial" w:cs="Arial" w:eastAsia="Arial" w:hAnsi="Arial"/>
          <w:sz w:val="15"/>
          <w:szCs w:val="15"/>
          <w:color w:val="auto"/>
        </w:rPr>
        <w:t>party manufacturing arrangements capable of manufacturing any of our current or future product candidates in commercial quantities;</w:t>
      </w:r>
    </w:p>
    <w:p>
      <w:pPr>
        <w:spacing w:after="0" w:line="69" w:lineRule="exact"/>
        <w:rPr>
          <w:rFonts w:ascii="Arial" w:cs="Arial" w:eastAsia="Arial" w:hAnsi="Arial"/>
          <w:sz w:val="15"/>
          <w:szCs w:val="15"/>
          <w:color w:val="auto"/>
        </w:rPr>
      </w:pPr>
    </w:p>
    <w:p>
      <w:pPr>
        <w:ind w:left="1040" w:hanging="520"/>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execution of other collaborative, licensing, or similar arrangements and the timing of payments we may make or receive under these arrangements;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variations in the level of expenses related to our future development programs;</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any product liability or intellectual property infringement lawsuit in which we may become involved;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regulatory developments affecting our current and future product candidates, or the product candidates of our competitors; and</w:t>
      </w:r>
    </w:p>
    <w:p>
      <w:pPr>
        <w:spacing w:after="0" w:line="84" w:lineRule="exact"/>
        <w:rPr>
          <w:rFonts w:ascii="Arial" w:cs="Arial" w:eastAsia="Arial" w:hAnsi="Arial"/>
          <w:sz w:val="15"/>
          <w:szCs w:val="15"/>
          <w:color w:val="auto"/>
        </w:rPr>
      </w:pPr>
    </w:p>
    <w:p>
      <w:pPr>
        <w:ind w:left="1040" w:hanging="520"/>
        <w:spacing w:after="0"/>
        <w:tabs>
          <w:tab w:leader="none" w:pos="10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if any of our current or future product candidates receive regulatory approval, the level of underlying demand for such product candidate and wholesaler buying patterns.</w:t>
      </w:r>
    </w:p>
    <w:p>
      <w:pPr>
        <w:spacing w:after="0" w:line="197" w:lineRule="exact"/>
        <w:rPr>
          <w:sz w:val="20"/>
          <w:szCs w:val="20"/>
          <w:color w:val="auto"/>
        </w:rPr>
      </w:pPr>
    </w:p>
    <w:p>
      <w:pPr>
        <w:ind w:right="180" w:firstLine="751"/>
        <w:spacing w:after="0" w:line="244" w:lineRule="auto"/>
        <w:rPr>
          <w:sz w:val="20"/>
          <w:szCs w:val="20"/>
          <w:color w:val="auto"/>
        </w:rPr>
      </w:pPr>
      <w:r>
        <w:rPr>
          <w:rFonts w:ascii="Arial" w:cs="Arial" w:eastAsia="Arial" w:hAnsi="Arial"/>
          <w:sz w:val="15"/>
          <w:szCs w:val="15"/>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47"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1" w:lineRule="exact"/>
        <w:rPr>
          <w:sz w:val="20"/>
          <w:szCs w:val="20"/>
          <w:color w:val="auto"/>
        </w:rPr>
      </w:pPr>
    </w:p>
    <w:p>
      <w:pPr>
        <w:ind w:right="480" w:firstLine="751"/>
        <w:spacing w:after="0" w:line="331" w:lineRule="auto"/>
        <w:rPr>
          <w:sz w:val="20"/>
          <w:szCs w:val="20"/>
          <w:color w:val="auto"/>
        </w:rPr>
      </w:pPr>
      <w:r>
        <w:rPr>
          <w:rFonts w:ascii="Arial" w:cs="Arial" w:eastAsia="Arial" w:hAnsi="Arial"/>
          <w:sz w:val="13"/>
          <w:szCs w:val="13"/>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92" w:name="page93"/>
    <w:bookmarkEnd w:id="9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principal stockholders and management own a significant percentage of our stock and may be able to exert significant control over matters subject to stockholder approval.</w:t>
      </w:r>
    </w:p>
    <w:p>
      <w:pPr>
        <w:spacing w:after="0" w:line="197" w:lineRule="exact"/>
        <w:rPr>
          <w:sz w:val="20"/>
          <w:szCs w:val="20"/>
          <w:color w:val="auto"/>
        </w:rPr>
      </w:pPr>
    </w:p>
    <w:p>
      <w:pPr>
        <w:ind w:right="160" w:firstLine="751"/>
        <w:spacing w:after="0" w:line="289" w:lineRule="auto"/>
        <w:rPr>
          <w:sz w:val="20"/>
          <w:szCs w:val="20"/>
          <w:color w:val="auto"/>
        </w:rPr>
      </w:pPr>
      <w:r>
        <w:rPr>
          <w:rFonts w:ascii="Arial" w:cs="Arial" w:eastAsia="Arial" w:hAnsi="Arial"/>
          <w:sz w:val="13"/>
          <w:szCs w:val="13"/>
          <w:color w:val="auto"/>
        </w:rPr>
        <w:t>As of February 22, 2022, our executive officers, directors, and 5% stockholders and their affiliates beneficially owned an aggregate of approximately 37%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29" w:lineRule="exact"/>
        <w:rPr>
          <w:sz w:val="20"/>
          <w:szCs w:val="20"/>
          <w:color w:val="auto"/>
        </w:rPr>
      </w:pPr>
    </w:p>
    <w:p>
      <w:pPr>
        <w:ind w:right="60" w:firstLine="751"/>
        <w:spacing w:after="0" w:line="238" w:lineRule="auto"/>
        <w:rPr>
          <w:sz w:val="20"/>
          <w:szCs w:val="20"/>
          <w:color w:val="auto"/>
        </w:rPr>
      </w:pPr>
      <w:r>
        <w:rPr>
          <w:rFonts w:ascii="Arial" w:cs="Arial" w:eastAsia="Arial" w:hAnsi="Arial"/>
          <w:sz w:val="15"/>
          <w:szCs w:val="15"/>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in the public market by our existing stockholders could cause our stock price to fall.</w:t>
      </w:r>
    </w:p>
    <w:p>
      <w:pPr>
        <w:spacing w:after="0" w:line="174" w:lineRule="exact"/>
        <w:rPr>
          <w:sz w:val="20"/>
          <w:szCs w:val="20"/>
          <w:color w:val="auto"/>
        </w:rPr>
      </w:pPr>
    </w:p>
    <w:p>
      <w:pPr>
        <w:ind w:right="100" w:firstLine="751"/>
        <w:spacing w:after="0" w:line="244" w:lineRule="auto"/>
        <w:rPr>
          <w:sz w:val="20"/>
          <w:szCs w:val="20"/>
          <w:color w:val="auto"/>
        </w:rPr>
      </w:pPr>
      <w:r>
        <w:rPr>
          <w:rFonts w:ascii="Arial" w:cs="Arial" w:eastAsia="Arial" w:hAnsi="Arial"/>
          <w:sz w:val="15"/>
          <w:szCs w:val="15"/>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55" w:lineRule="exact"/>
        <w:rPr>
          <w:sz w:val="20"/>
          <w:szCs w:val="20"/>
          <w:color w:val="auto"/>
        </w:rPr>
      </w:pPr>
    </w:p>
    <w:p>
      <w:pPr>
        <w:ind w:right="160" w:firstLine="751"/>
        <w:spacing w:after="0" w:line="263" w:lineRule="auto"/>
        <w:rPr>
          <w:sz w:val="20"/>
          <w:szCs w:val="20"/>
          <w:color w:val="auto"/>
        </w:rPr>
      </w:pPr>
      <w:r>
        <w:rPr>
          <w:rFonts w:ascii="Arial" w:cs="Arial" w:eastAsia="Arial" w:hAnsi="Arial"/>
          <w:sz w:val="14"/>
          <w:szCs w:val="14"/>
          <w:color w:val="auto"/>
        </w:rPr>
        <w:t>As of February 22, 2022, we have outstanding 38,476,573 shares of common stock and 5,466,487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30,478,069 are freely tradable. The remainder of the outstanding shares of common stock are held by our affiliates and may be considered “control securities” for purposes of Rule 144 under the Securities Act.</w:t>
      </w:r>
    </w:p>
    <w:p>
      <w:pPr>
        <w:spacing w:after="0" w:line="143" w:lineRule="exact"/>
        <w:rPr>
          <w:sz w:val="20"/>
          <w:szCs w:val="20"/>
          <w:color w:val="auto"/>
        </w:rPr>
      </w:pPr>
    </w:p>
    <w:p>
      <w:pPr>
        <w:ind w:right="40" w:firstLine="751"/>
        <w:spacing w:after="0" w:line="173" w:lineRule="exact"/>
        <w:rPr>
          <w:sz w:val="20"/>
          <w:szCs w:val="20"/>
          <w:color w:val="auto"/>
        </w:rPr>
      </w:pPr>
      <w:r>
        <w:rPr>
          <w:rFonts w:ascii="Arial" w:cs="Arial" w:eastAsia="Arial" w:hAnsi="Arial"/>
          <w:sz w:val="15"/>
          <w:szCs w:val="15"/>
          <w:color w:val="auto"/>
        </w:rPr>
        <w:t>In addition, we have filed one or more registration statements on Form S</w:t>
      </w:r>
      <w:r>
        <w:rPr>
          <w:rFonts w:ascii="MS PGothic" w:cs="MS PGothic" w:eastAsia="MS PGothic" w:hAnsi="MS PGothic"/>
          <w:sz w:val="15"/>
          <w:szCs w:val="15"/>
          <w:color w:val="auto"/>
        </w:rPr>
        <w:t>‑</w:t>
      </w:r>
      <w:r>
        <w:rPr>
          <w:rFonts w:ascii="Arial" w:cs="Arial" w:eastAsia="Arial" w:hAnsi="Arial"/>
          <w:sz w:val="15"/>
          <w:szCs w:val="15"/>
          <w:color w:val="auto"/>
        </w:rPr>
        <w:t>8 registering the issuance of an aggregate of 10,453,341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5"/>
          <w:szCs w:val="15"/>
          <w:color w:val="auto"/>
        </w:rPr>
        <w:t>‑</w:t>
      </w:r>
      <w:r>
        <w:rPr>
          <w:rFonts w:ascii="Arial" w:cs="Arial" w:eastAsia="Arial" w:hAnsi="Arial"/>
          <w:sz w:val="15"/>
          <w:szCs w:val="15"/>
          <w:color w:val="auto"/>
        </w:rPr>
        <w:t>8 will be available for sale in the public market subject to vesting arrangements and exercise of options, the lock</w:t>
      </w:r>
      <w:r>
        <w:rPr>
          <w:rFonts w:ascii="MS PGothic" w:cs="MS PGothic" w:eastAsia="MS PGothic" w:hAnsi="MS PGothic"/>
          <w:sz w:val="15"/>
          <w:szCs w:val="15"/>
          <w:color w:val="auto"/>
        </w:rPr>
        <w:t>‑</w:t>
      </w:r>
      <w:r>
        <w:rPr>
          <w:rFonts w:ascii="Arial" w:cs="Arial" w:eastAsia="Arial" w:hAnsi="Arial"/>
          <w:sz w:val="15"/>
          <w:szCs w:val="15"/>
          <w:color w:val="auto"/>
        </w:rPr>
        <w:t>up agreements described above and the restrictions of Rule 144 in the case of our affiliates.</w:t>
      </w:r>
    </w:p>
    <w:p>
      <w:pPr>
        <w:spacing w:after="0" w:line="159"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i w:val="1"/>
          <w:iCs w:val="1"/>
          <w:color w:val="auto"/>
        </w:rPr>
        <w:t>Our management will have broad discretion in the use of the net proceeds from our capital raises, including our December 2019 public offering and the proceeds from sales pursuant to our Sales Agreement, and may not use them effectively.</w:t>
      </w:r>
    </w:p>
    <w:p>
      <w:pPr>
        <w:spacing w:after="0" w:line="147" w:lineRule="exact"/>
        <w:rPr>
          <w:sz w:val="20"/>
          <w:szCs w:val="20"/>
          <w:color w:val="auto"/>
        </w:rPr>
      </w:pPr>
    </w:p>
    <w:p>
      <w:pPr>
        <w:ind w:right="20" w:firstLine="751"/>
        <w:spacing w:after="0" w:line="244" w:lineRule="auto"/>
        <w:rPr>
          <w:sz w:val="20"/>
          <w:szCs w:val="20"/>
          <w:color w:val="auto"/>
        </w:rPr>
      </w:pPr>
      <w:r>
        <w:rPr>
          <w:rFonts w:ascii="Arial" w:cs="Arial" w:eastAsia="Arial" w:hAnsi="Arial"/>
          <w:sz w:val="15"/>
          <w:szCs w:val="15"/>
          <w:color w:val="auto"/>
        </w:rPr>
        <w:t>Our management will have broad discretion in the application of the net proceeds from our capital raises, which we refer to as our Capital Raises, including our December 2019 public offering and the proceeds from sales pursuant to our December 2019 “at-the-market” sales agreement with SVB Leerink, or SVB, which provides for the sale of up to $80.0 million of our common stock from time to time, and our stockholders will not have the opportunity as part of their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3" w:name="page94"/>
    <w:bookmarkEnd w:id="9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use of our net operating loss carryforwards and research tax credits may be limited.</w:t>
      </w:r>
    </w:p>
    <w:p>
      <w:pPr>
        <w:spacing w:after="0" w:line="174" w:lineRule="exact"/>
        <w:rPr>
          <w:sz w:val="20"/>
          <w:szCs w:val="20"/>
          <w:color w:val="auto"/>
        </w:rPr>
      </w:pPr>
    </w:p>
    <w:p>
      <w:pPr>
        <w:ind w:firstLine="751"/>
        <w:spacing w:after="0" w:line="253" w:lineRule="auto"/>
        <w:rPr>
          <w:sz w:val="20"/>
          <w:szCs w:val="20"/>
          <w:color w:val="auto"/>
        </w:rPr>
      </w:pPr>
      <w:r>
        <w:rPr>
          <w:rFonts w:ascii="Arial" w:cs="Arial" w:eastAsia="Arial" w:hAnsi="Arial"/>
          <w:sz w:val="14"/>
          <w:szCs w:val="14"/>
          <w:color w:val="auto"/>
        </w:rPr>
        <w:t>Our net operating loss carryforwards and any future research and development tax credits may expire and not be used. As of December 31, 2021, we had U.S. federal net operating loss, NOL, carryforwards of approximately $364 million. Net operating loss carry forwards amounting to $60 million generated before the 2018 tax year will start expiring beginning 2032, if we have not used them prior to that time, and the net operating losses of approximately $304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50" w:lineRule="exact"/>
        <w:rPr>
          <w:sz w:val="20"/>
          <w:szCs w:val="20"/>
          <w:color w:val="auto"/>
        </w:rPr>
      </w:pPr>
    </w:p>
    <w:p>
      <w:pPr>
        <w:ind w:right="20" w:firstLine="751"/>
        <w:spacing w:after="0" w:line="281" w:lineRule="auto"/>
        <w:rPr>
          <w:sz w:val="20"/>
          <w:szCs w:val="20"/>
          <w:color w:val="auto"/>
        </w:rPr>
      </w:pPr>
      <w:r>
        <w:rPr>
          <w:rFonts w:ascii="Arial" w:cs="Arial" w:eastAsia="Arial" w:hAnsi="Arial"/>
          <w:sz w:val="13"/>
          <w:szCs w:val="13"/>
          <w:color w:val="auto"/>
        </w:rPr>
        <w:t>On March 27, 2020, the Coronavirus Aid, Relief, and Economic Security Act, or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94" w:name="page95"/>
    <w:bookmarkEnd w:id="9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intend to pay dividends on our common stock, returns for our stockholders will be limited to any increase in the value of our stock.</w:t>
      </w:r>
    </w:p>
    <w:p>
      <w:pPr>
        <w:spacing w:after="0" w:line="174" w:lineRule="exact"/>
        <w:rPr>
          <w:sz w:val="20"/>
          <w:szCs w:val="20"/>
          <w:color w:val="auto"/>
        </w:rPr>
      </w:pPr>
    </w:p>
    <w:p>
      <w:pPr>
        <w:ind w:right="340" w:firstLine="751"/>
        <w:spacing w:after="0"/>
        <w:rPr>
          <w:sz w:val="20"/>
          <w:szCs w:val="20"/>
          <w:color w:val="auto"/>
        </w:rPr>
      </w:pPr>
      <w:r>
        <w:rPr>
          <w:rFonts w:ascii="Arial" w:cs="Arial" w:eastAsia="Arial" w:hAnsi="Arial"/>
          <w:sz w:val="15"/>
          <w:szCs w:val="15"/>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59" w:lineRule="exact"/>
        <w:rPr>
          <w:sz w:val="20"/>
          <w:szCs w:val="20"/>
          <w:color w:val="auto"/>
        </w:rPr>
      </w:pPr>
    </w:p>
    <w:p>
      <w:pPr>
        <w:ind w:right="20"/>
        <w:spacing w:after="0" w:line="25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7" w:lineRule="exact"/>
        <w:rPr>
          <w:sz w:val="20"/>
          <w:szCs w:val="20"/>
          <w:color w:val="auto"/>
        </w:rPr>
      </w:pPr>
    </w:p>
    <w:p>
      <w:pPr>
        <w:jc w:val="both"/>
        <w:ind w:right="40" w:firstLine="751"/>
        <w:spacing w:after="0" w:line="275" w:lineRule="auto"/>
        <w:rPr>
          <w:sz w:val="20"/>
          <w:szCs w:val="20"/>
          <w:color w:val="auto"/>
        </w:rPr>
      </w:pPr>
      <w:r>
        <w:rPr>
          <w:rFonts w:ascii="Arial" w:cs="Arial" w:eastAsia="Arial" w:hAnsi="Arial"/>
          <w:sz w:val="13"/>
          <w:szCs w:val="13"/>
          <w:color w:val="auto"/>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58" w:lineRule="exact"/>
        <w:rPr>
          <w:sz w:val="20"/>
          <w:szCs w:val="20"/>
          <w:color w:val="auto"/>
        </w:rPr>
      </w:pPr>
    </w:p>
    <w:p>
      <w:pPr>
        <w:ind w:right="200" w:firstLine="751"/>
        <w:spacing w:after="0" w:line="173" w:lineRule="exact"/>
        <w:rPr>
          <w:sz w:val="20"/>
          <w:szCs w:val="20"/>
          <w:color w:val="auto"/>
        </w:rPr>
      </w:pPr>
      <w:r>
        <w:rPr>
          <w:rFonts w:ascii="Arial" w:cs="Arial" w:eastAsia="Arial" w:hAnsi="Arial"/>
          <w:sz w:val="13"/>
          <w:szCs w:val="13"/>
          <w:color w:val="auto"/>
        </w:rPr>
        <w:t>In addition, we are subject to the anti</w:t>
      </w:r>
      <w:r>
        <w:rPr>
          <w:rFonts w:ascii="MS PGothic" w:cs="MS PGothic" w:eastAsia="MS PGothic" w:hAnsi="MS PGothic"/>
          <w:sz w:val="13"/>
          <w:szCs w:val="13"/>
          <w:color w:val="auto"/>
        </w:rPr>
        <w:t>‑</w:t>
      </w:r>
      <w:r>
        <w:rPr>
          <w:rFonts w:ascii="Arial" w:cs="Arial" w:eastAsia="Arial" w:hAnsi="Arial"/>
          <w:sz w:val="13"/>
          <w:szCs w:val="13"/>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59" w:lineRule="exact"/>
        <w:rPr>
          <w:sz w:val="20"/>
          <w:szCs w:val="20"/>
          <w:color w:val="auto"/>
        </w:rPr>
      </w:pPr>
    </w:p>
    <w:p>
      <w:pPr>
        <w:ind w:right="160"/>
        <w:spacing w:after="0" w:line="244"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55" w:lineRule="exact"/>
        <w:rPr>
          <w:sz w:val="20"/>
          <w:szCs w:val="20"/>
          <w:color w:val="auto"/>
        </w:rPr>
      </w:pPr>
    </w:p>
    <w:p>
      <w:pPr>
        <w:ind w:right="20" w:firstLine="751"/>
        <w:spacing w:after="0" w:line="289" w:lineRule="auto"/>
        <w:rPr>
          <w:sz w:val="20"/>
          <w:szCs w:val="20"/>
          <w:color w:val="auto"/>
        </w:rPr>
      </w:pPr>
      <w:r>
        <w:rPr>
          <w:rFonts w:ascii="Arial" w:cs="Arial" w:eastAsia="Arial" w:hAnsi="Arial"/>
          <w:sz w:val="13"/>
          <w:szCs w:val="13"/>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29" w:lineRule="exact"/>
        <w:rPr>
          <w:sz w:val="20"/>
          <w:szCs w:val="20"/>
          <w:color w:val="auto"/>
        </w:rPr>
      </w:pPr>
    </w:p>
    <w:p>
      <w:pPr>
        <w:ind w:right="160" w:firstLine="751"/>
        <w:spacing w:after="0" w:line="255"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95" w:name="page96"/>
    <w:bookmarkEnd w:id="9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55" w:lineRule="exact"/>
        <w:rPr>
          <w:sz w:val="20"/>
          <w:szCs w:val="20"/>
          <w:color w:val="auto"/>
        </w:rPr>
      </w:pPr>
    </w:p>
    <w:p>
      <w:pPr>
        <w:ind w:right="160" w:firstLine="751"/>
        <w:spacing w:after="0" w:line="300" w:lineRule="auto"/>
        <w:rPr>
          <w:sz w:val="20"/>
          <w:szCs w:val="20"/>
          <w:color w:val="auto"/>
        </w:rPr>
      </w:pPr>
      <w:r>
        <w:rPr>
          <w:rFonts w:ascii="Arial" w:cs="Arial" w:eastAsia="Arial" w:hAnsi="Arial"/>
          <w:sz w:val="13"/>
          <w:szCs w:val="13"/>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78" w:lineRule="exact"/>
        <w:rPr>
          <w:sz w:val="20"/>
          <w:szCs w:val="20"/>
          <w:color w:val="auto"/>
        </w:rPr>
      </w:pPr>
    </w:p>
    <w:p>
      <w:pPr>
        <w:ind w:right="180" w:firstLine="751"/>
        <w:spacing w:after="0" w:line="270" w:lineRule="auto"/>
        <w:rPr>
          <w:sz w:val="20"/>
          <w:szCs w:val="20"/>
          <w:color w:val="auto"/>
        </w:rPr>
      </w:pPr>
      <w:r>
        <w:rPr>
          <w:rFonts w:ascii="Arial" w:cs="Arial" w:eastAsia="Arial" w:hAnsi="Arial"/>
          <w:sz w:val="14"/>
          <w:szCs w:val="14"/>
          <w:color w:val="auto"/>
        </w:rPr>
        <w:t>Our corporate and executive office is located at 22 Cortlandt Street in New York, New York. We currently have a lease agreement for office space through July 31, 2022, and subsequent to December 31, 2021, we signed an agreement to extend the lease to January 31, 2023. The landlord may terminate the month-to-month lease agreement at any time for the reasons set forth in the agreement. We believe that our current facilities are suitable and adequate to meet our current needs.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78" w:lineRule="exact"/>
        <w:rPr>
          <w:sz w:val="20"/>
          <w:szCs w:val="20"/>
          <w:color w:val="auto"/>
        </w:rPr>
      </w:pPr>
    </w:p>
    <w:p>
      <w:pPr>
        <w:ind w:right="40" w:firstLine="751"/>
        <w:spacing w:after="0" w:line="255" w:lineRule="auto"/>
        <w:rPr>
          <w:sz w:val="20"/>
          <w:szCs w:val="20"/>
          <w:color w:val="auto"/>
        </w:rPr>
      </w:pPr>
      <w:r>
        <w:rPr>
          <w:rFonts w:ascii="Arial" w:cs="Arial" w:eastAsia="Arial" w:hAnsi="Arial"/>
          <w:sz w:val="15"/>
          <w:szCs w:val="15"/>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Not applicable.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96" w:name="page97"/>
    <w:bookmarkEnd w:id="9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ind w:right="-219"/>
        <w:spacing w:after="0"/>
        <w:rPr>
          <w:sz w:val="20"/>
          <w:szCs w:val="20"/>
          <w:color w:val="auto"/>
        </w:rPr>
      </w:pPr>
      <w:r>
        <w:rPr>
          <w:rFonts w:ascii="Arial" w:cs="Arial" w:eastAsia="Arial" w:hAnsi="Arial"/>
          <w:sz w:val="15"/>
          <w:szCs w:val="15"/>
          <w:b w:val="1"/>
          <w:bCs w:val="1"/>
          <w:color w:val="auto"/>
        </w:rPr>
        <w:t>Part II</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 Information</w:t>
      </w:r>
    </w:p>
    <w:p>
      <w:pPr>
        <w:spacing w:after="0" w:line="174" w:lineRule="exact"/>
        <w:rPr>
          <w:sz w:val="20"/>
          <w:szCs w:val="20"/>
          <w:color w:val="auto"/>
        </w:rPr>
      </w:pPr>
    </w:p>
    <w:p>
      <w:pPr>
        <w:ind w:firstLine="751"/>
        <w:spacing w:after="0" w:line="290" w:lineRule="auto"/>
        <w:rPr>
          <w:sz w:val="20"/>
          <w:szCs w:val="20"/>
          <w:color w:val="auto"/>
        </w:rPr>
      </w:pPr>
      <w:r>
        <w:rPr>
          <w:rFonts w:ascii="Arial" w:cs="Arial" w:eastAsia="Arial" w:hAnsi="Arial"/>
          <w:sz w:val="14"/>
          <w:szCs w:val="14"/>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 Performance Graph</w:t>
      </w:r>
    </w:p>
    <w:p>
      <w:pPr>
        <w:spacing w:after="0" w:line="174" w:lineRule="exact"/>
        <w:rPr>
          <w:sz w:val="20"/>
          <w:szCs w:val="20"/>
          <w:color w:val="auto"/>
        </w:rPr>
      </w:pPr>
    </w:p>
    <w:p>
      <w:pPr>
        <w:ind w:right="140" w:firstLine="751"/>
        <w:spacing w:after="0"/>
        <w:rPr>
          <w:sz w:val="20"/>
          <w:szCs w:val="20"/>
          <w:color w:val="auto"/>
        </w:rPr>
      </w:pPr>
      <w:r>
        <w:rPr>
          <w:rFonts w:ascii="Arial" w:cs="Arial" w:eastAsia="Arial" w:hAnsi="Arial"/>
          <w:sz w:val="15"/>
          <w:szCs w:val="15"/>
          <w:color w:val="auto"/>
        </w:rPr>
        <w:t>The graph below matches AXSOME Therapeutics, Inc.'s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12/31/2016 to 12/31/2021.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121920</wp:posOffset>
            </wp:positionV>
            <wp:extent cx="4588510" cy="381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88510" cy="381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060"/>
          </w:cols>
          <w:pgMar w:left="300" w:top="124" w:right="539" w:bottom="1440" w:gutter="0" w:footer="0" w:header="0"/>
        </w:sectPr>
      </w:pPr>
    </w:p>
    <w:bookmarkStart w:id="97" w:name="page98"/>
    <w:bookmarkEnd w:id="9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w:t>
      </w:r>
    </w:p>
    <w:p>
      <w:pPr>
        <w:spacing w:after="0" w:line="174" w:lineRule="exact"/>
        <w:rPr>
          <w:sz w:val="20"/>
          <w:szCs w:val="20"/>
          <w:color w:val="auto"/>
        </w:rPr>
      </w:pPr>
    </w:p>
    <w:p>
      <w:pPr>
        <w:jc w:val="both"/>
        <w:ind w:right="80" w:firstLine="751"/>
        <w:spacing w:after="0" w:line="270" w:lineRule="auto"/>
        <w:rPr>
          <w:sz w:val="20"/>
          <w:szCs w:val="20"/>
          <w:color w:val="auto"/>
        </w:rPr>
      </w:pPr>
      <w:r>
        <w:rPr>
          <w:rFonts w:ascii="Arial" w:cs="Arial" w:eastAsia="Arial" w:hAnsi="Arial"/>
          <w:sz w:val="14"/>
          <w:szCs w:val="14"/>
          <w:color w:val="auto"/>
        </w:rPr>
        <w:t>The number of record holders of our common stock as of February 22, 2022, was four. This number of holders of record does not reflect the beneficial holders of our common stock who hold shares in street name through brokerage accounts or other nominees. This number of holders of record also does not include stockholders whose shares may be held in trust by other entities. The actual number of holders of our common stock is therefore greater than this number of record holders.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Dividends</w:t>
      </w:r>
    </w:p>
    <w:p>
      <w:pPr>
        <w:spacing w:after="0" w:line="174" w:lineRule="exact"/>
        <w:rPr>
          <w:sz w:val="20"/>
          <w:szCs w:val="20"/>
          <w:color w:val="auto"/>
        </w:rPr>
      </w:pPr>
    </w:p>
    <w:p>
      <w:pPr>
        <w:ind w:firstLine="751"/>
        <w:spacing w:after="0" w:line="263" w:lineRule="auto"/>
        <w:rPr>
          <w:sz w:val="20"/>
          <w:szCs w:val="20"/>
          <w:color w:val="auto"/>
        </w:rPr>
      </w:pPr>
      <w:r>
        <w:rPr>
          <w:rFonts w:ascii="Arial" w:cs="Arial" w:eastAsia="Arial" w:hAnsi="Arial"/>
          <w:sz w:val="14"/>
          <w:szCs w:val="14"/>
          <w:color w:val="auto"/>
        </w:rPr>
        <w:t>We have never declared or paid any cash dividends on our common stock and do not anticipate paying any cash dividends in the foreseeable future. Any future determination to pay dividends will be at the discretion of our board of directors, subject to applicable laws, and will depend on a number of factors, including our financial condition, results of operations, capital requirements, contractual restrictions, general business conditions, and any other factors that our board may deem relevant. In addition, the terms of our existing term loan with Hercules Capital, Inc., or Hercules, precludes us from paying cash dividends without the consent of Hercules, except under certain circumstances.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98" w:name="page99"/>
    <w:bookmarkEnd w:id="9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78" w:lineRule="exact"/>
        <w:rPr>
          <w:sz w:val="20"/>
          <w:szCs w:val="20"/>
          <w:color w:val="auto"/>
        </w:rPr>
      </w:pPr>
    </w:p>
    <w:p>
      <w:pPr>
        <w:ind w:right="20" w:firstLine="751"/>
        <w:spacing w:after="0" w:line="260" w:lineRule="auto"/>
        <w:rPr>
          <w:sz w:val="20"/>
          <w:szCs w:val="20"/>
          <w:color w:val="auto"/>
        </w:rPr>
      </w:pPr>
      <w:r>
        <w:rPr>
          <w:rFonts w:ascii="Arial" w:cs="Arial" w:eastAsia="Arial" w:hAnsi="Arial"/>
          <w:sz w:val="14"/>
          <w:szCs w:val="14"/>
          <w:color w:val="auto"/>
        </w:rPr>
        <w:t>The following discussion and analysis contain forward-looking statements about our plans and expectations of what may happen in the future. You should read the following discussion and analysis in conjunction with “Item 8. 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44" w:lineRule="exact"/>
        <w:rPr>
          <w:sz w:val="20"/>
          <w:szCs w:val="20"/>
          <w:color w:val="auto"/>
        </w:rPr>
      </w:pPr>
    </w:p>
    <w:p>
      <w:pPr>
        <w:ind w:right="20" w:firstLine="751"/>
        <w:spacing w:after="0" w:line="238" w:lineRule="auto"/>
        <w:rPr>
          <w:sz w:val="20"/>
          <w:szCs w:val="20"/>
          <w:color w:val="auto"/>
        </w:rPr>
      </w:pPr>
      <w:r>
        <w:rPr>
          <w:rFonts w:ascii="Arial" w:cs="Arial" w:eastAsia="Arial" w:hAnsi="Arial"/>
          <w:sz w:val="15"/>
          <w:szCs w:val="15"/>
          <w:color w:val="auto"/>
        </w:rPr>
        <w:t>In July 2019, the Financial Accounting Standards Board (which we refer to as “FASB”) issued Accounting Standards Update 2019-07, “Codification Updates to SEC Sections-Amendments to SEC Paragraphs Pursuant to SEC Final Rule Releases No. 33-10532, Disclosure Update and Simplification", which changes were meant to simplify certain disclosures in financial condition and results of operations, particularly by eliminating year-to-year comparisons between prior periods previously disclosed. This section of this Form 10-K generally discusses 2021 and 2020 items and year-to-year comparisons between 2021 and 2020. Discussions of 2019 items and year-to-year comparisons between 2020 and 2019 that are not included in this Form 10-K can be found in “Management’s Discussion and Analysis of Financial Condition and Results of Operations” in Part II, Item 7 of the Company’s Annual Report on Form 10-K for the fiscal year ended December 31, 2020.</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78" w:lineRule="exact"/>
        <w:rPr>
          <w:sz w:val="20"/>
          <w:szCs w:val="20"/>
          <w:color w:val="auto"/>
        </w:rPr>
      </w:pPr>
    </w:p>
    <w:p>
      <w:pPr>
        <w:ind w:right="160" w:firstLine="751"/>
        <w:spacing w:after="0" w:line="244" w:lineRule="auto"/>
        <w:rPr>
          <w:sz w:val="20"/>
          <w:szCs w:val="20"/>
          <w:color w:val="auto"/>
        </w:rPr>
      </w:pPr>
      <w:r>
        <w:rPr>
          <w:rFonts w:ascii="Arial" w:cs="Arial" w:eastAsia="Arial" w:hAnsi="Arial"/>
          <w:sz w:val="15"/>
          <w:szCs w:val="15"/>
          <w:color w:val="auto"/>
        </w:rPr>
        <w:t>We are a biopharmaceutical company developing novel therapies for the management of central nervous system, or CNS, conditions that have limited treatment options. By focusing on this therapeutic area, we are addressing significant and growing markets where current treatment options are limited or inadequate. Our core CNS portfolio includes four CNS product candidates, AXS-05, AXS-07, AXS-12, and AXS-14 which are being developed for multiple indications.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3"/>
          <w:szCs w:val="13"/>
          <w:color w:val="auto"/>
        </w:rPr>
        <w:t>As described in Part I, Item 1. "Business," we currently have four product candidates in clinical development. Refer to Part I, Item 1. "Business" for a summary of our clinical</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programs.</w:t>
      </w:r>
    </w:p>
    <w:p>
      <w:pPr>
        <w:spacing w:after="0" w:line="162" w:lineRule="exact"/>
        <w:rPr>
          <w:sz w:val="20"/>
          <w:szCs w:val="20"/>
          <w:color w:val="auto"/>
        </w:rPr>
      </w:pPr>
    </w:p>
    <w:p>
      <w:pPr>
        <w:ind w:right="300" w:firstLine="751"/>
        <w:spacing w:after="0" w:line="270" w:lineRule="auto"/>
        <w:rPr>
          <w:sz w:val="20"/>
          <w:szCs w:val="20"/>
          <w:color w:val="auto"/>
        </w:rPr>
      </w:pPr>
      <w:r>
        <w:rPr>
          <w:rFonts w:ascii="Arial" w:cs="Arial" w:eastAsia="Arial" w:hAnsi="Arial"/>
          <w:sz w:val="14"/>
          <w:szCs w:val="14"/>
          <w:color w:val="auto"/>
        </w:rPr>
        <w:t>Since our incorporation in January 2012, our operations to date have included organizing and staffing our company, business planning, raising capital, developing our compounds, and engaging in other discovery and preclinical activities.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38" w:lineRule="exact"/>
        <w:rPr>
          <w:sz w:val="20"/>
          <w:szCs w:val="20"/>
          <w:color w:val="auto"/>
        </w:rPr>
      </w:pPr>
    </w:p>
    <w:p>
      <w:pPr>
        <w:ind w:right="60" w:firstLine="751"/>
        <w:spacing w:after="0" w:line="255" w:lineRule="auto"/>
        <w:rPr>
          <w:sz w:val="20"/>
          <w:szCs w:val="20"/>
          <w:color w:val="auto"/>
        </w:rPr>
      </w:pPr>
      <w:r>
        <w:rPr>
          <w:rFonts w:ascii="Arial" w:cs="Arial" w:eastAsia="Arial" w:hAnsi="Arial"/>
          <w:sz w:val="15"/>
          <w:szCs w:val="15"/>
          <w:color w:val="auto"/>
        </w:rPr>
        <w:t>Our ability to become profitable depends on our ability to generate revenue. We do not expect to generate significant revenue unless and until we obtain marketing approval for and successfully commercialize one of our product candidates.</w:t>
      </w:r>
    </w:p>
    <w:p>
      <w:pPr>
        <w:spacing w:after="0" w:line="147" w:lineRule="exact"/>
        <w:rPr>
          <w:sz w:val="20"/>
          <w:szCs w:val="20"/>
          <w:color w:val="auto"/>
        </w:rPr>
      </w:pPr>
    </w:p>
    <w:p>
      <w:pPr>
        <w:ind w:firstLine="751"/>
        <w:spacing w:after="0" w:line="254" w:lineRule="auto"/>
        <w:rPr>
          <w:sz w:val="20"/>
          <w:szCs w:val="20"/>
          <w:color w:val="auto"/>
        </w:rPr>
      </w:pPr>
      <w:r>
        <w:rPr>
          <w:rFonts w:ascii="Arial" w:cs="Arial" w:eastAsia="Arial" w:hAnsi="Arial"/>
          <w:sz w:val="14"/>
          <w:szCs w:val="14"/>
          <w:color w:val="auto"/>
        </w:rPr>
        <w:t>We have incurred significant operating and net losses since inception. We incurred net losses of $130.4 million and $102.9 million for the years ended December 31, 2021 and 2020, respectively. Our accumulated deficit as of December 31, 2021was $409.2 million, and we expect to incur significant expenses and increasing operating losses for the foreseeable future. We expect our expenses to increase in connection with our ongoing activities, as we continue the development and clinical trials of, and seek regulatory approval for our current product candidates and any other product candidates that we develop or in-license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99" w:name="page100"/>
    <w:bookmarkEnd w:id="9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Overview</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74" w:lineRule="exact"/>
        <w:rPr>
          <w:sz w:val="20"/>
          <w:szCs w:val="20"/>
          <w:color w:val="auto"/>
        </w:rPr>
      </w:pPr>
    </w:p>
    <w:p>
      <w:pPr>
        <w:ind w:right="140" w:firstLine="751"/>
        <w:spacing w:after="0"/>
        <w:rPr>
          <w:sz w:val="20"/>
          <w:szCs w:val="20"/>
          <w:color w:val="auto"/>
        </w:rPr>
      </w:pPr>
      <w:r>
        <w:rPr>
          <w:rFonts w:ascii="Arial" w:cs="Arial" w:eastAsia="Arial" w:hAnsi="Arial"/>
          <w:sz w:val="15"/>
          <w:szCs w:val="15"/>
          <w:color w:val="auto"/>
        </w:rPr>
        <w:t>We have not generated any revenue and have incurred significant operating losses since inception, and we do not expect to generate any revenue from the sale of any products unless or until we obtain regulatory approval. If we fail to complete the development of our product candidates in a timely manner or obtain regulatory approval for them, our ability to generate future revenue, and our results of operations and financial position, would be materially and adversely affected. If we enter into licensing or collaboration arrangements, such agreements may generate revenue in the future.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174" w:lineRule="exact"/>
        <w:rPr>
          <w:sz w:val="20"/>
          <w:szCs w:val="20"/>
          <w:color w:val="auto"/>
        </w:rPr>
      </w:pPr>
    </w:p>
    <w:p>
      <w:pPr>
        <w:ind w:right="20" w:firstLine="751"/>
        <w:spacing w:after="0" w:line="174" w:lineRule="exact"/>
        <w:rPr>
          <w:sz w:val="20"/>
          <w:szCs w:val="20"/>
          <w:color w:val="auto"/>
        </w:rPr>
      </w:pPr>
      <w:r>
        <w:rPr>
          <w:rFonts w:ascii="Arial" w:cs="Arial" w:eastAsia="Arial" w:hAnsi="Arial"/>
          <w:sz w:val="15"/>
          <w:szCs w:val="15"/>
          <w:color w:val="auto"/>
        </w:rPr>
        <w:t>Research and development expenses primarily include preclinical studies, clinical trials, manufacturing costs, employee salaries and benefits,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60" w:lineRule="exact"/>
        <w:rPr>
          <w:sz w:val="20"/>
          <w:szCs w:val="20"/>
          <w:color w:val="auto"/>
        </w:rPr>
      </w:pPr>
    </w:p>
    <w:p>
      <w:pPr>
        <w:ind w:right="60" w:firstLine="751"/>
        <w:spacing w:after="0" w:line="279" w:lineRule="auto"/>
        <w:rPr>
          <w:sz w:val="20"/>
          <w:szCs w:val="20"/>
          <w:color w:val="auto"/>
        </w:rPr>
      </w:pPr>
      <w:r>
        <w:rPr>
          <w:rFonts w:ascii="Arial" w:cs="Arial" w:eastAsia="Arial" w:hAnsi="Arial"/>
          <w:sz w:val="13"/>
          <w:szCs w:val="13"/>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35" w:lineRule="exact"/>
        <w:rPr>
          <w:sz w:val="20"/>
          <w:szCs w:val="20"/>
          <w:color w:val="auto"/>
        </w:rPr>
      </w:pPr>
    </w:p>
    <w:p>
      <w:pPr>
        <w:ind w:right="40" w:firstLine="751"/>
        <w:spacing w:after="0" w:line="257" w:lineRule="auto"/>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summarizes our research and development expenses by program for the years ended December 31, 2021, and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40" w:type="dxa"/>
            <w:vAlign w:val="bottom"/>
            <w:gridSpan w:val="3"/>
          </w:tcPr>
          <w:p>
            <w:pPr>
              <w:jc w:val="right"/>
              <w:ind w:right="166"/>
              <w:spacing w:after="0"/>
              <w:rPr>
                <w:sz w:val="20"/>
                <w:szCs w:val="20"/>
                <w:color w:val="auto"/>
              </w:rPr>
            </w:pPr>
            <w:r>
              <w:rPr>
                <w:rFonts w:ascii="Arial" w:cs="Arial" w:eastAsia="Arial" w:hAnsi="Arial"/>
                <w:sz w:val="12"/>
                <w:szCs w:val="12"/>
                <w:b w:val="1"/>
                <w:bCs w:val="1"/>
                <w:color w:val="auto"/>
              </w:rPr>
              <w:t>Year ended</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2"/>
        </w:trPr>
        <w:tc>
          <w:tcPr>
            <w:tcW w:w="75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2"/>
                <w:szCs w:val="12"/>
                <w:b w:val="1"/>
                <w:bCs w:val="1"/>
                <w:color w:val="auto"/>
              </w:rPr>
              <w:t>December 31,</w:t>
            </w:r>
          </w:p>
        </w:tc>
        <w:tc>
          <w:tcPr>
            <w:tcW w:w="1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36"/>
        </w:trPr>
        <w:tc>
          <w:tcPr>
            <w:tcW w:w="754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2021</w:t>
            </w:r>
          </w:p>
        </w:tc>
        <w:tc>
          <w:tcPr>
            <w:tcW w:w="7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87"/>
              <w:spacing w:after="0" w:line="137"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1"/>
                <w:szCs w:val="11"/>
                <w:color w:val="auto"/>
              </w:rPr>
            </w:pPr>
          </w:p>
        </w:tc>
      </w:tr>
      <w:tr>
        <w:trPr>
          <w:trHeight w:val="159"/>
        </w:trPr>
        <w:tc>
          <w:tcPr>
            <w:tcW w:w="7540" w:type="dxa"/>
            <w:vAlign w:val="bottom"/>
            <w:shd w:val="clear" w:color="auto" w:fill="CFF0FC"/>
          </w:tcPr>
          <w:p>
            <w:pPr>
              <w:ind w:left="160"/>
              <w:spacing w:after="0" w:line="159" w:lineRule="exact"/>
              <w:rPr>
                <w:sz w:val="20"/>
                <w:szCs w:val="20"/>
                <w:color w:val="auto"/>
              </w:rPr>
            </w:pPr>
            <w:r>
              <w:rPr>
                <w:rFonts w:ascii="Arial" w:cs="Arial" w:eastAsia="Arial" w:hAnsi="Arial"/>
                <w:sz w:val="15"/>
                <w:szCs w:val="15"/>
                <w:color w:val="auto"/>
              </w:rPr>
              <w:t>AXS-05</w:t>
            </w:r>
          </w:p>
        </w:tc>
        <w:tc>
          <w:tcPr>
            <w:tcW w:w="960" w:type="dxa"/>
            <w:vAlign w:val="bottom"/>
            <w:shd w:val="clear" w:color="auto" w:fill="CFF0FC"/>
          </w:tcPr>
          <w:p>
            <w:pPr>
              <w:jc w:val="right"/>
              <w:ind w:right="791"/>
              <w:spacing w:after="0" w:line="159"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FF0FC"/>
          </w:tcPr>
          <w:p>
            <w:pPr>
              <w:jc w:val="right"/>
              <w:ind w:right="29"/>
              <w:spacing w:after="0" w:line="159" w:lineRule="exact"/>
              <w:rPr>
                <w:sz w:val="20"/>
                <w:szCs w:val="20"/>
                <w:color w:val="auto"/>
              </w:rPr>
            </w:pPr>
            <w:r>
              <w:rPr>
                <w:rFonts w:ascii="Arial" w:cs="Arial" w:eastAsia="Arial" w:hAnsi="Arial"/>
                <w:sz w:val="15"/>
                <w:szCs w:val="15"/>
                <w:color w:val="auto"/>
                <w:w w:val="85"/>
              </w:rPr>
              <w:t>24,525,561</w:t>
            </w: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346"/>
              <w:spacing w:after="0" w:line="15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7"/>
              <w:spacing w:after="0" w:line="159" w:lineRule="exact"/>
              <w:rPr>
                <w:sz w:val="20"/>
                <w:szCs w:val="20"/>
                <w:color w:val="auto"/>
              </w:rPr>
            </w:pPr>
            <w:r>
              <w:rPr>
                <w:rFonts w:ascii="Arial" w:cs="Arial" w:eastAsia="Arial" w:hAnsi="Arial"/>
                <w:sz w:val="15"/>
                <w:szCs w:val="15"/>
                <w:color w:val="auto"/>
              </w:rPr>
              <w:t>33,657,608</w:t>
            </w:r>
          </w:p>
        </w:tc>
        <w:tc>
          <w:tcPr>
            <w:tcW w:w="160" w:type="dxa"/>
            <w:vAlign w:val="bottom"/>
            <w:shd w:val="clear" w:color="auto" w:fill="CFF0FC"/>
          </w:tcPr>
          <w:p>
            <w:pPr>
              <w:spacing w:after="0"/>
              <w:rPr>
                <w:sz w:val="13"/>
                <w:szCs w:val="13"/>
                <w:color w:val="auto"/>
              </w:rPr>
            </w:pPr>
          </w:p>
        </w:tc>
      </w:tr>
      <w:tr>
        <w:trPr>
          <w:trHeight w:val="168"/>
        </w:trPr>
        <w:tc>
          <w:tcPr>
            <w:tcW w:w="7540" w:type="dxa"/>
            <w:vAlign w:val="bottom"/>
          </w:tcPr>
          <w:p>
            <w:pPr>
              <w:ind w:left="160"/>
              <w:spacing w:after="0" w:line="168" w:lineRule="exact"/>
              <w:rPr>
                <w:sz w:val="20"/>
                <w:szCs w:val="20"/>
                <w:color w:val="auto"/>
              </w:rPr>
            </w:pPr>
            <w:r>
              <w:rPr>
                <w:rFonts w:ascii="Arial" w:cs="Arial" w:eastAsia="Arial" w:hAnsi="Arial"/>
                <w:sz w:val="15"/>
                <w:szCs w:val="15"/>
                <w:color w:val="auto"/>
              </w:rPr>
              <w:t>AXS-07</w:t>
            </w:r>
          </w:p>
        </w:tc>
        <w:tc>
          <w:tcPr>
            <w:tcW w:w="960" w:type="dxa"/>
            <w:vAlign w:val="bottom"/>
          </w:tcPr>
          <w:p>
            <w:pPr>
              <w:spacing w:after="0"/>
              <w:rPr>
                <w:sz w:val="14"/>
                <w:szCs w:val="14"/>
                <w:color w:val="auto"/>
              </w:rPr>
            </w:pPr>
          </w:p>
        </w:tc>
        <w:tc>
          <w:tcPr>
            <w:tcW w:w="760" w:type="dxa"/>
            <w:vAlign w:val="bottom"/>
          </w:tcPr>
          <w:p>
            <w:pPr>
              <w:jc w:val="right"/>
              <w:ind w:right="29"/>
              <w:spacing w:after="0" w:line="168" w:lineRule="exact"/>
              <w:rPr>
                <w:sz w:val="20"/>
                <w:szCs w:val="20"/>
                <w:color w:val="auto"/>
              </w:rPr>
            </w:pPr>
            <w:r>
              <w:rPr>
                <w:rFonts w:ascii="Arial" w:cs="Arial" w:eastAsia="Arial" w:hAnsi="Arial"/>
                <w:sz w:val="15"/>
                <w:szCs w:val="15"/>
                <w:color w:val="auto"/>
                <w:w w:val="85"/>
              </w:rPr>
              <w:t>14,787,625</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Arial" w:cs="Arial" w:eastAsia="Arial" w:hAnsi="Arial"/>
                <w:sz w:val="15"/>
                <w:szCs w:val="15"/>
                <w:color w:val="auto"/>
              </w:rPr>
              <w:t>15,292,054</w:t>
            </w:r>
          </w:p>
        </w:tc>
        <w:tc>
          <w:tcPr>
            <w:tcW w:w="160" w:type="dxa"/>
            <w:vAlign w:val="bottom"/>
          </w:tcPr>
          <w:p>
            <w:pPr>
              <w:spacing w:after="0"/>
              <w:rPr>
                <w:sz w:val="14"/>
                <w:szCs w:val="14"/>
                <w:color w:val="auto"/>
              </w:rPr>
            </w:pPr>
          </w:p>
        </w:tc>
      </w:tr>
      <w:tr>
        <w:trPr>
          <w:trHeight w:val="168"/>
        </w:trPr>
        <w:tc>
          <w:tcPr>
            <w:tcW w:w="754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AXS-12</w:t>
            </w:r>
          </w:p>
        </w:tc>
        <w:tc>
          <w:tcPr>
            <w:tcW w:w="9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9"/>
              <w:spacing w:after="0" w:line="168" w:lineRule="exact"/>
              <w:rPr>
                <w:sz w:val="20"/>
                <w:szCs w:val="20"/>
                <w:color w:val="auto"/>
              </w:rPr>
            </w:pPr>
            <w:r>
              <w:rPr>
                <w:rFonts w:ascii="Arial" w:cs="Arial" w:eastAsia="Arial" w:hAnsi="Arial"/>
                <w:sz w:val="15"/>
                <w:szCs w:val="15"/>
                <w:color w:val="auto"/>
                <w:w w:val="95"/>
              </w:rPr>
              <w:t>4,862,688</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7,248,324</w:t>
            </w:r>
          </w:p>
        </w:tc>
        <w:tc>
          <w:tcPr>
            <w:tcW w:w="160" w:type="dxa"/>
            <w:vAlign w:val="bottom"/>
            <w:shd w:val="clear" w:color="auto" w:fill="CFF0FC"/>
          </w:tcPr>
          <w:p>
            <w:pPr>
              <w:spacing w:after="0"/>
              <w:rPr>
                <w:sz w:val="14"/>
                <w:szCs w:val="14"/>
                <w:color w:val="auto"/>
              </w:rPr>
            </w:pPr>
          </w:p>
        </w:tc>
      </w:tr>
      <w:tr>
        <w:trPr>
          <w:trHeight w:val="168"/>
        </w:trPr>
        <w:tc>
          <w:tcPr>
            <w:tcW w:w="7540" w:type="dxa"/>
            <w:vAlign w:val="bottom"/>
          </w:tcPr>
          <w:p>
            <w:pPr>
              <w:ind w:left="160"/>
              <w:spacing w:after="0" w:line="168" w:lineRule="exact"/>
              <w:rPr>
                <w:sz w:val="20"/>
                <w:szCs w:val="20"/>
                <w:color w:val="auto"/>
              </w:rPr>
            </w:pPr>
            <w:r>
              <w:rPr>
                <w:rFonts w:ascii="Arial" w:cs="Arial" w:eastAsia="Arial" w:hAnsi="Arial"/>
                <w:sz w:val="15"/>
                <w:szCs w:val="15"/>
                <w:color w:val="auto"/>
              </w:rPr>
              <w:t>AXS-14</w:t>
            </w:r>
          </w:p>
        </w:tc>
        <w:tc>
          <w:tcPr>
            <w:tcW w:w="960" w:type="dxa"/>
            <w:vAlign w:val="bottom"/>
          </w:tcPr>
          <w:p>
            <w:pPr>
              <w:spacing w:after="0"/>
              <w:rPr>
                <w:sz w:val="14"/>
                <w:szCs w:val="14"/>
                <w:color w:val="auto"/>
              </w:rPr>
            </w:pPr>
          </w:p>
        </w:tc>
        <w:tc>
          <w:tcPr>
            <w:tcW w:w="760" w:type="dxa"/>
            <w:vAlign w:val="bottom"/>
          </w:tcPr>
          <w:p>
            <w:pPr>
              <w:jc w:val="right"/>
              <w:ind w:right="29"/>
              <w:spacing w:after="0" w:line="168" w:lineRule="exact"/>
              <w:rPr>
                <w:sz w:val="20"/>
                <w:szCs w:val="20"/>
                <w:color w:val="auto"/>
              </w:rPr>
            </w:pPr>
            <w:r>
              <w:rPr>
                <w:rFonts w:ascii="Arial" w:cs="Arial" w:eastAsia="Arial" w:hAnsi="Arial"/>
                <w:sz w:val="15"/>
                <w:szCs w:val="15"/>
                <w:color w:val="auto"/>
              </w:rPr>
              <w:t>235,933</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Arial" w:cs="Arial" w:eastAsia="Arial" w:hAnsi="Arial"/>
                <w:sz w:val="15"/>
                <w:szCs w:val="15"/>
                <w:color w:val="auto"/>
              </w:rPr>
              <w:t>5,257,710</w:t>
            </w:r>
          </w:p>
        </w:tc>
        <w:tc>
          <w:tcPr>
            <w:tcW w:w="160" w:type="dxa"/>
            <w:vAlign w:val="bottom"/>
          </w:tcPr>
          <w:p>
            <w:pPr>
              <w:spacing w:after="0"/>
              <w:rPr>
                <w:sz w:val="14"/>
                <w:szCs w:val="14"/>
                <w:color w:val="auto"/>
              </w:rPr>
            </w:pPr>
          </w:p>
        </w:tc>
      </w:tr>
      <w:tr>
        <w:trPr>
          <w:trHeight w:val="168"/>
        </w:trPr>
        <w:tc>
          <w:tcPr>
            <w:tcW w:w="754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Other research and development</w:t>
            </w:r>
          </w:p>
        </w:tc>
        <w:tc>
          <w:tcPr>
            <w:tcW w:w="96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9"/>
              <w:spacing w:after="0" w:line="168" w:lineRule="exact"/>
              <w:rPr>
                <w:sz w:val="20"/>
                <w:szCs w:val="20"/>
                <w:color w:val="auto"/>
              </w:rPr>
            </w:pPr>
            <w:r>
              <w:rPr>
                <w:rFonts w:ascii="Arial" w:cs="Arial" w:eastAsia="Arial" w:hAnsi="Arial"/>
                <w:sz w:val="15"/>
                <w:szCs w:val="15"/>
                <w:color w:val="auto"/>
                <w:w w:val="95"/>
              </w:rPr>
              <w:t>6,192,869</w:t>
            </w: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4,834,944</w:t>
            </w:r>
          </w:p>
        </w:tc>
        <w:tc>
          <w:tcPr>
            <w:tcW w:w="160" w:type="dxa"/>
            <w:vAlign w:val="bottom"/>
            <w:shd w:val="clear" w:color="auto" w:fill="CFF0FC"/>
          </w:tcPr>
          <w:p>
            <w:pPr>
              <w:spacing w:after="0"/>
              <w:rPr>
                <w:sz w:val="14"/>
                <w:szCs w:val="14"/>
                <w:color w:val="auto"/>
              </w:rPr>
            </w:pPr>
          </w:p>
        </w:tc>
      </w:tr>
      <w:tr>
        <w:trPr>
          <w:trHeight w:val="168"/>
        </w:trPr>
        <w:tc>
          <w:tcPr>
            <w:tcW w:w="7540" w:type="dxa"/>
            <w:vAlign w:val="bottom"/>
          </w:tcPr>
          <w:p>
            <w:pPr>
              <w:ind w:left="160"/>
              <w:spacing w:after="0" w:line="168" w:lineRule="exact"/>
              <w:rPr>
                <w:sz w:val="20"/>
                <w:szCs w:val="20"/>
                <w:color w:val="auto"/>
              </w:rPr>
            </w:pPr>
            <w:r>
              <w:rPr>
                <w:rFonts w:ascii="Arial" w:cs="Arial" w:eastAsia="Arial" w:hAnsi="Arial"/>
                <w:sz w:val="15"/>
                <w:szCs w:val="15"/>
                <w:color w:val="auto"/>
              </w:rPr>
              <w:t>Stock-based compensation</w:t>
            </w:r>
          </w:p>
        </w:tc>
        <w:tc>
          <w:tcPr>
            <w:tcW w:w="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
              <w:spacing w:after="0" w:line="168" w:lineRule="exact"/>
              <w:rPr>
                <w:sz w:val="20"/>
                <w:szCs w:val="20"/>
                <w:color w:val="auto"/>
              </w:rPr>
            </w:pPr>
            <w:r>
              <w:rPr>
                <w:rFonts w:ascii="Arial" w:cs="Arial" w:eastAsia="Arial" w:hAnsi="Arial"/>
                <w:sz w:val="15"/>
                <w:szCs w:val="15"/>
                <w:color w:val="auto"/>
                <w:w w:val="95"/>
              </w:rPr>
              <w:t>7,456,049</w:t>
            </w: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
              <w:spacing w:after="0" w:line="168" w:lineRule="exact"/>
              <w:rPr>
                <w:sz w:val="20"/>
                <w:szCs w:val="20"/>
                <w:color w:val="auto"/>
              </w:rPr>
            </w:pPr>
            <w:r>
              <w:rPr>
                <w:rFonts w:ascii="Arial" w:cs="Arial" w:eastAsia="Arial" w:hAnsi="Arial"/>
                <w:sz w:val="15"/>
                <w:szCs w:val="15"/>
                <w:color w:val="auto"/>
              </w:rPr>
              <w:t>3,953,939</w:t>
            </w:r>
          </w:p>
        </w:tc>
        <w:tc>
          <w:tcPr>
            <w:tcW w:w="160" w:type="dxa"/>
            <w:vAlign w:val="bottom"/>
          </w:tcPr>
          <w:p>
            <w:pPr>
              <w:spacing w:after="0"/>
              <w:rPr>
                <w:sz w:val="14"/>
                <w:szCs w:val="14"/>
                <w:color w:val="auto"/>
              </w:rPr>
            </w:pPr>
          </w:p>
        </w:tc>
      </w:tr>
      <w:tr>
        <w:trPr>
          <w:trHeight w:val="199"/>
        </w:trPr>
        <w:tc>
          <w:tcPr>
            <w:tcW w:w="754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Total research and development expenses</w:t>
            </w:r>
          </w:p>
        </w:tc>
        <w:tc>
          <w:tcPr>
            <w:tcW w:w="960" w:type="dxa"/>
            <w:vAlign w:val="bottom"/>
            <w:tcBorders>
              <w:bottom w:val="single" w:sz="8" w:color="auto"/>
            </w:tcBorders>
            <w:shd w:val="clear" w:color="auto" w:fill="CFF0FC"/>
          </w:tcPr>
          <w:p>
            <w:pPr>
              <w:jc w:val="right"/>
              <w:ind w:right="791"/>
              <w:spacing w:after="0" w:line="159" w:lineRule="exact"/>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FF0FC"/>
          </w:tcPr>
          <w:p>
            <w:pPr>
              <w:jc w:val="right"/>
              <w:ind w:right="29"/>
              <w:spacing w:after="0" w:line="159" w:lineRule="exact"/>
              <w:rPr>
                <w:sz w:val="20"/>
                <w:szCs w:val="20"/>
                <w:color w:val="auto"/>
              </w:rPr>
            </w:pPr>
            <w:r>
              <w:rPr>
                <w:rFonts w:ascii="Arial" w:cs="Arial" w:eastAsia="Arial" w:hAnsi="Arial"/>
                <w:sz w:val="15"/>
                <w:szCs w:val="15"/>
                <w:color w:val="auto"/>
                <w:w w:val="85"/>
              </w:rPr>
              <w:t>58,060,725</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46"/>
              <w:spacing w:after="0" w:line="15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7"/>
              <w:spacing w:after="0" w:line="159" w:lineRule="exact"/>
              <w:rPr>
                <w:sz w:val="20"/>
                <w:szCs w:val="20"/>
                <w:color w:val="auto"/>
              </w:rPr>
            </w:pPr>
            <w:r>
              <w:rPr>
                <w:rFonts w:ascii="Arial" w:cs="Arial" w:eastAsia="Arial" w:hAnsi="Arial"/>
                <w:sz w:val="15"/>
                <w:szCs w:val="15"/>
                <w:color w:val="auto"/>
              </w:rPr>
              <w:t>70,244,579</w:t>
            </w:r>
          </w:p>
        </w:tc>
        <w:tc>
          <w:tcPr>
            <w:tcW w:w="1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5878195</wp:posOffset>
            </wp:positionH>
            <wp:positionV relativeFrom="paragraph">
              <wp:posOffset>-20955</wp:posOffset>
            </wp:positionV>
            <wp:extent cx="11366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5878195</wp:posOffset>
            </wp:positionH>
            <wp:positionV relativeFrom="paragraph">
              <wp:posOffset>-6350</wp:posOffset>
            </wp:positionV>
            <wp:extent cx="11366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7055485</wp:posOffset>
            </wp:positionH>
            <wp:positionV relativeFrom="paragraph">
              <wp:posOffset>-20955</wp:posOffset>
            </wp:positionV>
            <wp:extent cx="10668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7055485</wp:posOffset>
            </wp:positionH>
            <wp:positionV relativeFrom="paragraph">
              <wp:posOffset>-6350</wp:posOffset>
            </wp:positionV>
            <wp:extent cx="10668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6680" cy="6985"/>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Other research and development expenses primarily consist of employee salaries and benefits, facilities and overhead costs.</w:t>
      </w:r>
    </w:p>
    <w:p>
      <w:pPr>
        <w:spacing w:after="0" w:line="17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0" w:name="page101"/>
    <w:bookmarkEnd w:id="10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Expenses</w:t>
      </w:r>
    </w:p>
    <w:p>
      <w:pPr>
        <w:spacing w:after="0" w:line="174" w:lineRule="exact"/>
        <w:rPr>
          <w:sz w:val="20"/>
          <w:szCs w:val="20"/>
          <w:color w:val="auto"/>
        </w:rPr>
      </w:pPr>
    </w:p>
    <w:p>
      <w:pPr>
        <w:jc w:val="both"/>
        <w:ind w:right="100" w:firstLine="751"/>
        <w:spacing w:after="0" w:line="270" w:lineRule="auto"/>
        <w:rPr>
          <w:sz w:val="20"/>
          <w:szCs w:val="20"/>
          <w:color w:val="auto"/>
        </w:rPr>
      </w:pPr>
      <w:r>
        <w:rPr>
          <w:rFonts w:ascii="Arial" w:cs="Arial" w:eastAsia="Arial" w:hAnsi="Arial"/>
          <w:sz w:val="14"/>
          <w:szCs w:val="14"/>
          <w:color w:val="auto"/>
        </w:rPr>
        <w:t>General and administrative expenses primarily consist of salaries and related costs for personnel in executive, commercial, finance, and operational functions, including stock-based compensation and travel expenses. Also included in general and administrative expenses are pre-commercialization costs, facility-related costs, insurance expense, professional fees for legal and accounting services, and patent filing and prosecution costs. General and administrative expenses are expensed when incurred.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and Amortization of Debt Discount Expense</w:t>
      </w:r>
    </w:p>
    <w:p>
      <w:pPr>
        <w:spacing w:after="0" w:line="174" w:lineRule="exact"/>
        <w:rPr>
          <w:sz w:val="20"/>
          <w:szCs w:val="20"/>
          <w:color w:val="auto"/>
        </w:rPr>
      </w:pPr>
    </w:p>
    <w:p>
      <w:pPr>
        <w:ind w:right="40" w:firstLine="751"/>
        <w:spacing w:after="0" w:line="244" w:lineRule="auto"/>
        <w:rPr>
          <w:sz w:val="20"/>
          <w:szCs w:val="20"/>
          <w:color w:val="auto"/>
        </w:rPr>
      </w:pPr>
      <w:r>
        <w:rPr>
          <w:rFonts w:ascii="Arial" w:cs="Arial" w:eastAsia="Arial" w:hAnsi="Arial"/>
          <w:sz w:val="15"/>
          <w:szCs w:val="15"/>
          <w:color w:val="auto"/>
        </w:rPr>
        <w:t>Interest and amortization of debt discount expense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and amortization of debt discount expense also includes interest income earned on cash.</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 Credit</w:t>
      </w:r>
    </w:p>
    <w:p>
      <w:pPr>
        <w:spacing w:after="0" w:line="174" w:lineRule="exact"/>
        <w:rPr>
          <w:sz w:val="20"/>
          <w:szCs w:val="20"/>
          <w:color w:val="auto"/>
        </w:rPr>
      </w:pPr>
    </w:p>
    <w:p>
      <w:pPr>
        <w:ind w:firstLine="751"/>
        <w:spacing w:after="0" w:line="255" w:lineRule="auto"/>
        <w:rPr>
          <w:sz w:val="20"/>
          <w:szCs w:val="20"/>
          <w:color w:val="auto"/>
        </w:rPr>
      </w:pPr>
      <w:r>
        <w:rPr>
          <w:rFonts w:ascii="Arial" w:cs="Arial" w:eastAsia="Arial" w:hAnsi="Arial"/>
          <w:sz w:val="15"/>
          <w:szCs w:val="15"/>
          <w:color w:val="auto"/>
        </w:rPr>
        <w:t>The tax credits represent the receipt by Axsome Therapeutics Australia PTY, LTD, our Australian subsidiary, of the Australia Tax Incentive Credit, related to allowable research and development expenses incurred for our product candidates.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Loss on extinguishment of debt</w:t>
      </w:r>
    </w:p>
    <w:p>
      <w:pPr>
        <w:spacing w:after="0" w:line="174" w:lineRule="exact"/>
        <w:rPr>
          <w:sz w:val="20"/>
          <w:szCs w:val="20"/>
          <w:color w:val="auto"/>
        </w:rPr>
      </w:pPr>
    </w:p>
    <w:p>
      <w:pPr>
        <w:ind w:right="160" w:firstLine="751"/>
        <w:spacing w:after="0" w:line="244" w:lineRule="auto"/>
        <w:rPr>
          <w:sz w:val="20"/>
          <w:szCs w:val="20"/>
          <w:color w:val="auto"/>
        </w:rPr>
      </w:pPr>
      <w:r>
        <w:rPr>
          <w:rFonts w:ascii="Arial" w:cs="Arial" w:eastAsia="Arial" w:hAnsi="Arial"/>
          <w:sz w:val="15"/>
          <w:szCs w:val="15"/>
          <w:color w:val="auto"/>
        </w:rPr>
        <w:t>We recorded a loss on extinguishment of debt in connection with the repayment and retirement of our previous SVB Loan. The 2020 Term Loan was considered substantially different from the SVB Loan, as such, the repayment qualified for extinguishment accounting. The loss on extinguishment of debt recorded represents the prepayment premium, the unamortized discount of the SVB Loan and the write-off of deferred financing costs.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Significant Judgments and Estimates</w:t>
      </w:r>
    </w:p>
    <w:p>
      <w:pPr>
        <w:spacing w:after="0" w:line="178" w:lineRule="exact"/>
        <w:rPr>
          <w:sz w:val="20"/>
          <w:szCs w:val="20"/>
          <w:color w:val="auto"/>
        </w:rPr>
      </w:pPr>
    </w:p>
    <w:p>
      <w:pPr>
        <w:ind w:right="20" w:firstLine="751"/>
        <w:spacing w:after="0" w:line="260" w:lineRule="auto"/>
        <w:rPr>
          <w:sz w:val="20"/>
          <w:szCs w:val="20"/>
          <w:color w:val="auto"/>
        </w:rPr>
      </w:pPr>
      <w:r>
        <w:rPr>
          <w:rFonts w:ascii="Arial" w:cs="Arial" w:eastAsia="Arial" w:hAnsi="Arial"/>
          <w:sz w:val="14"/>
          <w:szCs w:val="14"/>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44" w:lineRule="exact"/>
        <w:rPr>
          <w:sz w:val="20"/>
          <w:szCs w:val="20"/>
          <w:color w:val="auto"/>
        </w:rPr>
      </w:pPr>
    </w:p>
    <w:p>
      <w:pPr>
        <w:ind w:right="100" w:firstLine="751"/>
        <w:spacing w:after="0" w:line="290" w:lineRule="auto"/>
        <w:rPr>
          <w:sz w:val="20"/>
          <w:szCs w:val="20"/>
          <w:color w:val="auto"/>
        </w:rPr>
      </w:pPr>
      <w:r>
        <w:rPr>
          <w:rFonts w:ascii="Arial" w:cs="Arial" w:eastAsia="Arial" w:hAnsi="Arial"/>
          <w:sz w:val="14"/>
          <w:szCs w:val="14"/>
          <w:color w:val="auto"/>
        </w:rPr>
        <w:t>While our significant accounting policies are more fully described in Note 2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01" w:name="page102"/>
    <w:bookmarkEnd w:id="10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174" w:lineRule="exact"/>
        <w:rPr>
          <w:sz w:val="20"/>
          <w:szCs w:val="20"/>
          <w:color w:val="auto"/>
        </w:rPr>
      </w:pPr>
    </w:p>
    <w:p>
      <w:pPr>
        <w:ind w:firstLine="751"/>
        <w:spacing w:after="0" w:line="277" w:lineRule="auto"/>
        <w:rPr>
          <w:sz w:val="20"/>
          <w:szCs w:val="20"/>
          <w:color w:val="auto"/>
        </w:rPr>
      </w:pPr>
      <w:r>
        <w:rPr>
          <w:rFonts w:ascii="Arial" w:cs="Arial" w:eastAsia="Arial" w:hAnsi="Arial"/>
          <w:sz w:val="13"/>
          <w:szCs w:val="13"/>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74" w:lineRule="exact"/>
        <w:rPr>
          <w:sz w:val="20"/>
          <w:szCs w:val="20"/>
          <w:color w:val="auto"/>
        </w:rPr>
      </w:pPr>
    </w:p>
    <w:p>
      <w:pPr>
        <w:ind w:right="20" w:firstLine="751"/>
        <w:spacing w:after="0" w:line="260" w:lineRule="auto"/>
        <w:rPr>
          <w:sz w:val="20"/>
          <w:szCs w:val="20"/>
          <w:color w:val="auto"/>
        </w:rPr>
      </w:pPr>
      <w:r>
        <w:rPr>
          <w:rFonts w:ascii="Arial" w:cs="Arial" w:eastAsia="Arial" w:hAnsi="Arial"/>
          <w:sz w:val="14"/>
          <w:szCs w:val="14"/>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44" w:lineRule="exact"/>
        <w:rPr>
          <w:sz w:val="20"/>
          <w:szCs w:val="20"/>
          <w:color w:val="auto"/>
        </w:rPr>
      </w:pPr>
    </w:p>
    <w:p>
      <w:pPr>
        <w:ind w:right="80" w:firstLine="751"/>
        <w:spacing w:after="0" w:line="244" w:lineRule="auto"/>
        <w:rPr>
          <w:sz w:val="20"/>
          <w:szCs w:val="20"/>
          <w:color w:val="auto"/>
        </w:rPr>
      </w:pPr>
      <w:r>
        <w:rPr>
          <w:rFonts w:ascii="Arial" w:cs="Arial" w:eastAsia="Arial" w:hAnsi="Arial"/>
          <w:sz w:val="15"/>
          <w:szCs w:val="15"/>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2021, we do not believe any material uncertain tax positions are present.</w:t>
      </w:r>
    </w:p>
    <w:p>
      <w:pPr>
        <w:spacing w:after="0" w:line="155" w:lineRule="exact"/>
        <w:rPr>
          <w:sz w:val="20"/>
          <w:szCs w:val="20"/>
          <w:color w:val="auto"/>
        </w:rPr>
      </w:pPr>
    </w:p>
    <w:p>
      <w:pPr>
        <w:ind w:right="120" w:firstLine="751"/>
        <w:spacing w:after="0" w:line="290" w:lineRule="auto"/>
        <w:rPr>
          <w:sz w:val="20"/>
          <w:szCs w:val="20"/>
          <w:color w:val="auto"/>
        </w:rPr>
      </w:pPr>
      <w:r>
        <w:rPr>
          <w:rFonts w:ascii="Arial" w:cs="Arial" w:eastAsia="Arial" w:hAnsi="Arial"/>
          <w:sz w:val="14"/>
          <w:szCs w:val="14"/>
          <w:color w:val="auto"/>
        </w:rPr>
        <w:t>As of December 31, 2021, we had U.S. federal net operating loss, or NOL carryforwards of approximately $364 million. NOLs amounting to $60 million generated before the 2018 tax year will start expiring beginning 2032, and the NOLs of approximately $304 million generated in 2018 and later have an indefinite carryforward period.</w:t>
      </w:r>
    </w:p>
    <w:p>
      <w:pPr>
        <w:spacing w:after="0" w:line="125" w:lineRule="exact"/>
        <w:rPr>
          <w:sz w:val="20"/>
          <w:szCs w:val="20"/>
          <w:color w:val="auto"/>
        </w:rPr>
      </w:pPr>
    </w:p>
    <w:p>
      <w:pPr>
        <w:ind w:right="40" w:firstLine="751"/>
        <w:spacing w:after="0" w:line="244" w:lineRule="auto"/>
        <w:rPr>
          <w:sz w:val="20"/>
          <w:szCs w:val="20"/>
          <w:color w:val="auto"/>
        </w:rPr>
      </w:pPr>
      <w:r>
        <w:rPr>
          <w:rFonts w:ascii="Arial" w:cs="Arial" w:eastAsia="Arial" w:hAnsi="Arial"/>
          <w:sz w:val="15"/>
          <w:szCs w:val="15"/>
          <w:color w:val="auto"/>
        </w:rPr>
        <w:t>Utilization of the NOLs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on all of our deferred tax assets.</w:t>
      </w:r>
    </w:p>
    <w:p>
      <w:pPr>
        <w:spacing w:after="0" w:line="155"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i w:val="1"/>
          <w:iCs w:val="1"/>
          <w:color w:val="auto"/>
        </w:rPr>
        <w:t>Stock</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based compensation</w:t>
      </w:r>
    </w:p>
    <w:p>
      <w:pPr>
        <w:spacing w:after="0" w:line="174" w:lineRule="exact"/>
        <w:rPr>
          <w:sz w:val="20"/>
          <w:szCs w:val="20"/>
          <w:color w:val="auto"/>
        </w:rPr>
      </w:pPr>
    </w:p>
    <w:p>
      <w:pPr>
        <w:ind w:right="120" w:firstLine="751"/>
        <w:spacing w:after="0" w:line="171" w:lineRule="exact"/>
        <w:rPr>
          <w:sz w:val="20"/>
          <w:szCs w:val="20"/>
          <w:color w:val="auto"/>
        </w:rPr>
      </w:pPr>
      <w:r>
        <w:rPr>
          <w:rFonts w:ascii="Arial" w:cs="Arial" w:eastAsia="Arial" w:hAnsi="Arial"/>
          <w:sz w:val="15"/>
          <w:szCs w:val="15"/>
          <w:color w:val="auto"/>
        </w:rPr>
        <w:t>For issued stock options, we estimate the grant date fair value of each option using the Black</w:t>
      </w:r>
      <w:r>
        <w:rPr>
          <w:rFonts w:ascii="MS PGothic" w:cs="MS PGothic" w:eastAsia="MS PGothic" w:hAnsi="MS PGothic"/>
          <w:sz w:val="15"/>
          <w:szCs w:val="15"/>
          <w:color w:val="auto"/>
        </w:rPr>
        <w:t>‑</w:t>
      </w:r>
      <w:r>
        <w:rPr>
          <w:rFonts w:ascii="Arial" w:cs="Arial" w:eastAsia="Arial" w:hAnsi="Arial"/>
          <w:sz w:val="15"/>
          <w:szCs w:val="15"/>
          <w:color w:val="auto"/>
        </w:rPr>
        <w:t>Scholes option pricing model. The Black-Scholes model takes into account the expected volatility of our common stock, the risk-free interest rate, the estimated life of the option, the closing market price of our common stock, expected dividend yield and the exercise price. The estimates utilized in the Black-Scholes calculation involve inherent uncertainties and the application of management judgment. In addition, we recognize expense for equity award forfeitures as they occur. For awards subject to service-based vesting conditions, we recognize stock-based compensation expense on a straight-line basis over the requisite service period, which is generally the vesting term. For awards subject to performance-based vesting conditions, we recognize stock-based compensation expense using the accelerated attribution method when it is probable that the performance condition will be achieved. The expense related to the stock-based compensation is recorded within the financial statement line item the grantee’s cash compensation is recorded in.</w:t>
      </w:r>
    </w:p>
    <w:p>
      <w:pPr>
        <w:spacing w:after="0" w:line="159" w:lineRule="exact"/>
        <w:rPr>
          <w:sz w:val="20"/>
          <w:szCs w:val="20"/>
          <w:color w:val="auto"/>
        </w:rPr>
      </w:pPr>
    </w:p>
    <w:p>
      <w:pPr>
        <w:ind w:right="160" w:firstLine="751"/>
        <w:spacing w:after="0" w:line="255" w:lineRule="auto"/>
        <w:rPr>
          <w:sz w:val="20"/>
          <w:szCs w:val="20"/>
          <w:color w:val="auto"/>
        </w:rPr>
      </w:pPr>
      <w:r>
        <w:rPr>
          <w:rFonts w:ascii="Arial" w:cs="Arial" w:eastAsia="Arial" w:hAnsi="Arial"/>
          <w:sz w:val="15"/>
          <w:szCs w:val="15"/>
          <w:color w:val="auto"/>
        </w:rPr>
        <w:t>Our policy upon exercise of stock options is that shares will be issued as new shares drawing on our 2015 Omnibus Incentive Compensation Plan share pool that was adopted by the stockholders in November 2015.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2" w:name="page103"/>
    <w:bookmarkEnd w:id="10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December 31, 2021 and 2020</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summarizes our results of operations for the years ended December 31, 2021and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20" w:type="dxa"/>
            <w:vAlign w:val="bottom"/>
            <w:gridSpan w:val="3"/>
          </w:tcPr>
          <w:p>
            <w:pPr>
              <w:jc w:val="right"/>
              <w:ind w:right="226"/>
              <w:spacing w:after="0"/>
              <w:rPr>
                <w:sz w:val="20"/>
                <w:szCs w:val="20"/>
                <w:color w:val="auto"/>
              </w:rPr>
            </w:pPr>
            <w:r>
              <w:rPr>
                <w:rFonts w:ascii="Arial" w:cs="Arial" w:eastAsia="Arial" w:hAnsi="Arial"/>
                <w:sz w:val="12"/>
                <w:szCs w:val="12"/>
                <w:b w:val="1"/>
                <w:bCs w:val="1"/>
                <w:color w:val="auto"/>
              </w:rPr>
              <w:t>Year ended</w:t>
            </w:r>
          </w:p>
        </w:tc>
        <w:tc>
          <w:tcPr>
            <w:tcW w:w="1260" w:type="dxa"/>
            <w:vAlign w:val="bottom"/>
          </w:tcPr>
          <w:p>
            <w:pPr>
              <w:spacing w:after="0"/>
              <w:rPr>
                <w:sz w:val="12"/>
                <w:szCs w:val="12"/>
                <w:color w:val="auto"/>
              </w:rPr>
            </w:pPr>
          </w:p>
        </w:tc>
      </w:tr>
      <w:tr>
        <w:trPr>
          <w:trHeight w:val="152"/>
        </w:trPr>
        <w:tc>
          <w:tcPr>
            <w:tcW w:w="77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2"/>
                <w:szCs w:val="12"/>
                <w:b w:val="1"/>
                <w:bCs w:val="1"/>
                <w:color w:val="auto"/>
              </w:rPr>
              <w:t>December 31,</w:t>
            </w:r>
          </w:p>
        </w:tc>
        <w:tc>
          <w:tcPr>
            <w:tcW w:w="1260" w:type="dxa"/>
            <w:vAlign w:val="bottom"/>
            <w:tcBorders>
              <w:bottom w:val="single" w:sz="8" w:color="auto"/>
            </w:tcBorders>
          </w:tcPr>
          <w:p>
            <w:pPr>
              <w:spacing w:after="0"/>
              <w:rPr>
                <w:sz w:val="13"/>
                <w:szCs w:val="13"/>
                <w:color w:val="auto"/>
              </w:rPr>
            </w:pPr>
          </w:p>
        </w:tc>
      </w:tr>
      <w:tr>
        <w:trPr>
          <w:trHeight w:val="136"/>
        </w:trPr>
        <w:tc>
          <w:tcPr>
            <w:tcW w:w="77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30"/>
              <w:spacing w:after="0" w:line="137"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707"/>
              <w:spacing w:after="0" w:line="137" w:lineRule="exact"/>
              <w:rPr>
                <w:sz w:val="20"/>
                <w:szCs w:val="20"/>
                <w:color w:val="auto"/>
              </w:rPr>
            </w:pPr>
            <w:r>
              <w:rPr>
                <w:rFonts w:ascii="Arial" w:cs="Arial" w:eastAsia="Arial" w:hAnsi="Arial"/>
                <w:sz w:val="12"/>
                <w:szCs w:val="12"/>
                <w:b w:val="1"/>
                <w:bCs w:val="1"/>
                <w:color w:val="auto"/>
              </w:rPr>
              <w:t>2020</w:t>
            </w:r>
          </w:p>
        </w:tc>
      </w:tr>
      <w:tr>
        <w:trPr>
          <w:trHeight w:val="159"/>
        </w:trPr>
        <w:tc>
          <w:tcPr>
            <w:tcW w:w="770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Operating expenses:</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r>
      <w:tr>
        <w:trPr>
          <w:trHeight w:val="168"/>
        </w:trPr>
        <w:tc>
          <w:tcPr>
            <w:tcW w:w="7700" w:type="dxa"/>
            <w:vAlign w:val="bottom"/>
          </w:tcPr>
          <w:p>
            <w:pPr>
              <w:ind w:left="160"/>
              <w:spacing w:after="0" w:line="168" w:lineRule="exact"/>
              <w:rPr>
                <w:sz w:val="20"/>
                <w:szCs w:val="20"/>
                <w:color w:val="auto"/>
              </w:rPr>
            </w:pPr>
            <w:r>
              <w:rPr>
                <w:rFonts w:ascii="Arial" w:cs="Arial" w:eastAsia="Arial" w:hAnsi="Arial"/>
                <w:sz w:val="15"/>
                <w:szCs w:val="15"/>
                <w:color w:val="auto"/>
              </w:rPr>
              <w:t>Research and development</w:t>
            </w:r>
          </w:p>
        </w:tc>
        <w:tc>
          <w:tcPr>
            <w:tcW w:w="400" w:type="dxa"/>
            <w:vAlign w:val="bottom"/>
          </w:tcPr>
          <w:p>
            <w:pPr>
              <w:jc w:val="right"/>
              <w:ind w:right="226"/>
              <w:spacing w:after="0" w:line="168" w:lineRule="exact"/>
              <w:rPr>
                <w:sz w:val="20"/>
                <w:szCs w:val="20"/>
                <w:color w:val="auto"/>
              </w:rPr>
            </w:pPr>
            <w:r>
              <w:rPr>
                <w:rFonts w:ascii="Arial" w:cs="Arial" w:eastAsia="Arial" w:hAnsi="Arial"/>
                <w:sz w:val="15"/>
                <w:szCs w:val="15"/>
                <w:color w:val="auto"/>
                <w:w w:val="95"/>
              </w:rPr>
              <w:t>$</w:t>
            </w:r>
          </w:p>
        </w:tc>
        <w:tc>
          <w:tcPr>
            <w:tcW w:w="1320" w:type="dxa"/>
            <w:vAlign w:val="bottom"/>
          </w:tcPr>
          <w:p>
            <w:pPr>
              <w:jc w:val="right"/>
              <w:ind w:right="50"/>
              <w:spacing w:after="0" w:line="168" w:lineRule="exact"/>
              <w:rPr>
                <w:sz w:val="20"/>
                <w:szCs w:val="20"/>
                <w:color w:val="auto"/>
              </w:rPr>
            </w:pPr>
            <w:r>
              <w:rPr>
                <w:rFonts w:ascii="Arial" w:cs="Arial" w:eastAsia="Arial" w:hAnsi="Arial"/>
                <w:sz w:val="15"/>
                <w:szCs w:val="15"/>
                <w:color w:val="auto"/>
              </w:rPr>
              <w:t>58,060,725</w:t>
            </w:r>
          </w:p>
        </w:tc>
        <w:tc>
          <w:tcPr>
            <w:tcW w:w="600" w:type="dxa"/>
            <w:vAlign w:val="bottom"/>
            <w:gridSpan w:val="2"/>
          </w:tcPr>
          <w:p>
            <w:pPr>
              <w:jc w:val="right"/>
              <w:ind w:right="266"/>
              <w:spacing w:after="0" w:line="168" w:lineRule="exact"/>
              <w:rPr>
                <w:sz w:val="20"/>
                <w:szCs w:val="20"/>
                <w:color w:val="auto"/>
              </w:rPr>
            </w:pPr>
            <w:r>
              <w:rPr>
                <w:rFonts w:ascii="Arial" w:cs="Arial" w:eastAsia="Arial" w:hAnsi="Arial"/>
                <w:sz w:val="15"/>
                <w:szCs w:val="15"/>
                <w:color w:val="auto"/>
              </w:rPr>
              <w:t>$</w:t>
            </w:r>
          </w:p>
        </w:tc>
        <w:tc>
          <w:tcPr>
            <w:tcW w:w="1260" w:type="dxa"/>
            <w:vAlign w:val="bottom"/>
          </w:tcPr>
          <w:p>
            <w:pPr>
              <w:jc w:val="right"/>
              <w:ind w:right="47"/>
              <w:spacing w:after="0" w:line="168" w:lineRule="exact"/>
              <w:rPr>
                <w:sz w:val="20"/>
                <w:szCs w:val="20"/>
                <w:color w:val="auto"/>
              </w:rPr>
            </w:pPr>
            <w:r>
              <w:rPr>
                <w:rFonts w:ascii="Arial" w:cs="Arial" w:eastAsia="Arial" w:hAnsi="Arial"/>
                <w:sz w:val="15"/>
                <w:szCs w:val="15"/>
                <w:color w:val="auto"/>
              </w:rPr>
              <w:t>70,244,579</w:t>
            </w:r>
          </w:p>
        </w:tc>
      </w:tr>
      <w:tr>
        <w:trPr>
          <w:trHeight w:val="168"/>
        </w:trPr>
        <w:tc>
          <w:tcPr>
            <w:tcW w:w="7700" w:type="dxa"/>
            <w:vAlign w:val="bottom"/>
            <w:tcBorders>
              <w:bottom w:val="single" w:sz="8" w:color="CFF0FC"/>
            </w:tcBorders>
            <w:shd w:val="clear" w:color="auto" w:fill="CFF0FC"/>
          </w:tcPr>
          <w:p>
            <w:pPr>
              <w:ind w:left="160"/>
              <w:spacing w:after="0" w:line="168" w:lineRule="exact"/>
              <w:rPr>
                <w:sz w:val="20"/>
                <w:szCs w:val="20"/>
                <w:color w:val="auto"/>
              </w:rPr>
            </w:pPr>
            <w:r>
              <w:rPr>
                <w:rFonts w:ascii="Arial" w:cs="Arial" w:eastAsia="Arial" w:hAnsi="Arial"/>
                <w:sz w:val="15"/>
                <w:szCs w:val="15"/>
                <w:color w:val="auto"/>
              </w:rPr>
              <w:t>General and administrative</w:t>
            </w:r>
          </w:p>
        </w:tc>
        <w:tc>
          <w:tcPr>
            <w:tcW w:w="4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ind w:right="50"/>
              <w:spacing w:after="0" w:line="168" w:lineRule="exact"/>
              <w:rPr>
                <w:sz w:val="20"/>
                <w:szCs w:val="20"/>
                <w:color w:val="auto"/>
              </w:rPr>
            </w:pPr>
            <w:r>
              <w:rPr>
                <w:rFonts w:ascii="Arial" w:cs="Arial" w:eastAsia="Arial" w:hAnsi="Arial"/>
                <w:sz w:val="15"/>
                <w:szCs w:val="15"/>
                <w:color w:val="auto"/>
              </w:rPr>
              <w:t>66,646,205</w:t>
            </w:r>
          </w:p>
        </w:tc>
        <w:tc>
          <w:tcPr>
            <w:tcW w:w="18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ind w:right="47"/>
              <w:spacing w:after="0" w:line="168" w:lineRule="exact"/>
              <w:rPr>
                <w:sz w:val="20"/>
                <w:szCs w:val="20"/>
                <w:color w:val="auto"/>
              </w:rPr>
            </w:pPr>
            <w:r>
              <w:rPr>
                <w:rFonts w:ascii="Arial" w:cs="Arial" w:eastAsia="Arial" w:hAnsi="Arial"/>
                <w:sz w:val="15"/>
                <w:szCs w:val="15"/>
                <w:color w:val="auto"/>
              </w:rPr>
              <w:t>28,896,749</w:t>
            </w:r>
          </w:p>
        </w:tc>
      </w:tr>
      <w:tr>
        <w:trPr>
          <w:trHeight w:val="159"/>
        </w:trPr>
        <w:tc>
          <w:tcPr>
            <w:tcW w:w="7700" w:type="dxa"/>
            <w:vAlign w:val="bottom"/>
          </w:tcPr>
          <w:p>
            <w:pPr>
              <w:ind w:left="20"/>
              <w:spacing w:after="0" w:line="159" w:lineRule="exact"/>
              <w:rPr>
                <w:sz w:val="20"/>
                <w:szCs w:val="20"/>
                <w:color w:val="auto"/>
              </w:rPr>
            </w:pPr>
            <w:r>
              <w:rPr>
                <w:rFonts w:ascii="Arial" w:cs="Arial" w:eastAsia="Arial" w:hAnsi="Arial"/>
                <w:sz w:val="15"/>
                <w:szCs w:val="15"/>
                <w:color w:val="auto"/>
              </w:rPr>
              <w:t>Total operating expenses</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0"/>
              <w:spacing w:after="0" w:line="159" w:lineRule="exact"/>
              <w:rPr>
                <w:sz w:val="20"/>
                <w:szCs w:val="20"/>
                <w:color w:val="auto"/>
              </w:rPr>
            </w:pPr>
            <w:r>
              <w:rPr>
                <w:rFonts w:ascii="Arial" w:cs="Arial" w:eastAsia="Arial" w:hAnsi="Arial"/>
                <w:sz w:val="15"/>
                <w:szCs w:val="15"/>
                <w:color w:val="auto"/>
              </w:rPr>
              <w:t>124,706,930</w:t>
            </w:r>
          </w:p>
        </w:tc>
        <w:tc>
          <w:tcPr>
            <w:tcW w:w="1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rPr>
              <w:t>99,141,328</w:t>
            </w:r>
          </w:p>
        </w:tc>
      </w:tr>
      <w:tr>
        <w:trPr>
          <w:trHeight w:val="159"/>
        </w:trPr>
        <w:tc>
          <w:tcPr>
            <w:tcW w:w="770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Loss from operations</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line="159" w:lineRule="exact"/>
              <w:rPr>
                <w:sz w:val="20"/>
                <w:szCs w:val="20"/>
                <w:color w:val="auto"/>
              </w:rPr>
            </w:pPr>
            <w:r>
              <w:rPr>
                <w:rFonts w:ascii="Arial" w:cs="Arial" w:eastAsia="Arial" w:hAnsi="Arial"/>
                <w:sz w:val="15"/>
                <w:szCs w:val="15"/>
                <w:color w:val="auto"/>
              </w:rPr>
              <w:t>(124,706,930 )</w:t>
            </w: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9" w:lineRule="exact"/>
              <w:rPr>
                <w:sz w:val="20"/>
                <w:szCs w:val="20"/>
                <w:color w:val="auto"/>
              </w:rPr>
            </w:pPr>
            <w:r>
              <w:rPr>
                <w:rFonts w:ascii="Arial" w:cs="Arial" w:eastAsia="Arial" w:hAnsi="Arial"/>
                <w:sz w:val="15"/>
                <w:szCs w:val="15"/>
                <w:color w:val="auto"/>
              </w:rPr>
              <w:t>(99,141,328 )</w:t>
            </w:r>
          </w:p>
        </w:tc>
      </w:tr>
      <w:tr>
        <w:trPr>
          <w:trHeight w:val="168"/>
        </w:trPr>
        <w:tc>
          <w:tcPr>
            <w:tcW w:w="7700" w:type="dxa"/>
            <w:vAlign w:val="bottom"/>
          </w:tcPr>
          <w:p>
            <w:pPr>
              <w:ind w:left="20"/>
              <w:spacing w:after="0" w:line="168" w:lineRule="exact"/>
              <w:rPr>
                <w:sz w:val="20"/>
                <w:szCs w:val="20"/>
                <w:color w:val="auto"/>
              </w:rPr>
            </w:pPr>
            <w:r>
              <w:rPr>
                <w:rFonts w:ascii="Arial" w:cs="Arial" w:eastAsia="Arial" w:hAnsi="Arial"/>
                <w:sz w:val="15"/>
                <w:szCs w:val="15"/>
                <w:color w:val="auto"/>
              </w:rPr>
              <w:t>Interest and amortization of debt discount expense</w:t>
            </w:r>
          </w:p>
        </w:tc>
        <w:tc>
          <w:tcPr>
            <w:tcW w:w="4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Arial" w:cs="Arial" w:eastAsia="Arial" w:hAnsi="Arial"/>
                <w:sz w:val="15"/>
                <w:szCs w:val="15"/>
                <w:color w:val="auto"/>
              </w:rPr>
              <w:t>(5,696,062 )</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Arial" w:cs="Arial" w:eastAsia="Arial" w:hAnsi="Arial"/>
                <w:sz w:val="15"/>
                <w:szCs w:val="15"/>
                <w:color w:val="auto"/>
              </w:rPr>
              <w:t>(2,565,838 )</w:t>
            </w:r>
          </w:p>
        </w:tc>
      </w:tr>
      <w:tr>
        <w:trPr>
          <w:trHeight w:val="168"/>
        </w:trPr>
        <w:tc>
          <w:tcPr>
            <w:tcW w:w="77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Tax credit</w:t>
            </w:r>
          </w:p>
        </w:tc>
        <w:tc>
          <w:tcPr>
            <w:tcW w:w="40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0"/>
              <w:spacing w:after="0" w:line="168"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47"/>
              <w:spacing w:after="0" w:line="168" w:lineRule="exact"/>
              <w:rPr>
                <w:sz w:val="20"/>
                <w:szCs w:val="20"/>
                <w:color w:val="auto"/>
              </w:rPr>
            </w:pPr>
            <w:r>
              <w:rPr>
                <w:rFonts w:ascii="Arial" w:cs="Arial" w:eastAsia="Arial" w:hAnsi="Arial"/>
                <w:sz w:val="15"/>
                <w:szCs w:val="15"/>
                <w:color w:val="auto"/>
              </w:rPr>
              <w:t>53,578</w:t>
            </w:r>
          </w:p>
        </w:tc>
      </w:tr>
      <w:tr>
        <w:trPr>
          <w:trHeight w:val="168"/>
        </w:trPr>
        <w:tc>
          <w:tcPr>
            <w:tcW w:w="7700" w:type="dxa"/>
            <w:vAlign w:val="bottom"/>
          </w:tcPr>
          <w:p>
            <w:pPr>
              <w:ind w:left="20"/>
              <w:spacing w:after="0" w:line="168" w:lineRule="exact"/>
              <w:rPr>
                <w:sz w:val="20"/>
                <w:szCs w:val="20"/>
                <w:color w:val="auto"/>
              </w:rPr>
            </w:pPr>
            <w:r>
              <w:rPr>
                <w:rFonts w:ascii="Arial" w:cs="Arial" w:eastAsia="Arial" w:hAnsi="Arial"/>
                <w:sz w:val="15"/>
                <w:szCs w:val="15"/>
                <w:color w:val="auto"/>
              </w:rPr>
              <w:t>Loss on extinguishment of debt</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
              <w:spacing w:after="0" w:line="168"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(1,247,012 )</w:t>
            </w:r>
          </w:p>
        </w:tc>
      </w:tr>
      <w:tr>
        <w:trPr>
          <w:trHeight w:val="199"/>
        </w:trPr>
        <w:tc>
          <w:tcPr>
            <w:tcW w:w="770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Net loss</w:t>
            </w:r>
          </w:p>
        </w:tc>
        <w:tc>
          <w:tcPr>
            <w:tcW w:w="400" w:type="dxa"/>
            <w:vAlign w:val="bottom"/>
            <w:tcBorders>
              <w:bottom w:val="single" w:sz="8" w:color="auto"/>
            </w:tcBorders>
            <w:shd w:val="clear" w:color="auto" w:fill="CFF0FC"/>
          </w:tcPr>
          <w:p>
            <w:pPr>
              <w:jc w:val="right"/>
              <w:ind w:right="226"/>
              <w:spacing w:after="0" w:line="159" w:lineRule="exact"/>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(130,402,992 )</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266"/>
              <w:spacing w:after="0" w:line="159"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(102,900,600 )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5984875</wp:posOffset>
            </wp:positionH>
            <wp:positionV relativeFrom="paragraph">
              <wp:posOffset>-677545</wp:posOffset>
            </wp:positionV>
            <wp:extent cx="106680" cy="4763"/>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6680" cy="4763"/>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-20955</wp:posOffset>
            </wp:positionV>
            <wp:extent cx="10668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-6350</wp:posOffset>
            </wp:positionV>
            <wp:extent cx="10668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6680" cy="6985"/>
                    </a:xfrm>
                    <a:prstGeom prst="rect">
                      <a:avLst/>
                    </a:prstGeom>
                    <a:noFill/>
                  </pic:spPr>
                </pic:pic>
              </a:graphicData>
            </a:graphic>
          </wp:anchor>
        </w:drawing>
      </w:r>
    </w:p>
    <w:p>
      <w:pPr>
        <w:spacing w:after="0" w:line="170" w:lineRule="exact"/>
        <w:rPr>
          <w:sz w:val="20"/>
          <w:szCs w:val="20"/>
          <w:color w:val="auto"/>
        </w:rPr>
      </w:pPr>
    </w:p>
    <w:p>
      <w:pPr>
        <w:ind w:right="180" w:firstLine="751"/>
        <w:spacing w:after="0" w:line="300" w:lineRule="auto"/>
        <w:rPr>
          <w:sz w:val="20"/>
          <w:szCs w:val="20"/>
          <w:color w:val="auto"/>
        </w:rPr>
      </w:pPr>
      <w:r>
        <w:rPr>
          <w:rFonts w:ascii="Arial" w:cs="Arial" w:eastAsia="Arial" w:hAnsi="Arial"/>
          <w:sz w:val="13"/>
          <w:szCs w:val="13"/>
          <w:i w:val="1"/>
          <w:iCs w:val="1"/>
          <w:color w:val="auto"/>
        </w:rPr>
        <w:t xml:space="preserve">Research and Development Expenses. </w:t>
      </w:r>
      <w:r>
        <w:rPr>
          <w:rFonts w:ascii="Arial" w:cs="Arial" w:eastAsia="Arial" w:hAnsi="Arial"/>
          <w:sz w:val="13"/>
          <w:szCs w:val="13"/>
          <w:color w:val="auto"/>
        </w:rPr>
        <w:t>Our research and development expenses for the year ended December 31, 2021, were $58.1 million, compared to $70.2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2020, a decrease of $12.1 million. R&amp;D expense during the 2020 fiscal year included a one-time charge of $10.2 million for the Pfizer license agreement, of which $7.2 million was non-cash related. The remaining decrease was due to the conclusion of several clinical trials, which were ongoing in the comparable prior period.</w:t>
      </w:r>
    </w:p>
    <w:p>
      <w:pPr>
        <w:spacing w:after="0" w:line="121" w:lineRule="exact"/>
        <w:rPr>
          <w:sz w:val="20"/>
          <w:szCs w:val="20"/>
          <w:color w:val="auto"/>
        </w:rPr>
      </w:pPr>
    </w:p>
    <w:p>
      <w:pPr>
        <w:ind w:right="40" w:firstLine="751"/>
        <w:spacing w:after="0" w:line="331" w:lineRule="auto"/>
        <w:rPr>
          <w:sz w:val="20"/>
          <w:szCs w:val="20"/>
          <w:color w:val="auto"/>
        </w:rPr>
      </w:pP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Our general and administrative expenses for the year ended December 31, 2021, were $66.6 million, compared to $28.9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year ended December 31, 2020, an increase of $37.7 million. The increase was primarily due to increased stock compensation expense, along with the build-out of the commercial function.</w:t>
      </w:r>
    </w:p>
    <w:p>
      <w:pPr>
        <w:spacing w:after="0" w:line="101" w:lineRule="exact"/>
        <w:rPr>
          <w:sz w:val="20"/>
          <w:szCs w:val="20"/>
          <w:color w:val="auto"/>
        </w:rPr>
      </w:pPr>
    </w:p>
    <w:p>
      <w:pPr>
        <w:ind w:right="80" w:firstLine="751"/>
        <w:spacing w:after="0" w:line="300" w:lineRule="auto"/>
        <w:rPr>
          <w:sz w:val="20"/>
          <w:szCs w:val="20"/>
          <w:color w:val="auto"/>
        </w:rPr>
      </w:pPr>
      <w:r>
        <w:rPr>
          <w:rFonts w:ascii="Arial" w:cs="Arial" w:eastAsia="Arial" w:hAnsi="Arial"/>
          <w:sz w:val="13"/>
          <w:szCs w:val="13"/>
          <w:i w:val="1"/>
          <w:iCs w:val="1"/>
          <w:color w:val="auto"/>
        </w:rPr>
        <w:t xml:space="preserve">Interest and Amortization of Debt Discount Expense. </w:t>
      </w:r>
      <w:r>
        <w:rPr>
          <w:rFonts w:ascii="Arial" w:cs="Arial" w:eastAsia="Arial" w:hAnsi="Arial"/>
          <w:sz w:val="13"/>
          <w:szCs w:val="13"/>
          <w:color w:val="auto"/>
        </w:rPr>
        <w:t>Interest and amortization of debt discount expense for the year ended December 31, 2021, was $5.7 million, compared to</w:t>
      </w:r>
      <w:r>
        <w:rPr>
          <w:rFonts w:ascii="Arial" w:cs="Arial" w:eastAsia="Arial" w:hAnsi="Arial"/>
          <w:sz w:val="13"/>
          <w:szCs w:val="13"/>
          <w:i w:val="1"/>
          <w:iCs w:val="1"/>
          <w:color w:val="auto"/>
        </w:rPr>
        <w:t xml:space="preserve"> </w:t>
      </w:r>
      <w:r>
        <w:rPr>
          <w:rFonts w:ascii="Arial" w:cs="Arial" w:eastAsia="Arial" w:hAnsi="Arial"/>
          <w:sz w:val="13"/>
          <w:szCs w:val="13"/>
          <w:color w:val="auto"/>
        </w:rPr>
        <w:t>$2.6 million for the year ended December 31, 2020, an increase of $3.1 million. The increase was driven by a higher outstanding principal amount on our debt for the full year in 2021 as compared to 2020. The higher principal balance reflects our September 2020 loan and security agreement with Hercules from which we have drawn down $50 million.</w:t>
      </w:r>
    </w:p>
    <w:p>
      <w:pPr>
        <w:spacing w:after="0" w:line="121" w:lineRule="exact"/>
        <w:rPr>
          <w:sz w:val="20"/>
          <w:szCs w:val="20"/>
          <w:color w:val="auto"/>
        </w:rPr>
      </w:pPr>
    </w:p>
    <w:p>
      <w:pPr>
        <w:ind w:right="20" w:firstLine="751"/>
        <w:spacing w:after="0" w:line="244" w:lineRule="auto"/>
        <w:rPr>
          <w:sz w:val="20"/>
          <w:szCs w:val="20"/>
          <w:color w:val="auto"/>
        </w:rPr>
      </w:pPr>
      <w:r>
        <w:rPr>
          <w:rFonts w:ascii="Arial" w:cs="Arial" w:eastAsia="Arial" w:hAnsi="Arial"/>
          <w:sz w:val="15"/>
          <w:szCs w:val="15"/>
          <w:i w:val="1"/>
          <w:iCs w:val="1"/>
          <w:color w:val="auto"/>
        </w:rPr>
        <w:t xml:space="preserve">Tax Credit. </w:t>
      </w:r>
      <w:r>
        <w:rPr>
          <w:rFonts w:ascii="Arial" w:cs="Arial" w:eastAsia="Arial" w:hAnsi="Arial"/>
          <w:sz w:val="15"/>
          <w:szCs w:val="15"/>
          <w:color w:val="auto"/>
        </w:rPr>
        <w:t>We did not receive a tax credit for the year ended December 31, 2021, and the tax credit income for December 31, 2020, was $0.1 million. This income represents</w:t>
      </w:r>
      <w:r>
        <w:rPr>
          <w:rFonts w:ascii="Arial" w:cs="Arial" w:eastAsia="Arial" w:hAnsi="Arial"/>
          <w:sz w:val="15"/>
          <w:szCs w:val="15"/>
          <w:i w:val="1"/>
          <w:iCs w:val="1"/>
          <w:color w:val="auto"/>
        </w:rPr>
        <w:t xml:space="preserve"> </w:t>
      </w:r>
      <w:r>
        <w:rPr>
          <w:rFonts w:ascii="Arial" w:cs="Arial" w:eastAsia="Arial" w:hAnsi="Arial"/>
          <w:sz w:val="15"/>
          <w:szCs w:val="15"/>
          <w:color w:val="auto"/>
        </w:rPr>
        <w:t>the receipt by Axsome Therapeutics Australia PTY LTD, our Australian subsidiary, of the Australia Tax Incentive Credit related to the 2019 research and development expenses incurred for our product candidates.</w:t>
      </w:r>
    </w:p>
    <w:p>
      <w:pPr>
        <w:spacing w:after="0" w:line="155" w:lineRule="exact"/>
        <w:rPr>
          <w:sz w:val="20"/>
          <w:szCs w:val="20"/>
          <w:color w:val="auto"/>
        </w:rPr>
      </w:pPr>
    </w:p>
    <w:p>
      <w:pPr>
        <w:ind w:right="40" w:firstLine="751"/>
        <w:spacing w:after="0" w:line="263" w:lineRule="auto"/>
        <w:rPr>
          <w:sz w:val="20"/>
          <w:szCs w:val="20"/>
          <w:color w:val="auto"/>
        </w:rPr>
      </w:pPr>
      <w:r>
        <w:rPr>
          <w:rFonts w:ascii="Arial" w:cs="Arial" w:eastAsia="Arial" w:hAnsi="Arial"/>
          <w:sz w:val="14"/>
          <w:szCs w:val="14"/>
          <w:i w:val="1"/>
          <w:iCs w:val="1"/>
          <w:color w:val="auto"/>
        </w:rPr>
        <w:t xml:space="preserve">Loss on extinguishment of debt. </w:t>
      </w:r>
      <w:r>
        <w:rPr>
          <w:rFonts w:ascii="Arial" w:cs="Arial" w:eastAsia="Arial" w:hAnsi="Arial"/>
          <w:sz w:val="14"/>
          <w:szCs w:val="14"/>
          <w:color w:val="auto"/>
        </w:rPr>
        <w:t>In September 2020, we entered into the Loan Agreement with Hercules. A portion of the first tranche, which was funded upon execution of the</w:t>
      </w:r>
      <w:r>
        <w:rPr>
          <w:rFonts w:ascii="Arial" w:cs="Arial" w:eastAsia="Arial" w:hAnsi="Arial"/>
          <w:sz w:val="14"/>
          <w:szCs w:val="14"/>
          <w:i w:val="1"/>
          <w:iCs w:val="1"/>
          <w:color w:val="auto"/>
        </w:rPr>
        <w:t xml:space="preserve"> </w:t>
      </w:r>
      <w:r>
        <w:rPr>
          <w:rFonts w:ascii="Arial" w:cs="Arial" w:eastAsia="Arial" w:hAnsi="Arial"/>
          <w:sz w:val="14"/>
          <w:szCs w:val="14"/>
          <w:color w:val="auto"/>
        </w:rPr>
        <w:t>2020 Term Loan, was used to repay our 2019 Term Loan with SVB, which we refer to as the 2019 Term Loan. As a result of the repayment of the 2019 Term Loan, we recorded a loss on the extinguishment of debt of approximately $1.2 million representing the difference between the amount paid to SVB and the carrying amount of the 2019 Term Loan. Included in the loss on extinguishment of debt is the prepayment premium, the unamortized discount and the write-off of deferred financing costs.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Since our inception through December 31, 2021, we have financed our operations primarily through proceeds from equity offerings and debt borrowings.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3" w:name="page104"/>
    <w:bookmarkEnd w:id="10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160" w:firstLine="751"/>
        <w:spacing w:after="0" w:line="281" w:lineRule="auto"/>
        <w:rPr>
          <w:sz w:val="20"/>
          <w:szCs w:val="20"/>
          <w:color w:val="auto"/>
        </w:rPr>
      </w:pPr>
      <w:r>
        <w:rPr>
          <w:rFonts w:ascii="Arial" w:cs="Arial" w:eastAsia="Arial" w:hAnsi="Arial"/>
          <w:sz w:val="13"/>
          <w:szCs w:val="13"/>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 As discussed in greater detail below, we entered into a sales agreement in December 2019 pursuant to which we sold shares of our common stock from time to time in an at-the-market offering and completed an offering of common stock in December 2019, each utilizing the 2019 Shelf Registration Statement. In the future, we may conduct additional offerings of one or more of these securities utilizing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34" w:lineRule="exact"/>
        <w:rPr>
          <w:sz w:val="20"/>
          <w:szCs w:val="20"/>
          <w:color w:val="auto"/>
        </w:rPr>
      </w:pPr>
    </w:p>
    <w:p>
      <w:pPr>
        <w:ind w:right="80" w:firstLine="751"/>
        <w:spacing w:after="0" w:line="257" w:lineRule="auto"/>
        <w:rPr>
          <w:sz w:val="20"/>
          <w:szCs w:val="20"/>
          <w:color w:val="auto"/>
        </w:rPr>
      </w:pPr>
      <w:r>
        <w:rPr>
          <w:rFonts w:ascii="Arial" w:cs="Arial" w:eastAsia="Arial" w:hAnsi="Arial"/>
          <w:sz w:val="14"/>
          <w:szCs w:val="14"/>
          <w:color w:val="auto"/>
        </w:rPr>
        <w:t>In December 2019, we entered into the December 2019 Sales Agreement with SVB Leerink,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For the year ended December 31, 2021, the Company received approximately $7.4 million in gross proceeds through the sale of 110,296 shares, of which net proceeds were approximately $7.2 million. For the year ended December 31, 2020, the Company received approximately $14.6 million in gross proceeds through the sale of 167,243 shares, of which net proceeds were approximately $14.1 million. For the year ended December 31, 2019, we received approximately $7.3 million in gross proceeds through the sale of 89,390 shares, of which net proceeds were approximately $7.1 million.</w:t>
      </w:r>
    </w:p>
    <w:p>
      <w:pPr>
        <w:spacing w:after="0" w:line="150" w:lineRule="exact"/>
        <w:rPr>
          <w:sz w:val="20"/>
          <w:szCs w:val="20"/>
          <w:color w:val="auto"/>
        </w:rPr>
      </w:pPr>
    </w:p>
    <w:p>
      <w:pPr>
        <w:ind w:right="220" w:firstLine="751"/>
        <w:spacing w:after="0" w:line="290" w:lineRule="auto"/>
        <w:rPr>
          <w:sz w:val="20"/>
          <w:szCs w:val="20"/>
          <w:color w:val="auto"/>
        </w:rPr>
      </w:pPr>
      <w:r>
        <w:rPr>
          <w:rFonts w:ascii="Arial" w:cs="Arial" w:eastAsia="Arial" w:hAnsi="Arial"/>
          <w:sz w:val="14"/>
          <w:szCs w:val="14"/>
          <w:color w:val="auto"/>
        </w:rPr>
        <w:t>In December 2019, we completed an underwritten public offering, whereby we sold 2,300,000 shares of our common stock at a public offering price of $87.00 per share. We received gross proceeds of approximately $200.1 million and net proceeds of approximately $187.1 million, net of underwriting discounts and offering expenses.</w:t>
      </w:r>
    </w:p>
    <w:p>
      <w:pPr>
        <w:spacing w:after="0" w:line="125" w:lineRule="exact"/>
        <w:rPr>
          <w:sz w:val="20"/>
          <w:szCs w:val="20"/>
          <w:color w:val="auto"/>
        </w:rPr>
      </w:pPr>
    </w:p>
    <w:p>
      <w:pPr>
        <w:ind w:right="40" w:firstLine="751"/>
        <w:spacing w:after="0" w:line="270" w:lineRule="auto"/>
        <w:rPr>
          <w:sz w:val="20"/>
          <w:szCs w:val="20"/>
          <w:color w:val="auto"/>
        </w:rPr>
      </w:pPr>
      <w:r>
        <w:rPr>
          <w:rFonts w:ascii="Arial" w:cs="Arial" w:eastAsia="Arial" w:hAnsi="Arial"/>
          <w:sz w:val="14"/>
          <w:szCs w:val="14"/>
          <w:color w:val="auto"/>
        </w:rPr>
        <w:t>In September 2020, we entered into the Loan Agreement with Hercules for the 2020 Term Loan, which consists of several tranches in an aggregate amount of up to $225.0 million. See 'Contractual Obligations and Commitments - September 2020 Loan and Security Agreement – Hercules' section below for more information. The remaining $10 million on the first tranche was not utilized and such tranche and future tranches were amended upon the execution of the First Amendment to the Loan and Security Agreement.</w:t>
      </w:r>
    </w:p>
    <w:p>
      <w:pPr>
        <w:spacing w:after="0" w:line="138" w:lineRule="exact"/>
        <w:rPr>
          <w:sz w:val="20"/>
          <w:szCs w:val="20"/>
          <w:color w:val="auto"/>
        </w:rPr>
      </w:pPr>
    </w:p>
    <w:p>
      <w:pPr>
        <w:ind w:right="60" w:firstLine="751"/>
        <w:spacing w:after="0" w:line="290" w:lineRule="auto"/>
        <w:rPr>
          <w:sz w:val="20"/>
          <w:szCs w:val="20"/>
          <w:color w:val="auto"/>
        </w:rPr>
      </w:pPr>
      <w:r>
        <w:rPr>
          <w:rFonts w:ascii="Arial" w:cs="Arial" w:eastAsia="Arial" w:hAnsi="Arial"/>
          <w:sz w:val="14"/>
          <w:szCs w:val="14"/>
          <w:color w:val="auto"/>
        </w:rPr>
        <w:t>In October 2021, we amended the Loan Agreement with Hercules. which expanded the facility amount of up to $300 million and now has a maturity date of October 2026. See 'Contractual Obligations and Commitments - October 2021 First Amendment to the Loan and Security Agreement – Hercules' section below for more information.</w:t>
      </w:r>
    </w:p>
    <w:p>
      <w:pPr>
        <w:spacing w:after="0" w:line="125" w:lineRule="exact"/>
        <w:rPr>
          <w:sz w:val="20"/>
          <w:szCs w:val="20"/>
          <w:color w:val="auto"/>
        </w:rPr>
      </w:pPr>
    </w:p>
    <w:p>
      <w:pPr>
        <w:jc w:val="both"/>
        <w:ind w:right="240" w:firstLine="751"/>
        <w:spacing w:after="0" w:line="244" w:lineRule="auto"/>
        <w:rPr>
          <w:sz w:val="20"/>
          <w:szCs w:val="20"/>
          <w:color w:val="auto"/>
        </w:rPr>
      </w:pPr>
      <w:r>
        <w:rPr>
          <w:rFonts w:ascii="Arial" w:cs="Arial" w:eastAsia="Arial" w:hAnsi="Arial"/>
          <w:sz w:val="15"/>
          <w:szCs w:val="15"/>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55" w:lineRule="exact"/>
        <w:rPr>
          <w:sz w:val="20"/>
          <w:szCs w:val="20"/>
          <w:color w:val="auto"/>
        </w:rPr>
      </w:pPr>
    </w:p>
    <w:p>
      <w:pPr>
        <w:ind w:firstLine="751"/>
        <w:spacing w:after="0"/>
        <w:rPr>
          <w:sz w:val="20"/>
          <w:szCs w:val="20"/>
          <w:color w:val="auto"/>
        </w:rPr>
      </w:pPr>
      <w:r>
        <w:rPr>
          <w:rFonts w:ascii="Arial" w:cs="Arial" w:eastAsia="Arial" w:hAnsi="Arial"/>
          <w:sz w:val="15"/>
          <w:szCs w:val="15"/>
          <w:color w:val="auto"/>
        </w:rPr>
        <w:t>We believe our current cash, along with the committed capital from the Hercules Loan Agreement, will be sufficient to fund our anticipated operations, based on our current operating plans which includes costs for the commercial launch of AXS-05 in MDD and AXS-07 in migraine into 2024.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4" w:name="page105"/>
    <w:bookmarkEnd w:id="10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summarizes our primary sources and uses of cash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36"/>
        </w:trPr>
        <w:tc>
          <w:tcPr>
            <w:tcW w:w="75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731"/>
              <w:spacing w:after="0" w:line="137"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709"/>
              <w:spacing w:after="0" w:line="137" w:lineRule="exact"/>
              <w:rPr>
                <w:sz w:val="20"/>
                <w:szCs w:val="20"/>
                <w:color w:val="auto"/>
              </w:rPr>
            </w:pPr>
            <w:r>
              <w:rPr>
                <w:rFonts w:ascii="Arial" w:cs="Arial" w:eastAsia="Arial" w:hAnsi="Arial"/>
                <w:sz w:val="12"/>
                <w:szCs w:val="12"/>
                <w:b w:val="1"/>
                <w:bCs w:val="1"/>
                <w:color w:val="auto"/>
                <w:w w:val="89"/>
              </w:rPr>
              <w:t>2020</w:t>
            </w:r>
          </w:p>
        </w:tc>
        <w:tc>
          <w:tcPr>
            <w:tcW w:w="160" w:type="dxa"/>
            <w:vAlign w:val="bottom"/>
          </w:tcPr>
          <w:p>
            <w:pPr>
              <w:spacing w:after="0"/>
              <w:rPr>
                <w:sz w:val="11"/>
                <w:szCs w:val="11"/>
                <w:color w:val="auto"/>
              </w:rPr>
            </w:pPr>
          </w:p>
        </w:tc>
      </w:tr>
      <w:tr>
        <w:trPr>
          <w:trHeight w:val="159"/>
        </w:trPr>
        <w:tc>
          <w:tcPr>
            <w:tcW w:w="752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Net cash (used in) provided by:</w:t>
            </w: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r>
      <w:tr>
        <w:trPr>
          <w:trHeight w:val="168"/>
        </w:trPr>
        <w:tc>
          <w:tcPr>
            <w:tcW w:w="7520" w:type="dxa"/>
            <w:vAlign w:val="bottom"/>
          </w:tcPr>
          <w:p>
            <w:pPr>
              <w:ind w:left="160"/>
              <w:spacing w:after="0" w:line="168" w:lineRule="exact"/>
              <w:rPr>
                <w:sz w:val="20"/>
                <w:szCs w:val="20"/>
                <w:color w:val="auto"/>
              </w:rPr>
            </w:pPr>
            <w:r>
              <w:rPr>
                <w:rFonts w:ascii="Arial" w:cs="Arial" w:eastAsia="Arial" w:hAnsi="Arial"/>
                <w:sz w:val="15"/>
                <w:szCs w:val="15"/>
                <w:color w:val="auto"/>
              </w:rPr>
              <w:t>Operating activities</w:t>
            </w:r>
          </w:p>
        </w:tc>
        <w:tc>
          <w:tcPr>
            <w:tcW w:w="400" w:type="dxa"/>
            <w:vAlign w:val="bottom"/>
          </w:tcPr>
          <w:p>
            <w:pPr>
              <w:jc w:val="right"/>
              <w:ind w:right="226"/>
              <w:spacing w:after="0" w:line="168" w:lineRule="exact"/>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line="168" w:lineRule="exact"/>
              <w:rPr>
                <w:sz w:val="20"/>
                <w:szCs w:val="20"/>
                <w:color w:val="auto"/>
              </w:rPr>
            </w:pPr>
            <w:r>
              <w:rPr>
                <w:rFonts w:ascii="Arial" w:cs="Arial" w:eastAsia="Arial" w:hAnsi="Arial"/>
                <w:sz w:val="15"/>
                <w:szCs w:val="15"/>
                <w:color w:val="auto"/>
              </w:rPr>
              <w:t>(108,225,764 )</w:t>
            </w:r>
          </w:p>
        </w:tc>
        <w:tc>
          <w:tcPr>
            <w:tcW w:w="840" w:type="dxa"/>
            <w:vAlign w:val="bottom"/>
            <w:gridSpan w:val="2"/>
          </w:tcPr>
          <w:p>
            <w:pPr>
              <w:jc w:val="right"/>
              <w:ind w:right="486"/>
              <w:spacing w:after="0" w:line="168"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68" w:lineRule="exact"/>
              <w:rPr>
                <w:sz w:val="20"/>
                <w:szCs w:val="20"/>
                <w:color w:val="auto"/>
              </w:rPr>
            </w:pPr>
            <w:r>
              <w:rPr>
                <w:rFonts w:ascii="Arial" w:cs="Arial" w:eastAsia="Arial" w:hAnsi="Arial"/>
                <w:sz w:val="15"/>
                <w:szCs w:val="15"/>
                <w:color w:val="auto"/>
              </w:rPr>
              <w:t>(78,456,569 )</w:t>
            </w:r>
          </w:p>
        </w:tc>
        <w:tc>
          <w:tcPr>
            <w:tcW w:w="160" w:type="dxa"/>
            <w:vAlign w:val="bottom"/>
          </w:tcPr>
          <w:p>
            <w:pPr>
              <w:spacing w:after="0"/>
              <w:rPr>
                <w:sz w:val="14"/>
                <w:szCs w:val="14"/>
                <w:color w:val="auto"/>
              </w:rPr>
            </w:pPr>
          </w:p>
        </w:tc>
      </w:tr>
      <w:tr>
        <w:trPr>
          <w:trHeight w:val="168"/>
        </w:trPr>
        <w:tc>
          <w:tcPr>
            <w:tcW w:w="752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Investing activities</w:t>
            </w:r>
          </w:p>
        </w:tc>
        <w:tc>
          <w:tcPr>
            <w:tcW w:w="4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(307,549 )</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(45,891 )</w:t>
            </w:r>
          </w:p>
        </w:tc>
        <w:tc>
          <w:tcPr>
            <w:tcW w:w="160" w:type="dxa"/>
            <w:vAlign w:val="bottom"/>
            <w:shd w:val="clear" w:color="auto" w:fill="CFF0FC"/>
          </w:tcPr>
          <w:p>
            <w:pPr>
              <w:spacing w:after="0"/>
              <w:rPr>
                <w:sz w:val="14"/>
                <w:szCs w:val="14"/>
                <w:color w:val="auto"/>
              </w:rPr>
            </w:pPr>
          </w:p>
        </w:tc>
      </w:tr>
      <w:tr>
        <w:trPr>
          <w:trHeight w:val="168"/>
        </w:trPr>
        <w:tc>
          <w:tcPr>
            <w:tcW w:w="7520" w:type="dxa"/>
            <w:vAlign w:val="bottom"/>
          </w:tcPr>
          <w:p>
            <w:pPr>
              <w:ind w:left="160"/>
              <w:spacing w:after="0" w:line="168" w:lineRule="exact"/>
              <w:rPr>
                <w:sz w:val="20"/>
                <w:szCs w:val="20"/>
                <w:color w:val="auto"/>
              </w:rPr>
            </w:pPr>
            <w:r>
              <w:rPr>
                <w:rFonts w:ascii="Arial" w:cs="Arial" w:eastAsia="Arial" w:hAnsi="Arial"/>
                <w:sz w:val="15"/>
                <w:szCs w:val="15"/>
                <w:color w:val="auto"/>
              </w:rPr>
              <w:t>Financing activities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
              <w:spacing w:after="0" w:line="168" w:lineRule="exact"/>
              <w:rPr>
                <w:sz w:val="20"/>
                <w:szCs w:val="20"/>
                <w:color w:val="auto"/>
              </w:rPr>
            </w:pPr>
            <w:r>
              <w:rPr>
                <w:rFonts w:ascii="Arial" w:cs="Arial" w:eastAsia="Arial" w:hAnsi="Arial"/>
                <w:sz w:val="15"/>
                <w:szCs w:val="15"/>
                <w:color w:val="auto"/>
              </w:rPr>
              <w:t>11,129,714</w:t>
            </w:r>
          </w:p>
        </w:tc>
        <w:tc>
          <w:tcPr>
            <w:tcW w:w="1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
              <w:spacing w:after="0" w:line="168" w:lineRule="exact"/>
              <w:rPr>
                <w:sz w:val="20"/>
                <w:szCs w:val="20"/>
                <w:color w:val="auto"/>
              </w:rPr>
            </w:pPr>
            <w:r>
              <w:rPr>
                <w:rFonts w:ascii="Arial" w:cs="Arial" w:eastAsia="Arial" w:hAnsi="Arial"/>
                <w:sz w:val="15"/>
                <w:szCs w:val="15"/>
                <w:color w:val="auto"/>
              </w:rPr>
              <w:t>42,412,746</w:t>
            </w:r>
          </w:p>
        </w:tc>
        <w:tc>
          <w:tcPr>
            <w:tcW w:w="160" w:type="dxa"/>
            <w:vAlign w:val="bottom"/>
          </w:tcPr>
          <w:p>
            <w:pPr>
              <w:spacing w:after="0"/>
              <w:rPr>
                <w:sz w:val="14"/>
                <w:szCs w:val="14"/>
                <w:color w:val="auto"/>
              </w:rPr>
            </w:pPr>
          </w:p>
        </w:tc>
      </w:tr>
      <w:tr>
        <w:trPr>
          <w:trHeight w:val="199"/>
        </w:trPr>
        <w:tc>
          <w:tcPr>
            <w:tcW w:w="752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Net increase (decrease) in cash</w:t>
            </w:r>
          </w:p>
        </w:tc>
        <w:tc>
          <w:tcPr>
            <w:tcW w:w="400" w:type="dxa"/>
            <w:vAlign w:val="bottom"/>
            <w:tcBorders>
              <w:bottom w:val="single" w:sz="8" w:color="auto"/>
            </w:tcBorders>
            <w:shd w:val="clear" w:color="auto" w:fill="CFF0FC"/>
          </w:tcPr>
          <w:p>
            <w:pPr>
              <w:jc w:val="right"/>
              <w:ind w:right="226"/>
              <w:spacing w:after="0" w:line="159" w:lineRule="exact"/>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(97,403,599 )</w:t>
            </w:r>
          </w:p>
        </w:tc>
        <w:tc>
          <w:tcPr>
            <w:tcW w:w="18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486"/>
              <w:spacing w:after="0" w:line="159" w:lineRule="exact"/>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(36,089,714 )</w:t>
            </w:r>
          </w:p>
        </w:tc>
        <w:tc>
          <w:tcPr>
            <w:tcW w:w="16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-20955</wp:posOffset>
            </wp:positionV>
            <wp:extent cx="11366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-6350</wp:posOffset>
            </wp:positionV>
            <wp:extent cx="11366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7055485</wp:posOffset>
            </wp:positionH>
            <wp:positionV relativeFrom="paragraph">
              <wp:posOffset>-20955</wp:posOffset>
            </wp:positionV>
            <wp:extent cx="10668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7055485</wp:posOffset>
            </wp:positionH>
            <wp:positionV relativeFrom="paragraph">
              <wp:posOffset>-6350</wp:posOffset>
            </wp:positionV>
            <wp:extent cx="10668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6680" cy="6985"/>
                    </a:xfrm>
                    <a:prstGeom prst="rect">
                      <a:avLst/>
                    </a:prstGeom>
                    <a:noFill/>
                  </pic:spPr>
                </pic:pic>
              </a:graphicData>
            </a:graphic>
          </wp:anchor>
        </w:drawing>
      </w:r>
    </w:p>
    <w:p>
      <w:pPr>
        <w:spacing w:after="0" w:line="170" w:lineRule="exact"/>
        <w:rPr>
          <w:sz w:val="20"/>
          <w:szCs w:val="20"/>
          <w:color w:val="auto"/>
        </w:rPr>
      </w:pPr>
    </w:p>
    <w:p>
      <w:pPr>
        <w:ind w:right="620" w:firstLine="751"/>
        <w:spacing w:after="0" w:line="255"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Net cash used in operating activities for the year ended December 31, 2021, was $108.2 million as compared to $78.5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2020. The increase of $29.7 million in net cash used was primarily related to the build-out of the commercial function.</w:t>
      </w:r>
    </w:p>
    <w:p>
      <w:pPr>
        <w:spacing w:after="0" w:line="147" w:lineRule="exact"/>
        <w:rPr>
          <w:sz w:val="20"/>
          <w:szCs w:val="20"/>
          <w:color w:val="auto"/>
        </w:rPr>
      </w:pPr>
    </w:p>
    <w:p>
      <w:pPr>
        <w:ind w:right="200" w:firstLine="751"/>
        <w:spacing w:after="0" w:line="255"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Cash used in investing activities for the purchase of equipment was $0.3 million for the year ended December 31, 2021, which relates to build-out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commercial function.</w:t>
      </w:r>
    </w:p>
    <w:p>
      <w:pPr>
        <w:spacing w:after="0" w:line="147" w:lineRule="exact"/>
        <w:rPr>
          <w:sz w:val="20"/>
          <w:szCs w:val="20"/>
          <w:color w:val="auto"/>
        </w:rPr>
      </w:pPr>
    </w:p>
    <w:p>
      <w:pPr>
        <w:ind w:right="320" w:firstLine="751"/>
        <w:spacing w:after="0" w:line="300" w:lineRule="auto"/>
        <w:rPr>
          <w:sz w:val="20"/>
          <w:szCs w:val="20"/>
          <w:color w:val="auto"/>
        </w:rPr>
      </w:pPr>
      <w:r>
        <w:rPr>
          <w:rFonts w:ascii="Arial" w:cs="Arial" w:eastAsia="Arial" w:hAnsi="Arial"/>
          <w:sz w:val="13"/>
          <w:szCs w:val="13"/>
          <w:i w:val="1"/>
          <w:iCs w:val="1"/>
          <w:color w:val="auto"/>
        </w:rPr>
        <w:t xml:space="preserve">Financing Activities. </w:t>
      </w:r>
      <w:r>
        <w:rPr>
          <w:rFonts w:ascii="Arial" w:cs="Arial" w:eastAsia="Arial" w:hAnsi="Arial"/>
          <w:sz w:val="13"/>
          <w:szCs w:val="13"/>
          <w:color w:val="auto"/>
        </w:rPr>
        <w:t>Net cash provided by financing activities for the year ended December 31, 2021, was $11.1 million, which included net proceeds from the sale of</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stock through the December 2019 Sales Agreement of $7.2 million and proceeds from the issuance of common stock upon exercise of employee stock options of $4.4 million. These proceeds were offset by the payment of debt issuance costs related to the October 2021 Hercules Amendment and payments for tax withholdings on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Funding requirements</w:t>
      </w:r>
    </w:p>
    <w:p>
      <w:pPr>
        <w:spacing w:after="0" w:line="178" w:lineRule="exact"/>
        <w:rPr>
          <w:sz w:val="20"/>
          <w:szCs w:val="20"/>
          <w:color w:val="auto"/>
        </w:rPr>
      </w:pPr>
    </w:p>
    <w:p>
      <w:pPr>
        <w:jc w:val="both"/>
        <w:ind w:right="140" w:firstLine="751"/>
        <w:spacing w:after="0" w:line="300" w:lineRule="auto"/>
        <w:rPr>
          <w:sz w:val="20"/>
          <w:szCs w:val="20"/>
          <w:color w:val="auto"/>
        </w:rPr>
      </w:pPr>
      <w:r>
        <w:rPr>
          <w:rFonts w:ascii="Arial" w:cs="Arial" w:eastAsia="Arial" w:hAnsi="Arial"/>
          <w:sz w:val="13"/>
          <w:szCs w:val="13"/>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21" w:lineRule="exact"/>
        <w:rPr>
          <w:sz w:val="20"/>
          <w:szCs w:val="20"/>
          <w:color w:val="auto"/>
        </w:rPr>
      </w:pPr>
    </w:p>
    <w:p>
      <w:pPr>
        <w:ind w:right="140" w:firstLine="751"/>
        <w:spacing w:after="0" w:line="289" w:lineRule="auto"/>
        <w:rPr>
          <w:sz w:val="20"/>
          <w:szCs w:val="20"/>
          <w:color w:val="auto"/>
        </w:rPr>
      </w:pPr>
      <w:r>
        <w:rPr>
          <w:rFonts w:ascii="Arial" w:cs="Arial" w:eastAsia="Arial" w:hAnsi="Arial"/>
          <w:sz w:val="13"/>
          <w:szCs w:val="13"/>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29" w:lineRule="exact"/>
        <w:rPr>
          <w:sz w:val="20"/>
          <w:szCs w:val="20"/>
          <w:color w:val="auto"/>
        </w:rPr>
      </w:pPr>
    </w:p>
    <w:p>
      <w:pPr>
        <w:ind w:left="760" w:hanging="375"/>
        <w:spacing w:after="0"/>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scope, rate of progress, results, and cost of our clinical studies and other related activities;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ability to enter into collaborative agreements for the development and commercialization of our product candidates;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number and development requirements of any other product candidates that we pursue;</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costs, timing, and outcome of regulatory reviews of our product candidates;</w:t>
      </w:r>
    </w:p>
    <w:p>
      <w:pPr>
        <w:spacing w:after="0" w:line="173" w:lineRule="exact"/>
        <w:rPr>
          <w:rFonts w:ascii="Arial" w:cs="Arial" w:eastAsia="Arial" w:hAnsi="Arial"/>
          <w:sz w:val="15"/>
          <w:szCs w:val="15"/>
          <w:color w:val="auto"/>
        </w:rPr>
      </w:pPr>
    </w:p>
    <w:p>
      <w:pPr>
        <w:ind w:left="760" w:right="80" w:hanging="375"/>
        <w:spacing w:after="0" w:line="255" w:lineRule="auto"/>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costs and timing of future commercialization activities, including product manufacturing, marketing, sales, and distribution, for any of our product candidates for which we receive marketing approval;</w:t>
      </w:r>
    </w:p>
    <w:p>
      <w:pPr>
        <w:spacing w:after="0" w:line="147" w:lineRule="exact"/>
        <w:rPr>
          <w:rFonts w:ascii="Arial" w:cs="Arial" w:eastAsia="Arial" w:hAnsi="Arial"/>
          <w:sz w:val="15"/>
          <w:szCs w:val="15"/>
          <w:color w:val="auto"/>
        </w:rPr>
      </w:pPr>
    </w:p>
    <w:p>
      <w:pPr>
        <w:ind w:left="760" w:hanging="375"/>
        <w:spacing w:after="0"/>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any product liability or other lawsuits related to our product candidates;</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expenses needed to attract and retain skilled personnel;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5" w:name="page106"/>
    <w:bookmarkEnd w:id="10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left="760" w:hanging="375"/>
        <w:spacing w:after="0"/>
        <w:tabs>
          <w:tab w:leader="none" w:pos="7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general and administrative expenses related to being a public company;</w:t>
      </w:r>
    </w:p>
    <w:p>
      <w:pPr>
        <w:spacing w:after="0" w:line="173" w:lineRule="exact"/>
        <w:rPr>
          <w:rFonts w:ascii="Arial" w:cs="Arial" w:eastAsia="Arial" w:hAnsi="Arial"/>
          <w:sz w:val="15"/>
          <w:szCs w:val="15"/>
          <w:color w:val="auto"/>
        </w:rPr>
      </w:pPr>
    </w:p>
    <w:p>
      <w:pPr>
        <w:ind w:left="760" w:hanging="375"/>
        <w:spacing w:after="0"/>
        <w:tabs>
          <w:tab w:leader="none" w:pos="7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revenue, if any, received from commercial sales of our product candidates for which we receive marketing approval; and</w:t>
      </w:r>
    </w:p>
    <w:p>
      <w:pPr>
        <w:spacing w:after="0" w:line="173" w:lineRule="exact"/>
        <w:rPr>
          <w:rFonts w:ascii="Arial" w:cs="Arial" w:eastAsia="Arial" w:hAnsi="Arial"/>
          <w:sz w:val="15"/>
          <w:szCs w:val="15"/>
          <w:color w:val="auto"/>
        </w:rPr>
      </w:pPr>
    </w:p>
    <w:p>
      <w:pPr>
        <w:ind w:left="760" w:right="760" w:hanging="375"/>
        <w:spacing w:after="0" w:line="178" w:lineRule="exact"/>
        <w:tabs>
          <w:tab w:leader="none" w:pos="7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5"/>
          <w:szCs w:val="15"/>
          <w:color w:val="auto"/>
        </w:rPr>
        <w:t>‑</w:t>
      </w:r>
      <w:r>
        <w:rPr>
          <w:rFonts w:ascii="Arial" w:cs="Arial" w:eastAsia="Arial" w:hAnsi="Arial"/>
          <w:sz w:val="15"/>
          <w:szCs w:val="15"/>
          <w:color w:val="auto"/>
        </w:rPr>
        <w:t>related claims.</w:t>
      </w:r>
    </w:p>
    <w:p>
      <w:pPr>
        <w:spacing w:after="0" w:line="158"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5"/>
          <w:szCs w:val="15"/>
          <w:color w:val="auto"/>
        </w:rPr>
        <w:t>Please see “Risk Factors” for additional risks associated with our substantial capital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is a summary of our contractual obligations as of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412"/>
              <w:spacing w:after="0"/>
              <w:rPr>
                <w:sz w:val="20"/>
                <w:szCs w:val="20"/>
                <w:color w:val="auto"/>
              </w:rPr>
            </w:pPr>
            <w:r>
              <w:rPr>
                <w:rFonts w:ascii="Arial" w:cs="Arial" w:eastAsia="Arial" w:hAnsi="Arial"/>
                <w:sz w:val="12"/>
                <w:szCs w:val="12"/>
                <w:b w:val="1"/>
                <w:bCs w:val="1"/>
                <w:color w:val="auto"/>
              </w:rPr>
              <w:t>Less than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232"/>
              <w:spacing w:after="0"/>
              <w:rPr>
                <w:sz w:val="20"/>
                <w:szCs w:val="20"/>
                <w:color w:val="auto"/>
              </w:rPr>
            </w:pPr>
            <w:r>
              <w:rPr>
                <w:rFonts w:ascii="Arial" w:cs="Arial" w:eastAsia="Arial" w:hAnsi="Arial"/>
                <w:sz w:val="12"/>
                <w:szCs w:val="12"/>
                <w:b w:val="1"/>
                <w:bCs w:val="1"/>
                <w:color w:val="auto"/>
                <w:w w:val="94"/>
              </w:rPr>
              <w:t>More than</w:t>
            </w:r>
          </w:p>
        </w:tc>
      </w:tr>
      <w:tr>
        <w:trPr>
          <w:trHeight w:val="152"/>
        </w:trPr>
        <w:tc>
          <w:tcPr>
            <w:tcW w:w="39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one year</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89"/>
              <w:spacing w:after="0"/>
              <w:rPr>
                <w:sz w:val="20"/>
                <w:szCs w:val="20"/>
                <w:color w:val="auto"/>
              </w:rPr>
            </w:pPr>
            <w:r>
              <w:rPr>
                <w:rFonts w:ascii="Arial" w:cs="Arial" w:eastAsia="Arial" w:hAnsi="Arial"/>
                <w:sz w:val="12"/>
                <w:szCs w:val="12"/>
                <w:b w:val="1"/>
                <w:bCs w:val="1"/>
                <w:color w:val="auto"/>
              </w:rPr>
              <w:t>1 - 3 years</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89"/>
              <w:spacing w:after="0"/>
              <w:rPr>
                <w:sz w:val="20"/>
                <w:szCs w:val="20"/>
                <w:color w:val="auto"/>
              </w:rPr>
            </w:pPr>
            <w:r>
              <w:rPr>
                <w:rFonts w:ascii="Arial" w:cs="Arial" w:eastAsia="Arial" w:hAnsi="Arial"/>
                <w:sz w:val="12"/>
                <w:szCs w:val="12"/>
                <w:b w:val="1"/>
                <w:bCs w:val="1"/>
                <w:color w:val="auto"/>
              </w:rPr>
              <w:t>3 - 5 years</w:t>
            </w: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52"/>
              <w:spacing w:after="0"/>
              <w:rPr>
                <w:sz w:val="20"/>
                <w:szCs w:val="20"/>
                <w:color w:val="auto"/>
              </w:rPr>
            </w:pPr>
            <w:r>
              <w:rPr>
                <w:rFonts w:ascii="Arial" w:cs="Arial" w:eastAsia="Arial" w:hAnsi="Arial"/>
                <w:sz w:val="12"/>
                <w:szCs w:val="12"/>
                <w:b w:val="1"/>
                <w:bCs w:val="1"/>
                <w:color w:val="auto"/>
                <w:w w:val="86"/>
              </w:rPr>
              <w:t>5 years</w:t>
            </w:r>
          </w:p>
        </w:tc>
      </w:tr>
      <w:tr>
        <w:trPr>
          <w:trHeight w:val="159"/>
        </w:trPr>
        <w:tc>
          <w:tcPr>
            <w:tcW w:w="398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Term loan</w:t>
            </w:r>
          </w:p>
        </w:tc>
        <w:tc>
          <w:tcPr>
            <w:tcW w:w="300" w:type="dxa"/>
            <w:vAlign w:val="bottom"/>
            <w:shd w:val="clear" w:color="auto" w:fill="CFF0FC"/>
          </w:tcPr>
          <w:p>
            <w:pPr>
              <w:jc w:val="right"/>
              <w:ind w:right="126"/>
              <w:spacing w:after="0" w:line="159" w:lineRule="exact"/>
              <w:rPr>
                <w:sz w:val="20"/>
                <w:szCs w:val="20"/>
                <w:color w:val="auto"/>
              </w:rPr>
            </w:pPr>
            <w:r>
              <w:rPr>
                <w:rFonts w:ascii="Arial" w:cs="Arial" w:eastAsia="Arial" w:hAnsi="Arial"/>
                <w:sz w:val="15"/>
                <w:szCs w:val="15"/>
                <w:color w:val="auto"/>
                <w:w w:val="95"/>
              </w:rPr>
              <w:t>$</w:t>
            </w:r>
          </w:p>
        </w:tc>
        <w:tc>
          <w:tcPr>
            <w:tcW w:w="1080" w:type="dxa"/>
            <w:vAlign w:val="bottom"/>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69,648,433</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66"/>
              <w:spacing w:after="0" w:line="159" w:lineRule="exact"/>
              <w:rPr>
                <w:sz w:val="20"/>
                <w:szCs w:val="20"/>
                <w:color w:val="auto"/>
              </w:rPr>
            </w:pPr>
            <w:r>
              <w:rPr>
                <w:rFonts w:ascii="Arial" w:cs="Arial" w:eastAsia="Arial" w:hAnsi="Arial"/>
                <w:sz w:val="15"/>
                <w:szCs w:val="15"/>
                <w:color w:val="auto"/>
                <w:w w:val="95"/>
              </w:rPr>
              <w:t>$</w:t>
            </w:r>
          </w:p>
        </w:tc>
        <w:tc>
          <w:tcPr>
            <w:tcW w:w="1120" w:type="dxa"/>
            <w:vAlign w:val="bottom"/>
            <w:shd w:val="clear" w:color="auto" w:fill="CFF0FC"/>
          </w:tcPr>
          <w:p>
            <w:pPr>
              <w:jc w:val="right"/>
              <w:ind w:right="32"/>
              <w:spacing w:after="0" w:line="159" w:lineRule="exact"/>
              <w:rPr>
                <w:sz w:val="20"/>
                <w:szCs w:val="20"/>
                <w:color w:val="auto"/>
              </w:rPr>
            </w:pPr>
            <w:r>
              <w:rPr>
                <w:rFonts w:ascii="Arial" w:cs="Arial" w:eastAsia="Arial" w:hAnsi="Arial"/>
                <w:sz w:val="15"/>
                <w:szCs w:val="15"/>
                <w:color w:val="auto"/>
              </w:rPr>
              <w:t>4,325,833</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6"/>
              <w:spacing w:after="0" w:line="15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9,086,736</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6"/>
              <w:spacing w:after="0" w:line="15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56,235,864</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46"/>
              <w:spacing w:after="0" w:line="159" w:lineRule="exact"/>
              <w:rPr>
                <w:sz w:val="20"/>
                <w:szCs w:val="20"/>
                <w:color w:val="auto"/>
              </w:rPr>
            </w:pPr>
            <w:r>
              <w:rPr>
                <w:rFonts w:ascii="Arial" w:cs="Arial" w:eastAsia="Arial" w:hAnsi="Arial"/>
                <w:sz w:val="15"/>
                <w:szCs w:val="15"/>
                <w:color w:val="auto"/>
                <w:w w:val="95"/>
              </w:rPr>
              <w:t>$</w:t>
            </w:r>
          </w:p>
        </w:tc>
        <w:tc>
          <w:tcPr>
            <w:tcW w:w="1120" w:type="dxa"/>
            <w:vAlign w:val="bottom"/>
            <w:shd w:val="clear" w:color="auto" w:fill="CFF0FC"/>
          </w:tcPr>
          <w:p>
            <w:pPr>
              <w:ind w:left="860"/>
              <w:spacing w:after="0" w:line="159" w:lineRule="exact"/>
              <w:rPr>
                <w:sz w:val="20"/>
                <w:szCs w:val="20"/>
                <w:color w:val="auto"/>
              </w:rPr>
            </w:pPr>
            <w:r>
              <w:rPr>
                <w:rFonts w:ascii="Arial" w:cs="Arial" w:eastAsia="Arial" w:hAnsi="Arial"/>
                <w:sz w:val="15"/>
                <w:szCs w:val="15"/>
                <w:color w:val="auto"/>
              </w:rPr>
              <w:t>—</w:t>
            </w:r>
          </w:p>
        </w:tc>
      </w:tr>
      <w:tr>
        <w:trPr>
          <w:trHeight w:val="168"/>
        </w:trPr>
        <w:tc>
          <w:tcPr>
            <w:tcW w:w="3980" w:type="dxa"/>
            <w:vAlign w:val="bottom"/>
          </w:tcPr>
          <w:p>
            <w:pPr>
              <w:ind w:left="20"/>
              <w:spacing w:after="0" w:line="168" w:lineRule="exact"/>
              <w:rPr>
                <w:sz w:val="20"/>
                <w:szCs w:val="20"/>
                <w:color w:val="auto"/>
              </w:rPr>
            </w:pPr>
            <w:r>
              <w:rPr>
                <w:rFonts w:ascii="Arial" w:cs="Arial" w:eastAsia="Arial" w:hAnsi="Arial"/>
                <w:sz w:val="15"/>
                <w:szCs w:val="15"/>
                <w:color w:val="auto"/>
              </w:rPr>
              <w:t>Lease commitments</w:t>
            </w:r>
          </w:p>
        </w:tc>
        <w:tc>
          <w:tcPr>
            <w:tcW w:w="300" w:type="dxa"/>
            <w:vAlign w:val="bottom"/>
            <w:tcBorders>
              <w:bottom w:val="single" w:sz="8" w:color="auto"/>
            </w:tcBorders>
          </w:tcPr>
          <w:p>
            <w:pPr>
              <w:jc w:val="right"/>
              <w:ind w:right="126"/>
              <w:spacing w:after="0" w:line="168" w:lineRule="exact"/>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49"/>
              <w:spacing w:after="0" w:line="168" w:lineRule="exact"/>
              <w:rPr>
                <w:sz w:val="20"/>
                <w:szCs w:val="20"/>
                <w:color w:val="auto"/>
              </w:rPr>
            </w:pPr>
            <w:r>
              <w:rPr>
                <w:rFonts w:ascii="Arial" w:cs="Arial" w:eastAsia="Arial" w:hAnsi="Arial"/>
                <w:sz w:val="15"/>
                <w:szCs w:val="15"/>
                <w:color w:val="auto"/>
              </w:rPr>
              <w:t>630,000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2"/>
              <w:spacing w:after="0" w:line="168" w:lineRule="exact"/>
              <w:rPr>
                <w:sz w:val="20"/>
                <w:szCs w:val="20"/>
                <w:color w:val="auto"/>
              </w:rPr>
            </w:pPr>
            <w:r>
              <w:rPr>
                <w:rFonts w:ascii="Arial" w:cs="Arial" w:eastAsia="Arial" w:hAnsi="Arial"/>
                <w:sz w:val="15"/>
                <w:szCs w:val="15"/>
                <w:color w:val="auto"/>
              </w:rPr>
              <w:t>630,000</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
              <w:spacing w:after="0" w:line="168"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860"/>
              <w:spacing w:after="0" w:line="168" w:lineRule="exact"/>
              <w:rPr>
                <w:sz w:val="20"/>
                <w:szCs w:val="20"/>
                <w:color w:val="auto"/>
              </w:rPr>
            </w:pPr>
            <w:r>
              <w:rPr>
                <w:rFonts w:ascii="Arial" w:cs="Arial" w:eastAsia="Arial" w:hAnsi="Arial"/>
                <w:sz w:val="15"/>
                <w:szCs w:val="15"/>
                <w:color w:val="auto"/>
              </w:rPr>
              <w:t>—</w:t>
            </w:r>
          </w:p>
        </w:tc>
      </w:tr>
      <w:tr>
        <w:trPr>
          <w:trHeight w:val="199"/>
        </w:trPr>
        <w:tc>
          <w:tcPr>
            <w:tcW w:w="398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Total contractual obligations</w:t>
            </w:r>
          </w:p>
        </w:tc>
        <w:tc>
          <w:tcPr>
            <w:tcW w:w="300" w:type="dxa"/>
            <w:vAlign w:val="bottom"/>
            <w:tcBorders>
              <w:bottom w:val="single" w:sz="8" w:color="auto"/>
            </w:tcBorders>
            <w:shd w:val="clear" w:color="auto" w:fill="CFF0FC"/>
          </w:tcPr>
          <w:p>
            <w:pPr>
              <w:jc w:val="right"/>
              <w:ind w:right="126"/>
              <w:spacing w:after="0" w:line="159" w:lineRule="exact"/>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70,278,433</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66"/>
              <w:spacing w:after="0" w:line="159"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FF0FC"/>
          </w:tcPr>
          <w:p>
            <w:pPr>
              <w:jc w:val="right"/>
              <w:ind w:right="32"/>
              <w:spacing w:after="0" w:line="159" w:lineRule="exact"/>
              <w:rPr>
                <w:sz w:val="20"/>
                <w:szCs w:val="20"/>
                <w:color w:val="auto"/>
              </w:rPr>
            </w:pPr>
            <w:r>
              <w:rPr>
                <w:rFonts w:ascii="Arial" w:cs="Arial" w:eastAsia="Arial" w:hAnsi="Arial"/>
                <w:sz w:val="15"/>
                <w:szCs w:val="15"/>
                <w:color w:val="auto"/>
              </w:rPr>
              <w:t>4,955,833</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6"/>
              <w:spacing w:after="0" w:line="15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9,086,736</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6"/>
              <w:spacing w:after="0" w:line="15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56,235,864</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46"/>
              <w:spacing w:after="0" w:line="159" w:lineRule="exact"/>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FF0FC"/>
          </w:tcPr>
          <w:p>
            <w:pPr>
              <w:ind w:left="860"/>
              <w:spacing w:after="0" w:line="159" w:lineRule="exact"/>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-20955</wp:posOffset>
            </wp:positionV>
            <wp:extent cx="9207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-6350</wp:posOffset>
            </wp:positionV>
            <wp:extent cx="9207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-20955</wp:posOffset>
            </wp:positionV>
            <wp:extent cx="8509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-6350</wp:posOffset>
            </wp:positionV>
            <wp:extent cx="8509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-20955</wp:posOffset>
            </wp:positionV>
            <wp:extent cx="8509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-6350</wp:posOffset>
            </wp:positionV>
            <wp:extent cx="8509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-20955</wp:posOffset>
            </wp:positionV>
            <wp:extent cx="8509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-6350</wp:posOffset>
            </wp:positionV>
            <wp:extent cx="8509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090"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License agreement with Pfizer</w:t>
      </w:r>
    </w:p>
    <w:p>
      <w:pPr>
        <w:spacing w:after="0" w:line="174" w:lineRule="exact"/>
        <w:rPr>
          <w:sz w:val="20"/>
          <w:szCs w:val="20"/>
          <w:color w:val="auto"/>
        </w:rPr>
      </w:pPr>
    </w:p>
    <w:p>
      <w:pPr>
        <w:ind w:right="40" w:firstLine="751"/>
        <w:spacing w:after="0" w:line="238" w:lineRule="auto"/>
        <w:rPr>
          <w:sz w:val="20"/>
          <w:szCs w:val="20"/>
          <w:color w:val="auto"/>
        </w:rPr>
      </w:pPr>
      <w:r>
        <w:rPr>
          <w:rFonts w:ascii="Arial" w:cs="Arial" w:eastAsia="Arial" w:hAnsi="Arial"/>
          <w:sz w:val="15"/>
          <w:szCs w:val="15"/>
          <w:color w:val="auto"/>
        </w:rPr>
        <w:t>In January 2020, we entered into a license agreement with Pfizer. Under the terms of our exclusive license agreement with Pfizer, Pfizer received 82,019 shares of our common stock having a value of $8.0 million, based on the average closing price of the Company’s common stock for the 10 prior trading days of $97.538, in consideration for the license and rights. Pfizer also received an upfront cash payment of $3.0 million and will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 For a more detailed description of these agreements, please see “Business—Material License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License agreements with Antecip Bioventures</w:t>
      </w:r>
    </w:p>
    <w:p>
      <w:pPr>
        <w:spacing w:after="0" w:line="174" w:lineRule="exact"/>
        <w:rPr>
          <w:sz w:val="20"/>
          <w:szCs w:val="20"/>
          <w:color w:val="auto"/>
        </w:rPr>
      </w:pPr>
    </w:p>
    <w:p>
      <w:pPr>
        <w:ind w:right="240" w:firstLine="751"/>
        <w:spacing w:after="0" w:line="331" w:lineRule="auto"/>
        <w:rPr>
          <w:sz w:val="20"/>
          <w:szCs w:val="20"/>
          <w:color w:val="auto"/>
        </w:rPr>
      </w:pPr>
      <w:r>
        <w:rPr>
          <w:rFonts w:ascii="Arial" w:cs="Arial" w:eastAsia="Arial" w:hAnsi="Arial"/>
          <w:sz w:val="13"/>
          <w:szCs w:val="13"/>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06" w:name="page107"/>
    <w:bookmarkEnd w:id="10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60"/>
        <w:spacing w:after="0" w:line="255" w:lineRule="auto"/>
        <w:rPr>
          <w:sz w:val="20"/>
          <w:szCs w:val="20"/>
          <w:color w:val="auto"/>
        </w:rPr>
      </w:pPr>
      <w:r>
        <w:rPr>
          <w:rFonts w:ascii="Arial" w:cs="Arial" w:eastAsia="Arial" w:hAnsi="Arial"/>
          <w:sz w:val="15"/>
          <w:szCs w:val="15"/>
          <w:color w:val="auto"/>
        </w:rPr>
        <w:t>on net sales of licensed products. The amount, timing, and likelihood of such payments are not known. For a more detailed description of these agreements, please see “Business—Material License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September 2020 Loan and Security Agreement – Hercules</w:t>
      </w:r>
    </w:p>
    <w:p>
      <w:pPr>
        <w:spacing w:after="0" w:line="174" w:lineRule="exact"/>
        <w:rPr>
          <w:sz w:val="20"/>
          <w:szCs w:val="20"/>
          <w:color w:val="auto"/>
        </w:rPr>
      </w:pPr>
    </w:p>
    <w:p>
      <w:pPr>
        <w:ind w:right="120" w:firstLine="751"/>
        <w:spacing w:after="0" w:line="273" w:lineRule="auto"/>
        <w:rPr>
          <w:sz w:val="20"/>
          <w:szCs w:val="20"/>
          <w:color w:val="auto"/>
        </w:rPr>
      </w:pPr>
      <w:r>
        <w:rPr>
          <w:rFonts w:ascii="Arial" w:cs="Arial" w:eastAsia="Arial" w:hAnsi="Arial"/>
          <w:sz w:val="13"/>
          <w:szCs w:val="13"/>
          <w:color w:val="auto"/>
        </w:rPr>
        <w:t>In September 2020, we entered into the Loan Agreement with Hercules, in its capacity as administrative agent and collateral agent and as a lender, and the other financial institutions that may from time to time become parties to the Loan Agreement as lenders, which we collectively refer to as the Lenders. The Loan Agreement provides for term loans in an aggregate principal amount of up to $225.0 million under multiple tranches. The tranches consist of (i) a first tranche consisting of term loans in an aggregate principal amount of $60.0 million, of which $50.0 million, or the First Advance, was funded at closing, and of which the remaining $10.0 million is available at our option at any time through September 15, 2021;</w:t>
      </w:r>
    </w:p>
    <w:p>
      <w:pPr>
        <w:spacing w:after="0" w:line="2" w:lineRule="exact"/>
        <w:rPr>
          <w:sz w:val="20"/>
          <w:szCs w:val="20"/>
          <w:color w:val="auto"/>
        </w:rPr>
      </w:pPr>
    </w:p>
    <w:p>
      <w:pPr>
        <w:ind w:right="20" w:firstLine="9"/>
        <w:spacing w:after="0" w:line="273" w:lineRule="auto"/>
        <w:tabs>
          <w:tab w:leader="none" w:pos="219" w:val="left"/>
        </w:tabs>
        <w:numPr>
          <w:ilvl w:val="0"/>
          <w:numId w:val="45"/>
        </w:numPr>
        <w:rPr>
          <w:rFonts w:ascii="Arial" w:cs="Arial" w:eastAsia="Arial" w:hAnsi="Arial"/>
          <w:sz w:val="13"/>
          <w:szCs w:val="13"/>
          <w:color w:val="auto"/>
        </w:rPr>
      </w:pPr>
      <w:r>
        <w:rPr>
          <w:rFonts w:ascii="Arial" w:cs="Arial" w:eastAsia="Arial" w:hAnsi="Arial"/>
          <w:sz w:val="13"/>
          <w:szCs w:val="13"/>
          <w:color w:val="auto"/>
        </w:rPr>
        <w:t>subject to the FDA approval of our AXS-05 product candidate for the treatment of major depressive disorder, or the First Milestone, a second tranche consisting of additional term loans in an aggregate principal amount of up to $35.0 million, available at our option beginning on the date that the First Milestone is achieved through the earlier of (A) 181 days following such date and (B) June 30, 2022; (iii) subject to the approval of our AXS-07 product candidate for the treatment of migraine, or the Second Milestone, a third tranche consisting of additional term loans in an aggregate principal amount of up to $20.0 million, available at our option beginning on the date that the Second Milestone is achieved through the earlier of (A) 181 days following such date and (B) June 30, 2022; (iv) subject to the achievement of either the First Milestone or the Second Milestone and so long as we are in compliance with a required ratio of Lender indebtedness to net product revenue, a fourth tranche consisting of additional term loans in an aggregate principal amount of up to $60.0 million, available at our option beginning on January 1, 2022 and continuing through March 31, 2023; and (v) subject to approval by the Lenders in their discretion, a fifth tranche of additional term loans in an aggregate principal amount of up to $50.0 million, available through December 31, 2023. The remaining $10 million on the first tranche was not utilized and such tranche and future tranches were amended upon the execution of the First Amendment to the Loan and Security Agreement. See "October 2021 First Amendment to the Loan and Security Agreement – Hercules" below for further information. We intend to use the proceeds of the Term Loan Advances for working capital and general corporate purposes. In addition, approximately $21.7 million of the proceeds from the First Advance was used to satisfy in full and retire our indebtedness under the 2019 Term Loan, as amended.</w:t>
      </w:r>
    </w:p>
    <w:p>
      <w:pPr>
        <w:spacing w:after="0" w:line="139" w:lineRule="exact"/>
        <w:rPr>
          <w:sz w:val="20"/>
          <w:szCs w:val="20"/>
          <w:color w:val="auto"/>
        </w:rPr>
      </w:pPr>
    </w:p>
    <w:p>
      <w:pPr>
        <w:ind w:right="240" w:firstLine="751"/>
        <w:spacing w:after="0" w:line="278" w:lineRule="auto"/>
        <w:rPr>
          <w:sz w:val="20"/>
          <w:szCs w:val="20"/>
          <w:color w:val="auto"/>
        </w:rPr>
      </w:pPr>
      <w:r>
        <w:rPr>
          <w:rFonts w:ascii="Arial" w:cs="Arial" w:eastAsia="Arial" w:hAnsi="Arial"/>
          <w:sz w:val="13"/>
          <w:szCs w:val="13"/>
          <w:color w:val="auto"/>
        </w:rPr>
        <w:t>The outstanding principal balance of the term loans bears interest at an annual rate equal to the greater of either (i) the prime rate as reported in The Wall Street Journal plus 5.90% or (ii) 9.15%, subject to an ability by us, during certain periods, each such period a PIK Deferral Period, to request a reduction of the then-effective cash-pay interest rate by up to</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1.00% per annum, which we refer to as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 We are required to repay the term loans in equal installments of principal and interest commencing on May 1, 2023, through October 1, 2025, which is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49" w:lineRule="exact"/>
        <w:rPr>
          <w:sz w:val="20"/>
          <w:szCs w:val="20"/>
          <w:color w:val="auto"/>
        </w:rPr>
      </w:pPr>
    </w:p>
    <w:p>
      <w:pPr>
        <w:ind w:right="440" w:firstLine="751"/>
        <w:spacing w:after="0" w:line="244" w:lineRule="auto"/>
        <w:rPr>
          <w:sz w:val="20"/>
          <w:szCs w:val="20"/>
          <w:color w:val="auto"/>
        </w:rPr>
      </w:pPr>
      <w:r>
        <w:rPr>
          <w:rFonts w:ascii="Arial" w:cs="Arial" w:eastAsia="Arial" w:hAnsi="Arial"/>
          <w:sz w:val="15"/>
          <w:szCs w:val="15"/>
          <w:color w:val="auto"/>
        </w:rPr>
        <w:t>As collateral for the obligations, we have granted to Hercules a senior security interest in all our right, title, and interest in, to and under all of our property, inclusive of intellectual property, which includes one of our existing license agreements with Antecip, subject to limited exceptions. Antecip consented to the collateral assignment of the License Agreement, among other things, under a Direct Agreement with us and Hercules.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07" w:name="page108"/>
    <w:bookmarkEnd w:id="10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0" w:firstLine="751"/>
        <w:spacing w:after="0" w:line="289" w:lineRule="auto"/>
        <w:rPr>
          <w:sz w:val="20"/>
          <w:szCs w:val="20"/>
          <w:color w:val="auto"/>
        </w:rPr>
      </w:pPr>
      <w:r>
        <w:rPr>
          <w:rFonts w:ascii="Arial" w:cs="Arial" w:eastAsia="Arial" w:hAnsi="Arial"/>
          <w:sz w:val="13"/>
          <w:szCs w:val="13"/>
          <w:color w:val="auto"/>
        </w:rPr>
        <w:t>The Loan Agreement contains customary representations, warranties and covenants, including covenants by us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us in the future, if we decide to do so, under the terms set forth in the Loan Agreement, there will be certain limited financial covenants that will apply, including:</w:t>
      </w:r>
    </w:p>
    <w:p>
      <w:pPr>
        <w:spacing w:after="0" w:line="129" w:lineRule="exact"/>
        <w:rPr>
          <w:sz w:val="20"/>
          <w:szCs w:val="20"/>
          <w:color w:val="auto"/>
        </w:rPr>
      </w:pPr>
    </w:p>
    <w:p>
      <w:pPr>
        <w:ind w:left="760" w:right="20" w:hanging="375"/>
        <w:spacing w:after="0"/>
        <w:tabs>
          <w:tab w:leader="none" w:pos="7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Effective upon the date the outstanding principal amount of the advances under the Loan Agreement equals or exceeds $55.0 million, which has not yet occurred, we at all times thereafter must maintain cash in an account or accounts in which Hercules has a first priority security interest, in an aggregate amount greater than or equal to $15.0 million, plus the amount of our accounts payable under U.S. GAAP not paid after the 180th day following the invoice for such account payable which amount we refer to as the Qualified Cash A/P Amount.</w:t>
      </w:r>
    </w:p>
    <w:p>
      <w:pPr>
        <w:spacing w:after="0" w:line="158" w:lineRule="exact"/>
        <w:rPr>
          <w:rFonts w:ascii="Arial" w:cs="Arial" w:eastAsia="Arial" w:hAnsi="Arial"/>
          <w:sz w:val="15"/>
          <w:szCs w:val="15"/>
          <w:color w:val="auto"/>
        </w:rPr>
      </w:pPr>
    </w:p>
    <w:p>
      <w:pPr>
        <w:ind w:left="760" w:hanging="375"/>
        <w:spacing w:after="0"/>
        <w:tabs>
          <w:tab w:leader="none" w:pos="7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Effective upon the later of (i) the last calendar month of the calendar quarter that is twelve months following the earlier of (x) the date that the First Milestone is achieved and</w:t>
      </w:r>
    </w:p>
    <w:p>
      <w:pPr>
        <w:spacing w:after="0" w:line="30" w:lineRule="exact"/>
        <w:rPr>
          <w:rFonts w:ascii="Arial" w:cs="Arial" w:eastAsia="Arial" w:hAnsi="Arial"/>
          <w:sz w:val="13"/>
          <w:szCs w:val="13"/>
          <w:color w:val="auto"/>
        </w:rPr>
      </w:pPr>
    </w:p>
    <w:p>
      <w:pPr>
        <w:ind w:left="760"/>
        <w:spacing w:after="0" w:line="253" w:lineRule="auto"/>
        <w:rPr>
          <w:rFonts w:ascii="Arial" w:cs="Arial" w:eastAsia="Arial" w:hAnsi="Arial"/>
          <w:sz w:val="13"/>
          <w:szCs w:val="13"/>
          <w:color w:val="auto"/>
        </w:rPr>
      </w:pPr>
      <w:r>
        <w:rPr>
          <w:rFonts w:ascii="Arial" w:cs="Arial" w:eastAsia="Arial" w:hAnsi="Arial"/>
          <w:sz w:val="14"/>
          <w:szCs w:val="14"/>
          <w:color w:val="auto"/>
        </w:rPr>
        <w:t>(y) the date that the Second Milestone is achieved, or (ii) the date on which the outstanding principal amount of the term loan advances under the Loan Agreement is equal to or greater than $65.0 million, we are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plus the Qualified Cash A/P Amount, (B) ensure that at all times that it maintains cash in an account which Hercules has a first priority security interest in an amount not less than 100% of the sum of the outstanding principal amount of the term loan advances plus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determined on a quarterly basis.</w:t>
      </w:r>
    </w:p>
    <w:p>
      <w:pPr>
        <w:spacing w:after="0" w:line="149" w:lineRule="exact"/>
        <w:rPr>
          <w:rFonts w:ascii="Arial" w:cs="Arial" w:eastAsia="Arial" w:hAnsi="Arial"/>
          <w:sz w:val="13"/>
          <w:szCs w:val="13"/>
          <w:color w:val="auto"/>
        </w:rPr>
      </w:pPr>
    </w:p>
    <w:p>
      <w:pPr>
        <w:ind w:left="760" w:right="200" w:hanging="375"/>
        <w:spacing w:after="0" w:line="255" w:lineRule="auto"/>
        <w:tabs>
          <w:tab w:leader="none" w:pos="7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Restrictions on our ability to incur additional indebtedness, pay dividends, encumber its intellectual property, or engage in certain fundamental business transactions, such as mergers or acquisitions of other businesses, with certain exceptions.</w:t>
      </w:r>
    </w:p>
    <w:p>
      <w:pPr>
        <w:spacing w:after="0" w:line="147" w:lineRule="exact"/>
        <w:rPr>
          <w:sz w:val="20"/>
          <w:szCs w:val="20"/>
          <w:color w:val="auto"/>
        </w:rPr>
      </w:pPr>
    </w:p>
    <w:p>
      <w:pPr>
        <w:ind w:right="100" w:firstLine="751"/>
        <w:spacing w:after="0" w:line="255" w:lineRule="auto"/>
        <w:rPr>
          <w:sz w:val="20"/>
          <w:szCs w:val="20"/>
          <w:color w:val="auto"/>
        </w:rPr>
      </w:pPr>
      <w:r>
        <w:rPr>
          <w:rFonts w:ascii="Arial" w:cs="Arial" w:eastAsia="Arial" w:hAnsi="Arial"/>
          <w:sz w:val="15"/>
          <w:szCs w:val="15"/>
          <w:color w:val="auto"/>
        </w:rPr>
        <w:t>Our obligations under the Loan Agreement are subject to acceleration upon the occurrence of specified events of default, including payment default, insolvency and a material adverse change in our business, operations or financial or other condition.</w:t>
      </w:r>
    </w:p>
    <w:p>
      <w:pPr>
        <w:spacing w:after="0" w:line="147" w:lineRule="exact"/>
        <w:rPr>
          <w:sz w:val="20"/>
          <w:szCs w:val="20"/>
          <w:color w:val="auto"/>
        </w:rPr>
      </w:pPr>
    </w:p>
    <w:p>
      <w:pPr>
        <w:ind w:right="40" w:firstLine="751"/>
        <w:spacing w:after="0" w:line="255" w:lineRule="auto"/>
        <w:rPr>
          <w:sz w:val="20"/>
          <w:szCs w:val="20"/>
          <w:color w:val="auto"/>
        </w:rPr>
      </w:pPr>
      <w:r>
        <w:rPr>
          <w:rFonts w:ascii="Arial" w:cs="Arial" w:eastAsia="Arial" w:hAnsi="Arial"/>
          <w:sz w:val="15"/>
          <w:szCs w:val="15"/>
          <w:color w:val="auto"/>
        </w:rPr>
        <w:t>In addition, we are required to pay a final payment fee equal to the greater of (A) $2,910,000 and (B) 4.85% of the aggregate amount of all future term loan advances. The final payment fee is being accreted and amortized into interest expense using the effective interest rate method over the term of the loan.</w:t>
      </w:r>
    </w:p>
    <w:p>
      <w:pPr>
        <w:spacing w:after="0" w:line="147" w:lineRule="exact"/>
        <w:rPr>
          <w:sz w:val="20"/>
          <w:szCs w:val="20"/>
          <w:color w:val="auto"/>
        </w:rPr>
      </w:pPr>
    </w:p>
    <w:p>
      <w:pPr>
        <w:ind w:right="120" w:firstLine="751"/>
        <w:spacing w:after="0" w:line="300" w:lineRule="auto"/>
        <w:rPr>
          <w:sz w:val="20"/>
          <w:szCs w:val="20"/>
          <w:color w:val="auto"/>
        </w:rPr>
      </w:pPr>
      <w:r>
        <w:rPr>
          <w:rFonts w:ascii="Arial" w:cs="Arial" w:eastAsia="Arial" w:hAnsi="Arial"/>
          <w:sz w:val="13"/>
          <w:szCs w:val="13"/>
          <w:color w:val="auto"/>
        </w:rPr>
        <w:t>We may, at our option prepay the term loans in full or in part, subject to a prepayment penalty equal to (i) 2.0% of the principal amount prepaid if the prepayment occurs prior to the first anniversary of the initial closing, (ii) 1.5% of the principal amount prepaid if the prepayment occurs on or after the first anniversary and prior to the second anniversary of the initial closing, and (iii) 1.0% of the principal amount prepaid if the prepayment occurs on or after the second anniversary and prior to the third anniversary of the initial closing.</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October 2021 First Amendment to the Loan and Security Agreement – Hercules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On October 14, 2021 ("First Amendment Closing Date"), we entered into the first amendment to the Loan Agreement (the “First Amendment to the Loan Agreement”).</w:t>
      </w:r>
    </w:p>
    <w:p>
      <w:pPr>
        <w:spacing w:after="0" w:line="185" w:lineRule="exact"/>
        <w:rPr>
          <w:sz w:val="20"/>
          <w:szCs w:val="20"/>
          <w:color w:val="auto"/>
        </w:rPr>
      </w:pPr>
    </w:p>
    <w:p>
      <w:pPr>
        <w:ind w:right="40" w:firstLine="751"/>
        <w:spacing w:after="0" w:line="260" w:lineRule="auto"/>
        <w:rPr>
          <w:sz w:val="20"/>
          <w:szCs w:val="20"/>
          <w:color w:val="auto"/>
        </w:rPr>
      </w:pPr>
      <w:r>
        <w:rPr>
          <w:rFonts w:ascii="Arial" w:cs="Arial" w:eastAsia="Arial" w:hAnsi="Arial"/>
          <w:sz w:val="14"/>
          <w:szCs w:val="14"/>
          <w:color w:val="auto"/>
        </w:rPr>
        <w:t>Under the First Amendment to the Loan Agreement, the First Amendment amended the terms of that certain Loan and Security Agreement, dated as of September 25, 2020, by and among us, Hercules and the Lenders party thereto (the “Loan Agreement”) to, among other things, (i) increase the aggregate principal amount of the loan, available at the our option, from $225,000,000 to $300,000,000, (ii) change the draw amounts and dates available in Tranche 2 through Tranche 5 including increasing the amount available under Tranche 2 subject to FDA approval of our AXS-05 product candidate for the treatment of major depressive disorder from $35,000,000 to $100,000,000, maintaining the amount available under Tranche 3 subject to FDA approval of our AXS-07 product candidate for the acute treatment of migraine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08" w:name="page109"/>
    <w:bookmarkEnd w:id="10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line="281" w:lineRule="auto"/>
        <w:rPr>
          <w:sz w:val="20"/>
          <w:szCs w:val="20"/>
          <w:color w:val="auto"/>
        </w:rPr>
      </w:pPr>
      <w:r>
        <w:rPr>
          <w:rFonts w:ascii="Arial" w:cs="Arial" w:eastAsia="Arial" w:hAnsi="Arial"/>
          <w:sz w:val="13"/>
          <w:szCs w:val="13"/>
          <w:color w:val="auto"/>
        </w:rPr>
        <w:t>of $20,000,000, reducing the amount under Tranche 4 available upon achievement of certain combined sales and outstanding debt criteria from $60,000,000 to $55,000,000, and increasing the amount available under Tranche 5 to support future strategic initiatives, including further pipeline advancement or expansion from $50,000,000 to $75,000,000 subject to the approval from Hercules, (iii) extend the maturity date of the facility from the original October 2025 to October 2026, and optionally to October 2027, subject to certain conditions, (iv) reset and extend the interest only period from the initial 30 months from the original loan closing to 48 months from the First Amendment and extendable up to 60 months subject to FDA approval of our AXS-05 product candidate for the treatment of major depressive disorder and subject to FDA approval of AXS-07 in the acute treatment of migraine, and (v) decrease the interest rate from 9.15% (floating rate based on the greater of (a) 9.15% or (b) US WSJ Prime + 5.90%) to 8.95% (floating rate based on the greater of (a) 8.95% or (b) US WSJ Prime + 5.70%).</w:t>
      </w:r>
    </w:p>
    <w:p>
      <w:pPr>
        <w:spacing w:after="0" w:line="134" w:lineRule="exact"/>
        <w:rPr>
          <w:sz w:val="20"/>
          <w:szCs w:val="20"/>
          <w:color w:val="auto"/>
        </w:rPr>
      </w:pPr>
    </w:p>
    <w:p>
      <w:pPr>
        <w:ind w:firstLine="751"/>
        <w:spacing w:after="0" w:line="255" w:lineRule="auto"/>
        <w:rPr>
          <w:sz w:val="20"/>
          <w:szCs w:val="20"/>
          <w:color w:val="auto"/>
        </w:rPr>
      </w:pPr>
      <w:r>
        <w:rPr>
          <w:rFonts w:ascii="Arial" w:cs="Arial" w:eastAsia="Arial" w:hAnsi="Arial"/>
          <w:sz w:val="15"/>
          <w:szCs w:val="15"/>
          <w:color w:val="auto"/>
        </w:rPr>
        <w:t>In addition, we are required to pay a final payment fee equal to (A) $2,910,000 plus (B) 4.5% of the aggregate amount of all future term loan advances. The final payment fee is being accreted and amortized into interest expense using the effective interest rate method over the term of the loan.</w:t>
      </w:r>
    </w:p>
    <w:p>
      <w:pPr>
        <w:spacing w:after="0" w:line="147" w:lineRule="exact"/>
        <w:rPr>
          <w:sz w:val="20"/>
          <w:szCs w:val="20"/>
          <w:color w:val="auto"/>
        </w:rPr>
      </w:pPr>
    </w:p>
    <w:p>
      <w:pPr>
        <w:ind w:right="120" w:firstLine="751"/>
        <w:spacing w:after="0"/>
        <w:rPr>
          <w:sz w:val="20"/>
          <w:szCs w:val="20"/>
          <w:color w:val="auto"/>
        </w:rPr>
      </w:pPr>
      <w:r>
        <w:rPr>
          <w:rFonts w:ascii="Arial" w:cs="Arial" w:eastAsia="Arial" w:hAnsi="Arial"/>
          <w:sz w:val="15"/>
          <w:szCs w:val="15"/>
          <w:color w:val="auto"/>
        </w:rPr>
        <w:t>We may, at our option prepay the term loans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 These percentages are unchanged from the Loan Agreement.</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Shelf Registration Statement</w:t>
      </w:r>
    </w:p>
    <w:p>
      <w:pPr>
        <w:spacing w:after="0" w:line="178" w:lineRule="exact"/>
        <w:rPr>
          <w:sz w:val="20"/>
          <w:szCs w:val="20"/>
          <w:color w:val="auto"/>
        </w:rPr>
      </w:pPr>
    </w:p>
    <w:p>
      <w:pPr>
        <w:jc w:val="both"/>
        <w:ind w:right="220" w:firstLine="751"/>
        <w:spacing w:after="0" w:line="270" w:lineRule="auto"/>
        <w:rPr>
          <w:sz w:val="20"/>
          <w:szCs w:val="20"/>
          <w:color w:val="auto"/>
        </w:rPr>
      </w:pPr>
      <w:r>
        <w:rPr>
          <w:rFonts w:ascii="Arial" w:cs="Arial" w:eastAsia="Arial" w:hAnsi="Arial"/>
          <w:sz w:val="14"/>
          <w:szCs w:val="14"/>
          <w:color w:val="auto"/>
        </w:rPr>
        <w:t>On December 5, 2019, we filed a Form S-3ASR (File No. 333-235372) with the SEC, or the 2019 Shelf Registration Statement, for the issuance of common stock, preferred stock, warrants, rights, debt securities and units, which became effective immediately upon filing. At the time any of the securities covered by the 2019 Shelf Registration Statement are offered for sale, a prospectus supplement will be prepared and filed with the SEC containing specific information about the terms of any such offering.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the CARES Act</w:t>
      </w:r>
    </w:p>
    <w:p>
      <w:pPr>
        <w:spacing w:after="0" w:line="178" w:lineRule="exact"/>
        <w:rPr>
          <w:sz w:val="20"/>
          <w:szCs w:val="20"/>
          <w:color w:val="auto"/>
        </w:rPr>
      </w:pPr>
    </w:p>
    <w:p>
      <w:pPr>
        <w:ind w:right="20" w:firstLine="298"/>
        <w:spacing w:after="0" w:line="281" w:lineRule="auto"/>
        <w:rPr>
          <w:sz w:val="20"/>
          <w:szCs w:val="20"/>
          <w:color w:val="auto"/>
        </w:rPr>
      </w:pPr>
      <w:r>
        <w:rPr>
          <w:rFonts w:ascii="Arial" w:cs="Arial" w:eastAsia="Arial" w:hAnsi="Arial"/>
          <w:sz w:val="13"/>
          <w:szCs w:val="13"/>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COVID-19 on our Business</w:t>
      </w:r>
    </w:p>
    <w:p>
      <w:pPr>
        <w:spacing w:after="0" w:line="178" w:lineRule="exact"/>
        <w:rPr>
          <w:sz w:val="20"/>
          <w:szCs w:val="20"/>
          <w:color w:val="auto"/>
        </w:rPr>
      </w:pPr>
    </w:p>
    <w:p>
      <w:pPr>
        <w:ind w:right="20" w:firstLine="751"/>
        <w:spacing w:after="0"/>
        <w:rPr>
          <w:sz w:val="20"/>
          <w:szCs w:val="20"/>
          <w:color w:val="auto"/>
        </w:rPr>
      </w:pPr>
      <w:r>
        <w:rPr>
          <w:rFonts w:ascii="Arial" w:cs="Arial" w:eastAsia="Arial" w:hAnsi="Arial"/>
          <w:sz w:val="15"/>
          <w:szCs w:val="15"/>
          <w:color w:val="auto"/>
        </w:rPr>
        <w:t>In December 2019, a novel coronavirus known as SARS-CoV-2 was first detected in Wuhan, Hubei Province, People’s Republic of China, causing outbreaks of the coronavirus disease, known as COVID-19, which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09" w:name="page110"/>
    <w:bookmarkEnd w:id="10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Operations and Liquidity</w:t>
      </w:r>
    </w:p>
    <w:p>
      <w:pPr>
        <w:spacing w:after="0" w:line="174" w:lineRule="exact"/>
        <w:rPr>
          <w:sz w:val="20"/>
          <w:szCs w:val="20"/>
          <w:color w:val="auto"/>
        </w:rPr>
      </w:pPr>
    </w:p>
    <w:p>
      <w:pPr>
        <w:ind w:firstLine="751"/>
        <w:spacing w:after="0" w:line="256" w:lineRule="auto"/>
        <w:rPr>
          <w:sz w:val="20"/>
          <w:szCs w:val="20"/>
          <w:color w:val="auto"/>
        </w:rPr>
      </w:pPr>
      <w:r>
        <w:rPr>
          <w:rFonts w:ascii="Arial" w:cs="Arial" w:eastAsia="Arial" w:hAnsi="Arial"/>
          <w:sz w:val="14"/>
          <w:szCs w:val="14"/>
          <w:color w:val="auto"/>
        </w:rPr>
        <w:t>The full impact of the COVID-19 pandemic is unknown and constantly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To date, the COVID-19 pandemic has not had significant effects on the progression of our clinical trials. Given the nature and type of our short-term investments, we do not believe that the COVID-19 pandemic will have a material impact on our current investment liquidity.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Outlook</w:t>
      </w:r>
    </w:p>
    <w:p>
      <w:pPr>
        <w:spacing w:after="0" w:line="174" w:lineRule="exact"/>
        <w:rPr>
          <w:sz w:val="20"/>
          <w:szCs w:val="20"/>
          <w:color w:val="auto"/>
        </w:rPr>
      </w:pPr>
    </w:p>
    <w:p>
      <w:pPr>
        <w:ind w:right="20" w:firstLine="751"/>
        <w:spacing w:after="0" w:line="270" w:lineRule="auto"/>
        <w:rPr>
          <w:sz w:val="20"/>
          <w:szCs w:val="20"/>
          <w:color w:val="auto"/>
        </w:rPr>
      </w:pPr>
      <w:r>
        <w:rPr>
          <w:rFonts w:ascii="Arial" w:cs="Arial" w:eastAsia="Arial" w:hAnsi="Arial"/>
          <w:sz w:val="14"/>
          <w:szCs w:val="14"/>
          <w:color w:val="auto"/>
        </w:rPr>
        <w:t>Although there is uncertainty related to the anticipated impact of the COVID-19 pandemic on our future results, we believe our current cash reserves, coupled with our access to additional capital through the December 2019 Sales Agreement,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38" w:lineRule="exact"/>
        <w:rPr>
          <w:sz w:val="20"/>
          <w:szCs w:val="20"/>
          <w:color w:val="auto"/>
        </w:rPr>
      </w:pPr>
    </w:p>
    <w:p>
      <w:pPr>
        <w:ind w:right="280" w:firstLine="751"/>
        <w:spacing w:after="0" w:line="244" w:lineRule="auto"/>
        <w:rPr>
          <w:sz w:val="20"/>
          <w:szCs w:val="20"/>
          <w:color w:val="auto"/>
        </w:rPr>
      </w:pPr>
      <w:r>
        <w:rPr>
          <w:rFonts w:ascii="Arial" w:cs="Arial" w:eastAsia="Arial" w:hAnsi="Arial"/>
          <w:sz w:val="15"/>
          <w:szCs w:val="15"/>
          <w:color w:val="auto"/>
        </w:rPr>
        <w:t>As a result of the ongoing COVID-19 pandemic and its dynamic nature, including uncertainties relating to the ultimate geographic spread of the virus, the severity of the disease, the duration of the pandemic, and actions that have been or may be taken by governmental authorities to contain the pandemic or to treat its impact, it is difficult to forecast the effects of the COVID-19 pandemic on our results for the fiscal year ending December 31, 2022.</w:t>
      </w:r>
    </w:p>
    <w:p>
      <w:pPr>
        <w:spacing w:after="0" w:line="155" w:lineRule="exact"/>
        <w:rPr>
          <w:sz w:val="20"/>
          <w:szCs w:val="20"/>
          <w:color w:val="auto"/>
        </w:rPr>
      </w:pPr>
    </w:p>
    <w:p>
      <w:pPr>
        <w:ind w:right="240" w:firstLine="751"/>
        <w:spacing w:after="0" w:line="289" w:lineRule="auto"/>
        <w:rPr>
          <w:sz w:val="20"/>
          <w:szCs w:val="20"/>
          <w:color w:val="auto"/>
        </w:rPr>
      </w:pPr>
      <w:r>
        <w:rPr>
          <w:rFonts w:ascii="Arial" w:cs="Arial" w:eastAsia="Arial" w:hAnsi="Arial"/>
          <w:sz w:val="13"/>
          <w:szCs w:val="13"/>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we may take additional actions based on their recommendations. In these circumstances, there may be developments outside of our control requiring us to adjust our operating plan. As such, given the dynamic nature of this situation, we cannot reasonably estimate the impacts of the COVID-19 pandemic on our financial condition, results of operations or cash flows in the future.</w:t>
      </w:r>
    </w:p>
    <w:p>
      <w:pPr>
        <w:spacing w:after="0" w:line="125"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color w:val="auto"/>
        </w:rPr>
        <w:t>Off</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Balance Sheet Arrangements</w:t>
      </w:r>
    </w:p>
    <w:p>
      <w:pPr>
        <w:spacing w:after="0" w:line="178" w:lineRule="exact"/>
        <w:rPr>
          <w:sz w:val="20"/>
          <w:szCs w:val="20"/>
          <w:color w:val="auto"/>
        </w:rPr>
      </w:pPr>
    </w:p>
    <w:p>
      <w:pPr>
        <w:ind w:left="760"/>
        <w:spacing w:after="0" w:line="173" w:lineRule="exact"/>
        <w:rPr>
          <w:sz w:val="20"/>
          <w:szCs w:val="20"/>
          <w:color w:val="auto"/>
        </w:rPr>
      </w:pPr>
      <w:r>
        <w:rPr>
          <w:rFonts w:ascii="Arial" w:cs="Arial" w:eastAsia="Arial" w:hAnsi="Arial"/>
          <w:sz w:val="15"/>
          <w:szCs w:val="15"/>
          <w:color w:val="auto"/>
        </w:rPr>
        <w:t>We did not have during the periods presented, and we do not currently have, any off</w:t>
      </w:r>
      <w:r>
        <w:rPr>
          <w:rFonts w:ascii="MS PGothic" w:cs="MS PGothic" w:eastAsia="MS PGothic" w:hAnsi="MS PGothic"/>
          <w:sz w:val="15"/>
          <w:szCs w:val="15"/>
          <w:color w:val="auto"/>
        </w:rPr>
        <w:t>‑</w:t>
      </w:r>
      <w:r>
        <w:rPr>
          <w:rFonts w:ascii="Arial" w:cs="Arial" w:eastAsia="Arial" w:hAnsi="Arial"/>
          <w:sz w:val="15"/>
          <w:szCs w:val="15"/>
          <w:color w:val="auto"/>
        </w:rPr>
        <w:t>balance sheet arrangements, as defined by applicable SEC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78" w:lineRule="exact"/>
        <w:rPr>
          <w:sz w:val="20"/>
          <w:szCs w:val="20"/>
          <w:color w:val="auto"/>
        </w:rPr>
      </w:pPr>
    </w:p>
    <w:p>
      <w:pPr>
        <w:ind w:right="40" w:firstLine="751"/>
        <w:spacing w:after="0" w:line="255" w:lineRule="auto"/>
        <w:rPr>
          <w:sz w:val="20"/>
          <w:szCs w:val="20"/>
          <w:color w:val="auto"/>
        </w:rPr>
      </w:pPr>
      <w:r>
        <w:rPr>
          <w:rFonts w:ascii="Arial" w:cs="Arial" w:eastAsia="Arial" w:hAnsi="Arial"/>
          <w:sz w:val="15"/>
          <w:szCs w:val="15"/>
          <w:color w:val="auto"/>
        </w:rPr>
        <w:t>Refer to Note 2 – Summary of Significant Accounting Policies to our consolidated financial statements included in Part IV, Exhibits and Financial Statement Schedules, of this Annual Report on Form 10-K for a discussion of recently issued accounting pronouncements.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10" w:name="page111"/>
    <w:bookmarkEnd w:id="11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 ABOUT MARKET RISK</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Rate Risk</w:t>
      </w:r>
    </w:p>
    <w:p>
      <w:pPr>
        <w:spacing w:after="0" w:line="163" w:lineRule="exact"/>
        <w:rPr>
          <w:sz w:val="20"/>
          <w:szCs w:val="20"/>
          <w:color w:val="auto"/>
        </w:rPr>
      </w:pPr>
    </w:p>
    <w:p>
      <w:pPr>
        <w:ind w:firstLine="751"/>
        <w:spacing w:after="0" w:line="154" w:lineRule="exact"/>
        <w:rPr>
          <w:sz w:val="20"/>
          <w:szCs w:val="20"/>
          <w:color w:val="auto"/>
        </w:rPr>
      </w:pPr>
      <w:r>
        <w:rPr>
          <w:rFonts w:ascii="Arial" w:cs="Arial" w:eastAsia="Arial" w:hAnsi="Arial"/>
          <w:sz w:val="15"/>
          <w:szCs w:val="15"/>
          <w:color w:val="auto"/>
        </w:rPr>
        <w:t>We are exposed to market risks in the ordinary course of our business. These market risks are principally limited to interest rate fluctuations. We had cash of $86.5 million as of December 31, 2021.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5"/>
          <w:szCs w:val="15"/>
          <w:color w:val="auto"/>
        </w:rPr>
        <w:t>‑</w:t>
      </w:r>
      <w:r>
        <w:rPr>
          <w:rFonts w:ascii="Arial" w:cs="Arial" w:eastAsia="Arial" w:hAnsi="Arial"/>
          <w:sz w:val="15"/>
          <w:szCs w:val="15"/>
          <w:color w:val="auto"/>
        </w:rPr>
        <w: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Exchange Risk</w:t>
      </w:r>
    </w:p>
    <w:p>
      <w:pPr>
        <w:spacing w:after="0" w:line="151" w:lineRule="exact"/>
        <w:rPr>
          <w:sz w:val="20"/>
          <w:szCs w:val="20"/>
          <w:color w:val="auto"/>
        </w:rPr>
      </w:pPr>
    </w:p>
    <w:p>
      <w:pPr>
        <w:ind w:right="20" w:firstLine="751"/>
        <w:spacing w:after="0" w:line="160" w:lineRule="exact"/>
        <w:rPr>
          <w:sz w:val="20"/>
          <w:szCs w:val="20"/>
          <w:color w:val="auto"/>
        </w:rPr>
      </w:pPr>
      <w:r>
        <w:rPr>
          <w:rFonts w:ascii="Arial" w:cs="Arial" w:eastAsia="Arial" w:hAnsi="Arial"/>
          <w:sz w:val="13"/>
          <w:szCs w:val="13"/>
          <w:color w:val="auto"/>
        </w:rPr>
        <w:t>We contract with vendors and third</w:t>
      </w:r>
      <w:r>
        <w:rPr>
          <w:rFonts w:ascii="MS PGothic" w:cs="MS PGothic" w:eastAsia="MS PGothic" w:hAnsi="MS PGothic"/>
          <w:sz w:val="13"/>
          <w:szCs w:val="13"/>
          <w:color w:val="auto"/>
        </w:rPr>
        <w:t>‑</w:t>
      </w:r>
      <w:r>
        <w:rPr>
          <w:rFonts w:ascii="Arial" w:cs="Arial" w:eastAsia="Arial" w:hAnsi="Arial"/>
          <w:sz w:val="13"/>
          <w:szCs w:val="13"/>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36" w:lineRule="exact"/>
        <w:rPr>
          <w:sz w:val="20"/>
          <w:szCs w:val="20"/>
          <w:color w:val="auto"/>
        </w:rPr>
      </w:pPr>
    </w:p>
    <w:p>
      <w:pPr>
        <w:ind w:right="960" w:firstLine="751"/>
        <w:spacing w:after="0" w:line="450" w:lineRule="auto"/>
        <w:rPr>
          <w:sz w:val="20"/>
          <w:szCs w:val="20"/>
          <w:color w:val="auto"/>
        </w:rPr>
      </w:pPr>
      <w:r>
        <w:rPr>
          <w:rFonts w:ascii="Arial" w:cs="Arial" w:eastAsia="Arial" w:hAnsi="Arial"/>
          <w:sz w:val="15"/>
          <w:szCs w:val="15"/>
          <w:color w:val="auto"/>
        </w:rPr>
        <w:t xml:space="preserve">We do not believe a 10% change in these currencies on December 31, 2021, would have had a material effect on our results of operations or financial condition. </w:t>
      </w:r>
      <w:r>
        <w:rPr>
          <w:rFonts w:ascii="Arial" w:cs="Arial" w:eastAsia="Arial" w:hAnsi="Arial"/>
          <w:sz w:val="15"/>
          <w:szCs w:val="15"/>
          <w:i w:val="1"/>
          <w:iCs w:val="1"/>
          <w:color w:val="auto"/>
        </w:rPr>
        <w:t>Inflation Risk</w:t>
      </w:r>
    </w:p>
    <w:p>
      <w:pPr>
        <w:spacing w:after="0" w:line="1" w:lineRule="exact"/>
        <w:rPr>
          <w:sz w:val="20"/>
          <w:szCs w:val="20"/>
          <w:color w:val="auto"/>
        </w:rPr>
      </w:pPr>
    </w:p>
    <w:p>
      <w:pPr>
        <w:ind w:right="480" w:firstLine="751"/>
        <w:spacing w:after="0" w:line="232" w:lineRule="auto"/>
        <w:rPr>
          <w:sz w:val="20"/>
          <w:szCs w:val="20"/>
          <w:color w:val="auto"/>
        </w:rPr>
      </w:pPr>
      <w:r>
        <w:rPr>
          <w:rFonts w:ascii="Arial" w:cs="Arial" w:eastAsia="Arial" w:hAnsi="Arial"/>
          <w:sz w:val="15"/>
          <w:szCs w:val="15"/>
          <w:color w:val="auto"/>
        </w:rPr>
        <w:t>Inflation generally affects us by increasing our cost of labor and pricing of contracts. We do not believe that inflation has had a material effect on our business, financial condition, or results of operations during the year ended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Our consolidated financial statements and the notes thereto, included in Part IV, Item 15(a), part 1, are incorporated by reference into this Item 8.</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11" w:name="page112"/>
    <w:bookmarkEnd w:id="11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w:t>
      </w:r>
    </w:p>
    <w:p>
      <w:pPr>
        <w:spacing w:after="0" w:line="174" w:lineRule="exact"/>
        <w:rPr>
          <w:sz w:val="20"/>
          <w:szCs w:val="20"/>
          <w:color w:val="auto"/>
        </w:rPr>
      </w:pPr>
    </w:p>
    <w:p>
      <w:pPr>
        <w:jc w:val="center"/>
        <w:ind w:right="9360"/>
        <w:spacing w:after="0"/>
        <w:rPr>
          <w:sz w:val="20"/>
          <w:szCs w:val="20"/>
          <w:color w:val="auto"/>
        </w:rPr>
      </w:pPr>
      <w:r>
        <w:rPr>
          <w:rFonts w:ascii="Arial" w:cs="Arial" w:eastAsia="Arial" w:hAnsi="Arial"/>
          <w:sz w:val="15"/>
          <w:szCs w:val="15"/>
          <w:b w:val="1"/>
          <w:bCs w:val="1"/>
          <w:color w:val="auto"/>
        </w:rPr>
        <w:t>FINANCIAL DISCLOSURE.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78" w:lineRule="exact"/>
        <w:rPr>
          <w:sz w:val="20"/>
          <w:szCs w:val="20"/>
          <w:color w:val="auto"/>
        </w:rPr>
      </w:pPr>
    </w:p>
    <w:p>
      <w:pPr>
        <w:ind w:firstLine="751"/>
        <w:spacing w:after="0" w:line="276" w:lineRule="auto"/>
        <w:rPr>
          <w:sz w:val="20"/>
          <w:szCs w:val="20"/>
          <w:color w:val="auto"/>
        </w:rPr>
      </w:pPr>
      <w:r>
        <w:rPr>
          <w:rFonts w:ascii="Arial" w:cs="Arial" w:eastAsia="Arial" w:hAnsi="Arial"/>
          <w:sz w:val="13"/>
          <w:szCs w:val="13"/>
          <w:i w:val="1"/>
          <w:iCs w:val="1"/>
          <w:color w:val="auto"/>
        </w:rPr>
        <w:t xml:space="preserve">Evaluation of Disclosure Controls and Procedures. </w:t>
      </w:r>
      <w:r>
        <w:rPr>
          <w:rFonts w:ascii="Arial" w:cs="Arial" w:eastAsia="Arial" w:hAnsi="Arial"/>
          <w:sz w:val="13"/>
          <w:szCs w:val="13"/>
          <w:color w:val="auto"/>
        </w:rPr>
        <w:t>Our management, with the participation of our principal executive officer and principal financial officer, evaluated the</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effectiveness of our disclosure controls and procedures as of December 31, 2021.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principal executive officer and principal financial officer concluded that, as of such date, our disclosure controls and procedures were effective.</w:t>
      </w:r>
    </w:p>
    <w:p>
      <w:pPr>
        <w:spacing w:after="0" w:line="139" w:lineRule="exact"/>
        <w:rPr>
          <w:sz w:val="20"/>
          <w:szCs w:val="20"/>
          <w:color w:val="auto"/>
        </w:rPr>
      </w:pPr>
    </w:p>
    <w:p>
      <w:pPr>
        <w:ind w:right="80" w:firstLine="751"/>
        <w:spacing w:after="0" w:line="238" w:lineRule="auto"/>
        <w:rPr>
          <w:sz w:val="20"/>
          <w:szCs w:val="20"/>
          <w:color w:val="auto"/>
        </w:rPr>
      </w:pPr>
      <w:r>
        <w:rPr>
          <w:rFonts w:ascii="Arial" w:cs="Arial" w:eastAsia="Arial" w:hAnsi="Arial"/>
          <w:sz w:val="15"/>
          <w:szCs w:val="15"/>
          <w:i w:val="1"/>
          <w:iCs w:val="1"/>
          <w:color w:val="auto"/>
        </w:rPr>
        <w:t xml:space="preserve">Management’s Annual Report on Internal Controls over Financial Reporting. </w:t>
      </w:r>
      <w:r>
        <w:rPr>
          <w:rFonts w:ascii="Arial" w:cs="Arial" w:eastAsia="Arial" w:hAnsi="Arial"/>
          <w:sz w:val="15"/>
          <w:szCs w:val="15"/>
          <w:color w:val="auto"/>
        </w:rPr>
        <w:t>Our management is responsible for establishing and maintaining adequate internal controls over</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reporting (as defined in Rule 13a-15(f) or Rule 15d-15(f) under the Exchange Act). Our management assessed the effectiveness of our internal controls over financial reporting as of December 31, 2021. In making this assessment, our management used the criteria established in Internal Control – Integrated Framework (2013) issued by the Committee of Sponsoring Organizations of the Treadway Commission, or COSO Framework. Our management has concluded that, as of December 31, 2021, our internal control over financial reporting was effective based on these criteria.</w:t>
      </w:r>
    </w:p>
    <w:p>
      <w:pPr>
        <w:spacing w:after="0" w:line="161" w:lineRule="exact"/>
        <w:rPr>
          <w:sz w:val="20"/>
          <w:szCs w:val="20"/>
          <w:color w:val="auto"/>
        </w:rPr>
      </w:pPr>
    </w:p>
    <w:p>
      <w:pPr>
        <w:ind w:right="80" w:firstLine="751"/>
        <w:spacing w:after="0" w:line="255" w:lineRule="auto"/>
        <w:rPr>
          <w:sz w:val="20"/>
          <w:szCs w:val="20"/>
          <w:color w:val="auto"/>
        </w:rPr>
      </w:pPr>
      <w:r>
        <w:rPr>
          <w:rFonts w:ascii="Arial" w:cs="Arial" w:eastAsia="Arial" w:hAnsi="Arial"/>
          <w:sz w:val="15"/>
          <w:szCs w:val="15"/>
          <w:color w:val="auto"/>
        </w:rPr>
        <w:t>The independent registered public accounting firm, Ernst &amp; Young LLP, has issued an attestation report on our internal control over financial reporting. The report on the audit of internal control over financial reporting is included in this Annual Report on Form 10 K.</w:t>
      </w:r>
    </w:p>
    <w:p>
      <w:pPr>
        <w:spacing w:after="0" w:line="147" w:lineRule="exact"/>
        <w:rPr>
          <w:sz w:val="20"/>
          <w:szCs w:val="20"/>
          <w:color w:val="auto"/>
        </w:rPr>
      </w:pPr>
    </w:p>
    <w:p>
      <w:pPr>
        <w:ind w:right="120" w:firstLine="751"/>
        <w:spacing w:after="0" w:line="238" w:lineRule="auto"/>
        <w:rPr>
          <w:sz w:val="20"/>
          <w:szCs w:val="20"/>
          <w:color w:val="auto"/>
        </w:rPr>
      </w:pPr>
      <w:r>
        <w:rPr>
          <w:rFonts w:ascii="Arial" w:cs="Arial" w:eastAsia="Arial" w:hAnsi="Arial"/>
          <w:sz w:val="15"/>
          <w:szCs w:val="15"/>
          <w:i w:val="1"/>
          <w:iCs w:val="1"/>
          <w:color w:val="auto"/>
        </w:rPr>
        <w:t xml:space="preserve">Inherent Limitations on Effectiveness of Controls. </w:t>
      </w:r>
      <w:r>
        <w:rPr>
          <w:rFonts w:ascii="Arial" w:cs="Arial" w:eastAsia="Arial" w:hAnsi="Arial"/>
          <w:sz w:val="15"/>
          <w:szCs w:val="15"/>
          <w:color w:val="auto"/>
        </w:rPr>
        <w:t>Our management, including our principal executive officer and principal financial officer, does not expect that our internal</w:t>
      </w:r>
      <w:r>
        <w:rPr>
          <w:rFonts w:ascii="Arial" w:cs="Arial" w:eastAsia="Arial" w:hAnsi="Arial"/>
          <w:sz w:val="15"/>
          <w:szCs w:val="15"/>
          <w:i w:val="1"/>
          <w:iCs w:val="1"/>
          <w:color w:val="auto"/>
        </w:rPr>
        <w:t xml:space="preserve"> </w:t>
      </w:r>
      <w:r>
        <w:rPr>
          <w:rFonts w:ascii="Arial" w:cs="Arial" w:eastAsia="Arial" w:hAnsi="Arial"/>
          <w:sz w:val="15"/>
          <w:szCs w:val="15"/>
          <w:color w:val="auto"/>
        </w:rPr>
        <w:t>controls over financial reporting and procedures will prevent all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61" w:lineRule="exact"/>
        <w:rPr>
          <w:sz w:val="20"/>
          <w:szCs w:val="20"/>
          <w:color w:val="auto"/>
        </w:rPr>
      </w:pPr>
    </w:p>
    <w:p>
      <w:pPr>
        <w:ind w:right="40" w:firstLine="751"/>
        <w:spacing w:after="0"/>
        <w:rPr>
          <w:sz w:val="20"/>
          <w:szCs w:val="20"/>
          <w:color w:val="auto"/>
        </w:rPr>
      </w:pPr>
      <w:r>
        <w:rPr>
          <w:rFonts w:ascii="Arial" w:cs="Arial" w:eastAsia="Arial" w:hAnsi="Arial"/>
          <w:sz w:val="15"/>
          <w:szCs w:val="15"/>
          <w:i w:val="1"/>
          <w:iCs w:val="1"/>
          <w:color w:val="auto"/>
        </w:rPr>
        <w:t xml:space="preserve">Changes in Internal Controls over Financial Reporting. </w:t>
      </w:r>
      <w:r>
        <w:rPr>
          <w:rFonts w:ascii="Arial" w:cs="Arial" w:eastAsia="Arial" w:hAnsi="Arial"/>
          <w:sz w:val="15"/>
          <w:szCs w:val="15"/>
          <w:color w:val="auto"/>
        </w:rPr>
        <w:t>During the third quarter of 2021, we implemented a new Enterprise Resource Planning system, or ERP system, which</w:t>
      </w:r>
      <w:r>
        <w:rPr>
          <w:rFonts w:ascii="Arial" w:cs="Arial" w:eastAsia="Arial" w:hAnsi="Arial"/>
          <w:sz w:val="15"/>
          <w:szCs w:val="15"/>
          <w:i w:val="1"/>
          <w:iCs w:val="1"/>
          <w:color w:val="auto"/>
        </w:rPr>
        <w:t xml:space="preserve"> </w:t>
      </w:r>
      <w:r>
        <w:rPr>
          <w:rFonts w:ascii="Arial" w:cs="Arial" w:eastAsia="Arial" w:hAnsi="Arial"/>
          <w:sz w:val="15"/>
          <w:szCs w:val="15"/>
          <w:color w:val="auto"/>
        </w:rPr>
        <w:t>replaced our existing core financial systems. The ERP system is designed to accurately maintain our financial records, enhance the flow of financial information, improve data management and user access security, and provide timely information to our management team. Changes to our general ledger and consolidated financial reporting have taken place during the third quarter of 2021.</w:t>
      </w:r>
    </w:p>
    <w:p>
      <w:pPr>
        <w:spacing w:after="0" w:line="159" w:lineRule="exact"/>
        <w:rPr>
          <w:sz w:val="20"/>
          <w:szCs w:val="20"/>
          <w:color w:val="auto"/>
        </w:rPr>
      </w:pPr>
    </w:p>
    <w:p>
      <w:pPr>
        <w:ind w:right="140" w:firstLine="751"/>
        <w:spacing w:after="0" w:line="255" w:lineRule="auto"/>
        <w:rPr>
          <w:sz w:val="20"/>
          <w:szCs w:val="20"/>
          <w:color w:val="auto"/>
        </w:rPr>
      </w:pPr>
      <w:r>
        <w:rPr>
          <w:rFonts w:ascii="Arial" w:cs="Arial" w:eastAsia="Arial" w:hAnsi="Arial"/>
          <w:sz w:val="15"/>
          <w:szCs w:val="15"/>
          <w:color w:val="auto"/>
        </w:rPr>
        <w:t>Except as described in the previous paragraph, there has been no change in our internal controls over financial reporting that occurred during the period covered by this report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None.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12" w:name="page113"/>
    <w:bookmarkEnd w:id="11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5"/>
          <w:szCs w:val="15"/>
          <w:b w:val="1"/>
          <w:bCs w:val="1"/>
          <w:color w:val="auto"/>
        </w:rPr>
        <w:t>PART III</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78" w:lineRule="exact"/>
        <w:rPr>
          <w:sz w:val="20"/>
          <w:szCs w:val="20"/>
          <w:color w:val="auto"/>
        </w:rPr>
      </w:pPr>
    </w:p>
    <w:p>
      <w:pPr>
        <w:ind w:firstLine="751"/>
        <w:spacing w:after="0" w:line="255" w:lineRule="auto"/>
        <w:rPr>
          <w:sz w:val="20"/>
          <w:szCs w:val="20"/>
          <w:color w:val="auto"/>
        </w:rPr>
      </w:pPr>
      <w:r>
        <w:rPr>
          <w:rFonts w:ascii="Arial" w:cs="Arial" w:eastAsia="Arial" w:hAnsi="Arial"/>
          <w:sz w:val="15"/>
          <w:szCs w:val="15"/>
          <w:color w:val="auto"/>
        </w:rPr>
        <w:t>The information required by this Item is incorporated herein by reference from our Proxy Statement for our 2022 Annual Meeting of Stockholders or will be included in an amendment to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78" w:lineRule="exact"/>
        <w:rPr>
          <w:sz w:val="20"/>
          <w:szCs w:val="20"/>
          <w:color w:val="auto"/>
        </w:rPr>
      </w:pPr>
    </w:p>
    <w:p>
      <w:pPr>
        <w:ind w:firstLine="751"/>
        <w:spacing w:after="0" w:line="255" w:lineRule="auto"/>
        <w:rPr>
          <w:sz w:val="20"/>
          <w:szCs w:val="20"/>
          <w:color w:val="auto"/>
        </w:rPr>
      </w:pPr>
      <w:r>
        <w:rPr>
          <w:rFonts w:ascii="Arial" w:cs="Arial" w:eastAsia="Arial" w:hAnsi="Arial"/>
          <w:sz w:val="15"/>
          <w:szCs w:val="15"/>
          <w:color w:val="auto"/>
        </w:rPr>
        <w:t>The information required by this Item is incorporated herein by reference from our Proxy Statement for our 2022 Annual Meeting of Stockholders or will be included in an amendment to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178" w:lineRule="exact"/>
        <w:rPr>
          <w:sz w:val="20"/>
          <w:szCs w:val="20"/>
          <w:color w:val="auto"/>
        </w:rPr>
      </w:pPr>
    </w:p>
    <w:p>
      <w:pPr>
        <w:ind w:firstLine="751"/>
        <w:spacing w:after="0" w:line="255" w:lineRule="auto"/>
        <w:rPr>
          <w:sz w:val="20"/>
          <w:szCs w:val="20"/>
          <w:color w:val="auto"/>
        </w:rPr>
      </w:pPr>
      <w:r>
        <w:rPr>
          <w:rFonts w:ascii="Arial" w:cs="Arial" w:eastAsia="Arial" w:hAnsi="Arial"/>
          <w:sz w:val="15"/>
          <w:szCs w:val="15"/>
          <w:color w:val="auto"/>
        </w:rPr>
        <w:t>The information required by this Item is incorporated herein by reference from our Proxy Statement for our 2022 Annual Meeting of Stockholders or will be included in an amendment to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178" w:lineRule="exact"/>
        <w:rPr>
          <w:sz w:val="20"/>
          <w:szCs w:val="20"/>
          <w:color w:val="auto"/>
        </w:rPr>
      </w:pPr>
    </w:p>
    <w:p>
      <w:pPr>
        <w:ind w:firstLine="751"/>
        <w:spacing w:after="0" w:line="255" w:lineRule="auto"/>
        <w:rPr>
          <w:sz w:val="20"/>
          <w:szCs w:val="20"/>
          <w:color w:val="auto"/>
        </w:rPr>
      </w:pPr>
      <w:r>
        <w:rPr>
          <w:rFonts w:ascii="Arial" w:cs="Arial" w:eastAsia="Arial" w:hAnsi="Arial"/>
          <w:sz w:val="15"/>
          <w:szCs w:val="15"/>
          <w:color w:val="auto"/>
        </w:rPr>
        <w:t>The information required by this Item is incorporated herein by reference from our Proxy Statement for our 2022 Annual Meeting of Stockholders or will be included in an amendment to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178" w:lineRule="exact"/>
        <w:rPr>
          <w:sz w:val="20"/>
          <w:szCs w:val="20"/>
          <w:color w:val="auto"/>
        </w:rPr>
      </w:pPr>
    </w:p>
    <w:p>
      <w:pPr>
        <w:ind w:firstLine="751"/>
        <w:spacing w:after="0" w:line="255" w:lineRule="auto"/>
        <w:rPr>
          <w:sz w:val="20"/>
          <w:szCs w:val="20"/>
          <w:color w:val="auto"/>
        </w:rPr>
      </w:pPr>
      <w:r>
        <w:rPr>
          <w:rFonts w:ascii="Arial" w:cs="Arial" w:eastAsia="Arial" w:hAnsi="Arial"/>
          <w:sz w:val="15"/>
          <w:szCs w:val="15"/>
          <w:color w:val="auto"/>
        </w:rPr>
        <w:t>The information required by this Item is incorporated herein by reference from our Proxy Statement for our 2022 Annual Meeting of Stockholders or will be included in an amendment to this Annual Report on Form 10-K.</w:t>
      </w:r>
    </w:p>
    <w:p>
      <w:pPr>
        <w:spacing w:after="0" w:line="147"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0960"/>
          </w:cols>
          <w:pgMar w:left="300" w:top="124" w:right="639" w:bottom="1440" w:gutter="0" w:footer="0" w:header="0"/>
        </w:sectPr>
      </w:pPr>
    </w:p>
    <w:bookmarkStart w:id="113" w:name="page114"/>
    <w:bookmarkEnd w:id="11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20" w:type="dxa"/>
            <w:vAlign w:val="bottom"/>
            <w:gridSpan w:val="4"/>
          </w:tcPr>
          <w:p>
            <w:pPr>
              <w:ind w:left="1400"/>
              <w:spacing w:after="0"/>
              <w:rPr>
                <w:sz w:val="20"/>
                <w:szCs w:val="20"/>
                <w:color w:val="auto"/>
              </w:rPr>
            </w:pPr>
            <w:r>
              <w:rPr>
                <w:rFonts w:ascii="Arial" w:cs="Arial" w:eastAsia="Arial" w:hAnsi="Arial"/>
                <w:sz w:val="15"/>
                <w:szCs w:val="15"/>
                <w:b w:val="1"/>
                <w:bCs w:val="1"/>
                <w:color w:val="auto"/>
              </w:rPr>
              <w:t>PART IV</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46"/>
        </w:trPr>
        <w:tc>
          <w:tcPr>
            <w:tcW w:w="10760" w:type="dxa"/>
            <w:vAlign w:val="bottom"/>
            <w:gridSpan w:val="9"/>
          </w:tcPr>
          <w:p>
            <w:pPr>
              <w:spacing w:after="0"/>
              <w:rPr>
                <w:sz w:val="20"/>
                <w:szCs w:val="20"/>
                <w:color w:val="auto"/>
              </w:rPr>
            </w:pPr>
            <w:r>
              <w:rPr>
                <w:rFonts w:ascii="Arial" w:cs="Arial" w:eastAsia="Arial" w:hAnsi="Arial"/>
                <w:sz w:val="15"/>
                <w:szCs w:val="15"/>
                <w:b w:val="1"/>
                <w:bCs w:val="1"/>
                <w:color w:val="auto"/>
              </w:rPr>
              <w:t>ITEM 15. EXHIBITS and FINANCIAL STATEMENT SCHEDULES.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6"/>
        </w:trPr>
        <w:tc>
          <w:tcPr>
            <w:tcW w:w="8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15"/>
                <w:szCs w:val="15"/>
                <w:b w:val="1"/>
                <w:bCs w:val="1"/>
                <w:color w:val="auto"/>
              </w:rPr>
              <w:t>(a)1.</w:t>
            </w:r>
          </w:p>
        </w:tc>
        <w:tc>
          <w:tcPr>
            <w:tcW w:w="10040" w:type="dxa"/>
            <w:vAlign w:val="bottom"/>
            <w:gridSpan w:val="7"/>
          </w:tcPr>
          <w:p>
            <w:pPr>
              <w:ind w:left="140"/>
              <w:spacing w:after="0"/>
              <w:rPr>
                <w:sz w:val="20"/>
                <w:szCs w:val="20"/>
                <w:color w:val="auto"/>
              </w:rPr>
            </w:pPr>
            <w:r>
              <w:rPr>
                <w:rFonts w:ascii="Arial" w:cs="Arial" w:eastAsia="Arial" w:hAnsi="Arial"/>
                <w:sz w:val="15"/>
                <w:szCs w:val="15"/>
                <w:b w:val="1"/>
                <w:bCs w:val="1"/>
                <w:color w:val="auto"/>
              </w:rPr>
              <w:t>Consolidated Financial Statements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6"/>
        </w:trPr>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40" w:type="dxa"/>
            <w:vAlign w:val="bottom"/>
            <w:gridSpan w:val="7"/>
          </w:tcPr>
          <w:p>
            <w:pPr>
              <w:ind w:left="40"/>
              <w:spacing w:after="0"/>
              <w:rPr>
                <w:sz w:val="20"/>
                <w:szCs w:val="20"/>
                <w:color w:val="auto"/>
              </w:rPr>
            </w:pPr>
            <w:r>
              <w:rPr>
                <w:rFonts w:ascii="Arial" w:cs="Arial" w:eastAsia="Arial" w:hAnsi="Arial"/>
                <w:sz w:val="15"/>
                <w:szCs w:val="15"/>
                <w:color w:val="auto"/>
              </w:rPr>
              <w:t>The following consolidated financial statements of Axsome Therapeutics, Inc. are filed as part of this report.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03"/>
        </w:trPr>
        <w:tc>
          <w:tcPr>
            <w:tcW w:w="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5"/>
                <w:szCs w:val="15"/>
                <w:b w:val="1"/>
                <w:bCs w:val="1"/>
                <w:color w:val="auto"/>
                <w:w w:val="95"/>
              </w:rPr>
              <w:t>Contents</w:t>
            </w:r>
          </w:p>
        </w:tc>
        <w:tc>
          <w:tcPr>
            <w:tcW w:w="2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5"/>
                <w:szCs w:val="15"/>
                <w:b w:val="1"/>
                <w:bCs w:val="1"/>
                <w:color w:val="auto"/>
              </w:rPr>
              <w:t>Page</w:t>
            </w:r>
          </w:p>
        </w:tc>
      </w:tr>
      <w:tr>
        <w:trPr>
          <w:trHeight w:val="20"/>
        </w:trPr>
        <w:tc>
          <w:tcPr>
            <w:tcW w:w="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9"/>
        </w:trPr>
        <w:tc>
          <w:tcPr>
            <w:tcW w:w="80" w:type="dxa"/>
            <w:vAlign w:val="bottom"/>
          </w:tcPr>
          <w:p>
            <w:pPr>
              <w:spacing w:after="0"/>
              <w:rPr>
                <w:sz w:val="22"/>
                <w:szCs w:val="22"/>
                <w:color w:val="auto"/>
              </w:rPr>
            </w:pPr>
          </w:p>
        </w:tc>
        <w:tc>
          <w:tcPr>
            <w:tcW w:w="10680" w:type="dxa"/>
            <w:vAlign w:val="bottom"/>
            <w:gridSpan w:val="8"/>
          </w:tcPr>
          <w:p>
            <w:pPr>
              <w:spacing w:after="0"/>
              <w:rPr>
                <w:rFonts w:ascii="Arial" w:cs="Arial" w:eastAsia="Arial" w:hAnsi="Arial"/>
                <w:sz w:val="15"/>
                <w:szCs w:val="15"/>
                <w:color w:val="auto"/>
              </w:rPr>
            </w:pPr>
            <w:hyperlink w:anchor="page116">
              <w:r>
                <w:rPr>
                  <w:rFonts w:ascii="Arial" w:cs="Arial" w:eastAsia="Arial" w:hAnsi="Arial"/>
                  <w:sz w:val="15"/>
                  <w:szCs w:val="15"/>
                  <w:color w:val="auto"/>
                </w:rPr>
                <w:t xml:space="preserve">Reports of Independent Registered Public Accounting Firm </w:t>
              </w:r>
            </w:hyperlink>
            <w:r>
              <w:rPr>
                <w:rFonts w:ascii="Arial" w:cs="Arial" w:eastAsia="Arial" w:hAnsi="Arial"/>
                <w:sz w:val="15"/>
                <w:szCs w:val="15"/>
                <w:color w:val="auto"/>
              </w:rPr>
              <w:t>(PCAOB ID: 42)</w:t>
            </w:r>
          </w:p>
        </w:tc>
        <w:tc>
          <w:tcPr>
            <w:tcW w:w="440" w:type="dxa"/>
            <w:vAlign w:val="bottom"/>
            <w:gridSpan w:val="2"/>
          </w:tcPr>
          <w:p>
            <w:pPr>
              <w:ind w:left="240"/>
              <w:spacing w:after="0"/>
              <w:rPr>
                <w:sz w:val="20"/>
                <w:szCs w:val="20"/>
                <w:color w:val="auto"/>
              </w:rPr>
            </w:pPr>
            <w:r>
              <w:rPr>
                <w:rFonts w:ascii="Arial" w:cs="Arial" w:eastAsia="Arial" w:hAnsi="Arial"/>
                <w:sz w:val="15"/>
                <w:szCs w:val="15"/>
                <w:color w:val="auto"/>
                <w:w w:val="79"/>
              </w:rPr>
              <w:t>F-1</w:t>
            </w:r>
          </w:p>
        </w:tc>
      </w:tr>
      <w:tr>
        <w:trPr>
          <w:trHeight w:val="20"/>
        </w:trPr>
        <w:tc>
          <w:tcPr>
            <w:tcW w:w="8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59"/>
        </w:trPr>
        <w:tc>
          <w:tcPr>
            <w:tcW w:w="80" w:type="dxa"/>
            <w:vAlign w:val="bottom"/>
          </w:tcPr>
          <w:p>
            <w:pPr>
              <w:spacing w:after="0"/>
              <w:rPr>
                <w:sz w:val="22"/>
                <w:szCs w:val="22"/>
                <w:color w:val="auto"/>
              </w:rPr>
            </w:pPr>
          </w:p>
        </w:tc>
        <w:tc>
          <w:tcPr>
            <w:tcW w:w="3860" w:type="dxa"/>
            <w:vAlign w:val="bottom"/>
            <w:tcBorders>
              <w:bottom w:val="single" w:sz="8" w:color="0000EE"/>
            </w:tcBorders>
            <w:gridSpan w:val="4"/>
          </w:tcPr>
          <w:p>
            <w:pPr>
              <w:spacing w:after="0"/>
              <w:rPr>
                <w:rFonts w:ascii="Arial" w:cs="Arial" w:eastAsia="Arial" w:hAnsi="Arial"/>
                <w:sz w:val="15"/>
                <w:szCs w:val="15"/>
                <w:color w:val="auto"/>
                <w:w w:val="88"/>
              </w:rPr>
            </w:pPr>
            <w:hyperlink w:anchor="page120">
              <w:r>
                <w:rPr>
                  <w:rFonts w:ascii="Arial" w:cs="Arial" w:eastAsia="Arial" w:hAnsi="Arial"/>
                  <w:sz w:val="15"/>
                  <w:szCs w:val="15"/>
                  <w:color w:val="auto"/>
                  <w:w w:val="88"/>
                </w:rPr>
                <w:t>Consolidated Balance Sheets as of December 31, 2021 and 2020</w:t>
              </w:r>
            </w:hyperlink>
          </w:p>
        </w:tc>
        <w:tc>
          <w:tcPr>
            <w:tcW w:w="6820" w:type="dxa"/>
            <w:vAlign w:val="bottom"/>
            <w:gridSpan w:val="4"/>
          </w:tcPr>
          <w:p>
            <w:pPr>
              <w:spacing w:after="0"/>
              <w:rPr>
                <w:sz w:val="22"/>
                <w:szCs w:val="22"/>
                <w:color w:val="auto"/>
              </w:rPr>
            </w:pPr>
          </w:p>
        </w:tc>
        <w:tc>
          <w:tcPr>
            <w:tcW w:w="440" w:type="dxa"/>
            <w:vAlign w:val="bottom"/>
            <w:gridSpan w:val="2"/>
          </w:tcPr>
          <w:p>
            <w:pPr>
              <w:ind w:left="240"/>
              <w:spacing w:after="0"/>
              <w:rPr>
                <w:sz w:val="20"/>
                <w:szCs w:val="20"/>
                <w:color w:val="auto"/>
              </w:rPr>
            </w:pPr>
            <w:r>
              <w:rPr>
                <w:rFonts w:ascii="Arial" w:cs="Arial" w:eastAsia="Arial" w:hAnsi="Arial"/>
                <w:sz w:val="15"/>
                <w:szCs w:val="15"/>
                <w:color w:val="auto"/>
                <w:w w:val="79"/>
              </w:rPr>
              <w:t>F-5</w:t>
            </w:r>
          </w:p>
        </w:tc>
      </w:tr>
      <w:tr>
        <w:trPr>
          <w:trHeight w:val="259"/>
        </w:trPr>
        <w:tc>
          <w:tcPr>
            <w:tcW w:w="80" w:type="dxa"/>
            <w:vAlign w:val="bottom"/>
          </w:tcPr>
          <w:p>
            <w:pPr>
              <w:spacing w:after="0"/>
              <w:rPr>
                <w:sz w:val="22"/>
                <w:szCs w:val="22"/>
                <w:color w:val="auto"/>
              </w:rPr>
            </w:pPr>
          </w:p>
        </w:tc>
        <w:tc>
          <w:tcPr>
            <w:tcW w:w="5760" w:type="dxa"/>
            <w:vAlign w:val="bottom"/>
            <w:tcBorders>
              <w:bottom w:val="single" w:sz="8" w:color="0000EE"/>
            </w:tcBorders>
            <w:gridSpan w:val="5"/>
          </w:tcPr>
          <w:p>
            <w:pPr>
              <w:spacing w:after="0"/>
              <w:rPr>
                <w:rFonts w:ascii="Arial" w:cs="Arial" w:eastAsia="Arial" w:hAnsi="Arial"/>
                <w:sz w:val="15"/>
                <w:szCs w:val="15"/>
                <w:color w:val="auto"/>
                <w:w w:val="88"/>
              </w:rPr>
            </w:pPr>
            <w:hyperlink w:anchor="page121">
              <w:r>
                <w:rPr>
                  <w:rFonts w:ascii="Arial" w:cs="Arial" w:eastAsia="Arial" w:hAnsi="Arial"/>
                  <w:sz w:val="15"/>
                  <w:szCs w:val="15"/>
                  <w:color w:val="auto"/>
                  <w:w w:val="88"/>
                </w:rPr>
                <w:t>Consolidated Statements of Operations for the Years Ended December 31, 2021, 2020, and 2019</w:t>
              </w:r>
            </w:hyperlink>
          </w:p>
        </w:tc>
        <w:tc>
          <w:tcPr>
            <w:tcW w:w="4920" w:type="dxa"/>
            <w:vAlign w:val="bottom"/>
            <w:gridSpan w:val="3"/>
          </w:tcPr>
          <w:p>
            <w:pPr>
              <w:spacing w:after="0"/>
              <w:rPr>
                <w:sz w:val="22"/>
                <w:szCs w:val="22"/>
                <w:color w:val="auto"/>
              </w:rPr>
            </w:pPr>
          </w:p>
        </w:tc>
        <w:tc>
          <w:tcPr>
            <w:tcW w:w="440" w:type="dxa"/>
            <w:vAlign w:val="bottom"/>
            <w:gridSpan w:val="2"/>
          </w:tcPr>
          <w:p>
            <w:pPr>
              <w:ind w:left="240"/>
              <w:spacing w:after="0"/>
              <w:rPr>
                <w:sz w:val="20"/>
                <w:szCs w:val="20"/>
                <w:color w:val="auto"/>
              </w:rPr>
            </w:pPr>
            <w:r>
              <w:rPr>
                <w:rFonts w:ascii="Arial" w:cs="Arial" w:eastAsia="Arial" w:hAnsi="Arial"/>
                <w:sz w:val="15"/>
                <w:szCs w:val="15"/>
                <w:color w:val="auto"/>
                <w:w w:val="79"/>
              </w:rPr>
              <w:t>F-6</w:t>
            </w:r>
          </w:p>
        </w:tc>
      </w:tr>
      <w:tr>
        <w:trPr>
          <w:trHeight w:val="259"/>
        </w:trPr>
        <w:tc>
          <w:tcPr>
            <w:tcW w:w="80" w:type="dxa"/>
            <w:vAlign w:val="bottom"/>
          </w:tcPr>
          <w:p>
            <w:pPr>
              <w:spacing w:after="0"/>
              <w:rPr>
                <w:sz w:val="22"/>
                <w:szCs w:val="22"/>
                <w:color w:val="auto"/>
              </w:rPr>
            </w:pPr>
          </w:p>
        </w:tc>
        <w:tc>
          <w:tcPr>
            <w:tcW w:w="10680" w:type="dxa"/>
            <w:vAlign w:val="bottom"/>
            <w:gridSpan w:val="8"/>
          </w:tcPr>
          <w:p>
            <w:pPr>
              <w:spacing w:after="0"/>
              <w:rPr>
                <w:rFonts w:ascii="Arial" w:cs="Arial" w:eastAsia="Arial" w:hAnsi="Arial"/>
                <w:sz w:val="15"/>
                <w:szCs w:val="15"/>
                <w:color w:val="auto"/>
              </w:rPr>
            </w:pPr>
            <w:hyperlink w:anchor="page122">
              <w:r>
                <w:rPr>
                  <w:rFonts w:ascii="Arial" w:cs="Arial" w:eastAsia="Arial" w:hAnsi="Arial"/>
                  <w:sz w:val="15"/>
                  <w:szCs w:val="15"/>
                  <w:color w:val="auto"/>
                </w:rPr>
                <w:t>Consolidated Statements of Stockholders’ Equity for the Years Ended December 31, 2021, 2020, and 2019</w:t>
              </w:r>
            </w:hyperlink>
          </w:p>
        </w:tc>
        <w:tc>
          <w:tcPr>
            <w:tcW w:w="440" w:type="dxa"/>
            <w:vAlign w:val="bottom"/>
            <w:gridSpan w:val="2"/>
          </w:tcPr>
          <w:p>
            <w:pPr>
              <w:ind w:left="240"/>
              <w:spacing w:after="0"/>
              <w:rPr>
                <w:sz w:val="20"/>
                <w:szCs w:val="20"/>
                <w:color w:val="auto"/>
              </w:rPr>
            </w:pPr>
            <w:r>
              <w:rPr>
                <w:rFonts w:ascii="Arial" w:cs="Arial" w:eastAsia="Arial" w:hAnsi="Arial"/>
                <w:sz w:val="15"/>
                <w:szCs w:val="15"/>
                <w:color w:val="auto"/>
                <w:w w:val="79"/>
              </w:rPr>
              <w:t>F-7</w:t>
            </w:r>
          </w:p>
        </w:tc>
      </w:tr>
      <w:tr>
        <w:trPr>
          <w:trHeight w:val="259"/>
        </w:trPr>
        <w:tc>
          <w:tcPr>
            <w:tcW w:w="80" w:type="dxa"/>
            <w:vAlign w:val="bottom"/>
          </w:tcPr>
          <w:p>
            <w:pPr>
              <w:spacing w:after="0"/>
              <w:rPr>
                <w:sz w:val="22"/>
                <w:szCs w:val="22"/>
                <w:color w:val="auto"/>
              </w:rPr>
            </w:pPr>
          </w:p>
        </w:tc>
        <w:tc>
          <w:tcPr>
            <w:tcW w:w="6360" w:type="dxa"/>
            <w:vAlign w:val="bottom"/>
            <w:tcBorders>
              <w:top w:val="single" w:sz="8" w:color="0000EE"/>
            </w:tcBorders>
            <w:gridSpan w:val="7"/>
          </w:tcPr>
          <w:p>
            <w:pPr>
              <w:spacing w:after="0"/>
              <w:rPr>
                <w:rFonts w:ascii="Arial" w:cs="Arial" w:eastAsia="Arial" w:hAnsi="Arial"/>
                <w:sz w:val="15"/>
                <w:szCs w:val="15"/>
                <w:color w:val="auto"/>
                <w:w w:val="97"/>
              </w:rPr>
            </w:pPr>
            <w:hyperlink w:anchor="page123">
              <w:r>
                <w:rPr>
                  <w:rFonts w:ascii="Arial" w:cs="Arial" w:eastAsia="Arial" w:hAnsi="Arial"/>
                  <w:sz w:val="15"/>
                  <w:szCs w:val="15"/>
                  <w:color w:val="auto"/>
                  <w:w w:val="97"/>
                </w:rPr>
                <w:t>Consolidated Statements of Cash Flows for the Years Ended December 31, 2021, 2020, and 2019</w:t>
              </w:r>
            </w:hyperlink>
          </w:p>
        </w:tc>
        <w:tc>
          <w:tcPr>
            <w:tcW w:w="4320" w:type="dxa"/>
            <w:vAlign w:val="bottom"/>
          </w:tcPr>
          <w:p>
            <w:pPr>
              <w:spacing w:after="0"/>
              <w:rPr>
                <w:sz w:val="22"/>
                <w:szCs w:val="22"/>
                <w:color w:val="auto"/>
              </w:rPr>
            </w:pPr>
          </w:p>
        </w:tc>
        <w:tc>
          <w:tcPr>
            <w:tcW w:w="440" w:type="dxa"/>
            <w:vAlign w:val="bottom"/>
            <w:gridSpan w:val="2"/>
          </w:tcPr>
          <w:p>
            <w:pPr>
              <w:ind w:left="240"/>
              <w:spacing w:after="0"/>
              <w:rPr>
                <w:sz w:val="20"/>
                <w:szCs w:val="20"/>
                <w:color w:val="auto"/>
              </w:rPr>
            </w:pPr>
            <w:r>
              <w:rPr>
                <w:rFonts w:ascii="Arial" w:cs="Arial" w:eastAsia="Arial" w:hAnsi="Arial"/>
                <w:sz w:val="15"/>
                <w:szCs w:val="15"/>
                <w:color w:val="auto"/>
                <w:w w:val="79"/>
              </w:rPr>
              <w:t>F-8</w:t>
            </w:r>
          </w:p>
        </w:tc>
      </w:tr>
      <w:tr>
        <w:trPr>
          <w:trHeight w:val="259"/>
        </w:trPr>
        <w:tc>
          <w:tcPr>
            <w:tcW w:w="80" w:type="dxa"/>
            <w:vAlign w:val="bottom"/>
          </w:tcPr>
          <w:p>
            <w:pPr>
              <w:spacing w:after="0"/>
              <w:rPr>
                <w:sz w:val="22"/>
                <w:szCs w:val="22"/>
                <w:color w:val="auto"/>
              </w:rPr>
            </w:pPr>
          </w:p>
        </w:tc>
        <w:tc>
          <w:tcPr>
            <w:tcW w:w="2880" w:type="dxa"/>
            <w:vAlign w:val="bottom"/>
            <w:tcBorders>
              <w:top w:val="single" w:sz="8" w:color="0000EE"/>
              <w:bottom w:val="single" w:sz="8" w:color="0000EE"/>
            </w:tcBorders>
            <w:gridSpan w:val="2"/>
          </w:tcPr>
          <w:p>
            <w:pPr>
              <w:spacing w:after="0"/>
              <w:rPr>
                <w:rFonts w:ascii="Arial" w:cs="Arial" w:eastAsia="Arial" w:hAnsi="Arial"/>
                <w:sz w:val="15"/>
                <w:szCs w:val="15"/>
                <w:color w:val="auto"/>
                <w:w w:val="90"/>
              </w:rPr>
            </w:pPr>
            <w:hyperlink w:anchor="page124">
              <w:r>
                <w:rPr>
                  <w:rFonts w:ascii="Arial" w:cs="Arial" w:eastAsia="Arial" w:hAnsi="Arial"/>
                  <w:sz w:val="15"/>
                  <w:szCs w:val="15"/>
                  <w:color w:val="auto"/>
                  <w:w w:val="90"/>
                </w:rPr>
                <w:t>Notes to the Consolidated Financial Statements</w:t>
              </w:r>
            </w:hyperlink>
          </w:p>
        </w:tc>
        <w:tc>
          <w:tcPr>
            <w:tcW w:w="2920" w:type="dxa"/>
            <w:vAlign w:val="bottom"/>
            <w:tcBorders>
              <w:top w:val="single" w:sz="8" w:color="0000EE"/>
            </w:tcBorders>
            <w:gridSpan w:val="4"/>
          </w:tcPr>
          <w:p>
            <w:pPr>
              <w:spacing w:after="0"/>
              <w:rPr>
                <w:sz w:val="22"/>
                <w:szCs w:val="22"/>
                <w:color w:val="auto"/>
              </w:rPr>
            </w:pPr>
          </w:p>
        </w:tc>
        <w:tc>
          <w:tcPr>
            <w:tcW w:w="4880" w:type="dxa"/>
            <w:vAlign w:val="bottom"/>
            <w:gridSpan w:val="2"/>
          </w:tcPr>
          <w:p>
            <w:pPr>
              <w:spacing w:after="0"/>
              <w:rPr>
                <w:sz w:val="22"/>
                <w:szCs w:val="22"/>
                <w:color w:val="auto"/>
              </w:rPr>
            </w:pPr>
          </w:p>
        </w:tc>
        <w:tc>
          <w:tcPr>
            <w:tcW w:w="440" w:type="dxa"/>
            <w:vAlign w:val="bottom"/>
            <w:gridSpan w:val="2"/>
          </w:tcPr>
          <w:p>
            <w:pPr>
              <w:ind w:left="240"/>
              <w:spacing w:after="0"/>
              <w:rPr>
                <w:sz w:val="20"/>
                <w:szCs w:val="20"/>
                <w:color w:val="auto"/>
              </w:rPr>
            </w:pPr>
            <w:r>
              <w:rPr>
                <w:rFonts w:ascii="Arial" w:cs="Arial" w:eastAsia="Arial" w:hAnsi="Arial"/>
                <w:sz w:val="15"/>
                <w:szCs w:val="15"/>
                <w:color w:val="auto"/>
                <w:w w:val="79"/>
              </w:rPr>
              <w:t>F-9</w:t>
            </w:r>
          </w:p>
        </w:tc>
      </w:tr>
    </w:tbl>
    <w:p>
      <w:pPr>
        <w:spacing w:after="0" w:line="198" w:lineRule="exact"/>
        <w:rPr>
          <w:sz w:val="20"/>
          <w:szCs w:val="20"/>
          <w:color w:val="auto"/>
        </w:rPr>
      </w:pPr>
    </w:p>
    <w:p>
      <w:pPr>
        <w:ind w:left="760"/>
        <w:spacing w:after="0"/>
        <w:tabs>
          <w:tab w:leader="none" w:pos="1040" w:val="left"/>
        </w:tabs>
        <w:rPr>
          <w:sz w:val="20"/>
          <w:szCs w:val="20"/>
          <w:color w:val="auto"/>
        </w:rPr>
      </w:pPr>
      <w:r>
        <w:rPr>
          <w:rFonts w:ascii="Arial" w:cs="Arial" w:eastAsia="Arial" w:hAnsi="Arial"/>
          <w:sz w:val="15"/>
          <w:szCs w:val="15"/>
          <w:b w:val="1"/>
          <w:bCs w:val="1"/>
          <w:color w:val="auto"/>
        </w:rPr>
        <w:t>2.</w:t>
        <w:tab/>
        <w:t>Consolidated Financial Statement Schedules</w:t>
      </w:r>
    </w:p>
    <w:p>
      <w:pPr>
        <w:spacing w:after="0" w:line="178" w:lineRule="exact"/>
        <w:rPr>
          <w:sz w:val="20"/>
          <w:szCs w:val="20"/>
          <w:color w:val="auto"/>
        </w:rPr>
      </w:pPr>
    </w:p>
    <w:p>
      <w:pPr>
        <w:ind w:right="160" w:firstLine="751"/>
        <w:spacing w:after="0" w:line="331" w:lineRule="auto"/>
        <w:rPr>
          <w:sz w:val="20"/>
          <w:szCs w:val="20"/>
          <w:color w:val="auto"/>
        </w:rPr>
      </w:pPr>
      <w:r>
        <w:rPr>
          <w:rFonts w:ascii="Arial" w:cs="Arial" w:eastAsia="Arial" w:hAnsi="Arial"/>
          <w:sz w:val="13"/>
          <w:szCs w:val="13"/>
          <w:color w:val="auto"/>
        </w:rPr>
        <w:t>The financial statement schedule entitled “Schedule II – Valuation and Qualifying Accounts” has been omitted since the information required is included in the consolidated financial statements and notes thereto. Other schedules are omitted because they are not applicable, or the required information is shown in the Financial Statements or notes thereto.</w:t>
      </w:r>
    </w:p>
    <w:p>
      <w:pPr>
        <w:spacing w:after="0" w:line="97" w:lineRule="exact"/>
        <w:rPr>
          <w:sz w:val="20"/>
          <w:szCs w:val="20"/>
          <w:color w:val="auto"/>
        </w:rPr>
      </w:pPr>
    </w:p>
    <w:p>
      <w:pPr>
        <w:ind w:left="1060" w:hanging="299"/>
        <w:spacing w:after="0"/>
        <w:tabs>
          <w:tab w:leader="none" w:pos="106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list of exhibits filed with this report is set forth in the Exhibit Index following the signature page and is incorporated herein by reference.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00"/>
          </w:cols>
          <w:pgMar w:left="300" w:top="124" w:right="399" w:bottom="1440" w:gutter="0" w:footer="0" w:header="0"/>
        </w:sectPr>
      </w:pPr>
    </w:p>
    <w:bookmarkStart w:id="114" w:name="page115"/>
    <w:bookmarkEnd w:id="11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Axsome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Page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3560" w:type="dxa"/>
            <w:vAlign w:val="bottom"/>
            <w:tcBorders>
              <w:bottom w:val="single" w:sz="8" w:color="0000EE"/>
            </w:tcBorders>
            <w:gridSpan w:val="2"/>
          </w:tcPr>
          <w:p>
            <w:pPr>
              <w:spacing w:after="0" w:line="159" w:lineRule="exact"/>
              <w:rPr>
                <w:rFonts w:ascii="Arial" w:cs="Arial" w:eastAsia="Arial" w:hAnsi="Arial"/>
                <w:sz w:val="15"/>
                <w:szCs w:val="15"/>
                <w:color w:val="auto"/>
                <w:w w:val="90"/>
              </w:rPr>
            </w:pPr>
            <w:hyperlink w:anchor="page116">
              <w:r>
                <w:rPr>
                  <w:rFonts w:ascii="Arial" w:cs="Arial" w:eastAsia="Arial" w:hAnsi="Arial"/>
                  <w:sz w:val="15"/>
                  <w:szCs w:val="15"/>
                  <w:color w:val="auto"/>
                  <w:w w:val="90"/>
                </w:rPr>
                <w:t>Reports of Independent Registered Public Accounting Firm</w:t>
              </w:r>
            </w:hyperlink>
          </w:p>
        </w:tc>
        <w:tc>
          <w:tcPr>
            <w:tcW w:w="7020" w:type="dxa"/>
            <w:vAlign w:val="bottom"/>
            <w:gridSpan w:val="5"/>
          </w:tcPr>
          <w:p>
            <w:pPr>
              <w:spacing w:after="0"/>
              <w:rPr>
                <w:sz w:val="13"/>
                <w:szCs w:val="13"/>
                <w:color w:val="auto"/>
              </w:rPr>
            </w:pPr>
          </w:p>
        </w:tc>
        <w:tc>
          <w:tcPr>
            <w:tcW w:w="640" w:type="dxa"/>
            <w:vAlign w:val="bottom"/>
            <w:gridSpan w:val="2"/>
          </w:tcPr>
          <w:p>
            <w:pPr>
              <w:ind w:left="380"/>
              <w:spacing w:after="0" w:line="159"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820" w:type="dxa"/>
            <w:vAlign w:val="bottom"/>
            <w:tcBorders>
              <w:bottom w:val="single" w:sz="8" w:color="0000EE"/>
            </w:tcBorders>
            <w:gridSpan w:val="3"/>
          </w:tcPr>
          <w:p>
            <w:pPr>
              <w:spacing w:after="0" w:line="148" w:lineRule="exact"/>
              <w:rPr>
                <w:rFonts w:ascii="Arial" w:cs="Arial" w:eastAsia="Arial" w:hAnsi="Arial"/>
                <w:sz w:val="15"/>
                <w:szCs w:val="15"/>
                <w:color w:val="auto"/>
                <w:w w:val="87"/>
              </w:rPr>
            </w:pPr>
            <w:hyperlink w:anchor="page120">
              <w:r>
                <w:rPr>
                  <w:rFonts w:ascii="Arial" w:cs="Arial" w:eastAsia="Arial" w:hAnsi="Arial"/>
                  <w:sz w:val="15"/>
                  <w:szCs w:val="15"/>
                  <w:color w:val="auto"/>
                  <w:w w:val="87"/>
                </w:rPr>
                <w:t>Consolidated Balance Sheets as of December 31, 2021and 2020</w:t>
              </w:r>
            </w:hyperlink>
          </w:p>
        </w:tc>
        <w:tc>
          <w:tcPr>
            <w:tcW w:w="6760" w:type="dxa"/>
            <w:vAlign w:val="bottom"/>
            <w:gridSpan w:val="4"/>
          </w:tcPr>
          <w:p>
            <w:pPr>
              <w:spacing w:after="0"/>
              <w:rPr>
                <w:sz w:val="12"/>
                <w:szCs w:val="12"/>
                <w:color w:val="auto"/>
              </w:rPr>
            </w:pPr>
          </w:p>
        </w:tc>
        <w:tc>
          <w:tcPr>
            <w:tcW w:w="640" w:type="dxa"/>
            <w:vAlign w:val="bottom"/>
            <w:gridSpan w:val="2"/>
          </w:tcPr>
          <w:p>
            <w:pPr>
              <w:ind w:left="380"/>
              <w:spacing w:after="0" w:line="148" w:lineRule="exact"/>
              <w:rPr>
                <w:sz w:val="20"/>
                <w:szCs w:val="20"/>
                <w:color w:val="auto"/>
              </w:rPr>
            </w:pPr>
            <w:r>
              <w:rPr>
                <w:rFonts w:ascii="Arial" w:cs="Arial" w:eastAsia="Arial" w:hAnsi="Arial"/>
                <w:sz w:val="15"/>
                <w:szCs w:val="15"/>
                <w:color w:val="auto"/>
              </w:rPr>
              <w:t>F-5</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580" w:type="dxa"/>
            <w:vAlign w:val="bottom"/>
            <w:gridSpan w:val="7"/>
          </w:tcPr>
          <w:p>
            <w:pPr>
              <w:spacing w:after="0" w:line="148" w:lineRule="exact"/>
              <w:rPr>
                <w:rFonts w:ascii="Arial" w:cs="Arial" w:eastAsia="Arial" w:hAnsi="Arial"/>
                <w:sz w:val="15"/>
                <w:szCs w:val="15"/>
                <w:color w:val="auto"/>
              </w:rPr>
            </w:pPr>
            <w:hyperlink w:anchor="page121">
              <w:r>
                <w:rPr>
                  <w:rFonts w:ascii="Arial" w:cs="Arial" w:eastAsia="Arial" w:hAnsi="Arial"/>
                  <w:sz w:val="15"/>
                  <w:szCs w:val="15"/>
                  <w:color w:val="auto"/>
                </w:rPr>
                <w:t>Consolidated Statements of Operations for the years ended December 31, 2021, 2020, and 2019</w:t>
              </w:r>
            </w:hyperlink>
          </w:p>
        </w:tc>
        <w:tc>
          <w:tcPr>
            <w:tcW w:w="640" w:type="dxa"/>
            <w:vAlign w:val="bottom"/>
            <w:gridSpan w:val="2"/>
          </w:tcPr>
          <w:p>
            <w:pPr>
              <w:ind w:left="380"/>
              <w:spacing w:after="0" w:line="148" w:lineRule="exact"/>
              <w:rPr>
                <w:sz w:val="20"/>
                <w:szCs w:val="20"/>
                <w:color w:val="auto"/>
              </w:rPr>
            </w:pPr>
            <w:r>
              <w:rPr>
                <w:rFonts w:ascii="Arial" w:cs="Arial" w:eastAsia="Arial" w:hAnsi="Arial"/>
                <w:sz w:val="15"/>
                <w:szCs w:val="15"/>
                <w:color w:val="auto"/>
              </w:rPr>
              <w:t>F-6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40" w:type="dxa"/>
            <w:vAlign w:val="bottom"/>
            <w:gridSpan w:val="2"/>
            <w:vMerge w:val="restart"/>
          </w:tcPr>
          <w:p>
            <w:pPr>
              <w:ind w:left="380"/>
              <w:spacing w:after="0" w:line="168" w:lineRule="exact"/>
              <w:rPr>
                <w:sz w:val="20"/>
                <w:szCs w:val="20"/>
                <w:color w:val="auto"/>
              </w:rPr>
            </w:pPr>
            <w:r>
              <w:rPr>
                <w:rFonts w:ascii="Arial" w:cs="Arial" w:eastAsia="Arial" w:hAnsi="Arial"/>
                <w:sz w:val="15"/>
                <w:szCs w:val="15"/>
                <w:color w:val="auto"/>
              </w:rPr>
              <w:t>F-7</w:t>
            </w:r>
          </w:p>
        </w:tc>
        <w:tc>
          <w:tcPr>
            <w:tcW w:w="0" w:type="dxa"/>
            <w:vAlign w:val="bottom"/>
          </w:tcPr>
          <w:p>
            <w:pPr>
              <w:spacing w:after="0" w:line="20" w:lineRule="exact"/>
              <w:rPr>
                <w:sz w:val="1"/>
                <w:szCs w:val="1"/>
                <w:color w:val="auto"/>
              </w:rPr>
            </w:pPr>
          </w:p>
        </w:tc>
      </w:tr>
      <w:tr>
        <w:trPr>
          <w:trHeight w:val="148"/>
        </w:trPr>
        <w:tc>
          <w:tcPr>
            <w:tcW w:w="60" w:type="dxa"/>
            <w:vAlign w:val="bottom"/>
          </w:tcPr>
          <w:p>
            <w:pPr>
              <w:spacing w:after="0"/>
              <w:rPr>
                <w:sz w:val="12"/>
                <w:szCs w:val="12"/>
                <w:color w:val="auto"/>
              </w:rPr>
            </w:pPr>
          </w:p>
        </w:tc>
        <w:tc>
          <w:tcPr>
            <w:tcW w:w="6320" w:type="dxa"/>
            <w:vAlign w:val="bottom"/>
            <w:tcBorders>
              <w:bottom w:val="single" w:sz="8" w:color="0000EE"/>
            </w:tcBorders>
            <w:gridSpan w:val="6"/>
          </w:tcPr>
          <w:p>
            <w:pPr>
              <w:spacing w:after="0" w:line="148" w:lineRule="exact"/>
              <w:rPr>
                <w:rFonts w:ascii="Arial" w:cs="Arial" w:eastAsia="Arial" w:hAnsi="Arial"/>
                <w:sz w:val="15"/>
                <w:szCs w:val="15"/>
                <w:color w:val="auto"/>
                <w:w w:val="89"/>
              </w:rPr>
            </w:pPr>
            <w:hyperlink w:anchor="page122">
              <w:r>
                <w:rPr>
                  <w:rFonts w:ascii="Arial" w:cs="Arial" w:eastAsia="Arial" w:hAnsi="Arial"/>
                  <w:sz w:val="15"/>
                  <w:szCs w:val="15"/>
                  <w:color w:val="auto"/>
                  <w:w w:val="89"/>
                </w:rPr>
                <w:t>Consolidated Statements of Stockholders’ Equity for the years ended December 31, 2021, 2020, and 2019</w:t>
              </w:r>
            </w:hyperlink>
          </w:p>
        </w:tc>
        <w:tc>
          <w:tcPr>
            <w:tcW w:w="42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5760" w:type="dxa"/>
            <w:vAlign w:val="bottom"/>
            <w:tcBorders>
              <w:bottom w:val="single" w:sz="8" w:color="0000EE"/>
            </w:tcBorders>
            <w:gridSpan w:val="5"/>
          </w:tcPr>
          <w:p>
            <w:pPr>
              <w:spacing w:after="0" w:line="148" w:lineRule="exact"/>
              <w:rPr>
                <w:rFonts w:ascii="Arial" w:cs="Arial" w:eastAsia="Arial" w:hAnsi="Arial"/>
                <w:sz w:val="15"/>
                <w:szCs w:val="15"/>
                <w:color w:val="auto"/>
                <w:w w:val="88"/>
              </w:rPr>
            </w:pPr>
            <w:hyperlink w:anchor="page123">
              <w:r>
                <w:rPr>
                  <w:rFonts w:ascii="Arial" w:cs="Arial" w:eastAsia="Arial" w:hAnsi="Arial"/>
                  <w:sz w:val="15"/>
                  <w:szCs w:val="15"/>
                  <w:color w:val="auto"/>
                  <w:w w:val="88"/>
                </w:rPr>
                <w:t>Consolidated Statements of Cash Flows for the years ended December 31, 2021, 2020, and 2019</w:t>
              </w:r>
            </w:hyperlink>
          </w:p>
        </w:tc>
        <w:tc>
          <w:tcPr>
            <w:tcW w:w="4820" w:type="dxa"/>
            <w:vAlign w:val="bottom"/>
            <w:gridSpan w:val="2"/>
          </w:tcPr>
          <w:p>
            <w:pPr>
              <w:spacing w:after="0"/>
              <w:rPr>
                <w:sz w:val="12"/>
                <w:szCs w:val="12"/>
                <w:color w:val="auto"/>
              </w:rPr>
            </w:pPr>
          </w:p>
        </w:tc>
        <w:tc>
          <w:tcPr>
            <w:tcW w:w="640" w:type="dxa"/>
            <w:vAlign w:val="bottom"/>
            <w:gridSpan w:val="2"/>
          </w:tcPr>
          <w:p>
            <w:pPr>
              <w:ind w:left="380"/>
              <w:spacing w:after="0" w:line="148" w:lineRule="exact"/>
              <w:rPr>
                <w:sz w:val="20"/>
                <w:szCs w:val="20"/>
                <w:color w:val="auto"/>
              </w:rPr>
            </w:pPr>
            <w:r>
              <w:rPr>
                <w:rFonts w:ascii="Arial" w:cs="Arial" w:eastAsia="Arial" w:hAnsi="Arial"/>
                <w:sz w:val="15"/>
                <w:szCs w:val="15"/>
                <w:color w:val="auto"/>
              </w:rPr>
              <w:t>F-8</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0580" w:type="dxa"/>
            <w:vAlign w:val="bottom"/>
            <w:gridSpan w:val="7"/>
          </w:tcPr>
          <w:p>
            <w:pPr>
              <w:spacing w:after="0" w:line="148" w:lineRule="exact"/>
              <w:rPr>
                <w:rFonts w:ascii="Arial" w:cs="Arial" w:eastAsia="Arial" w:hAnsi="Arial"/>
                <w:sz w:val="15"/>
                <w:szCs w:val="15"/>
                <w:color w:val="auto"/>
              </w:rPr>
            </w:pPr>
            <w:hyperlink w:anchor="page124">
              <w:r>
                <w:rPr>
                  <w:rFonts w:ascii="Arial" w:cs="Arial" w:eastAsia="Arial" w:hAnsi="Arial"/>
                  <w:sz w:val="15"/>
                  <w:szCs w:val="15"/>
                  <w:color w:val="auto"/>
                </w:rPr>
                <w:t>Notes to Consolidated Financial Statements</w:t>
              </w:r>
            </w:hyperlink>
          </w:p>
        </w:tc>
        <w:tc>
          <w:tcPr>
            <w:tcW w:w="640" w:type="dxa"/>
            <w:vAlign w:val="bottom"/>
            <w:gridSpan w:val="2"/>
          </w:tcPr>
          <w:p>
            <w:pPr>
              <w:ind w:left="380"/>
              <w:spacing w:after="0" w:line="148" w:lineRule="exact"/>
              <w:rPr>
                <w:sz w:val="20"/>
                <w:szCs w:val="20"/>
                <w:color w:val="auto"/>
              </w:rPr>
            </w:pPr>
            <w:r>
              <w:rPr>
                <w:rFonts w:ascii="Arial" w:cs="Arial" w:eastAsia="Arial" w:hAnsi="Arial"/>
                <w:sz w:val="15"/>
                <w:szCs w:val="15"/>
                <w:color w:val="auto"/>
              </w:rPr>
              <w:t>F-9</w:t>
            </w:r>
          </w:p>
        </w:tc>
        <w:tc>
          <w:tcPr>
            <w:tcW w:w="0" w:type="dxa"/>
            <w:vAlign w:val="bottom"/>
          </w:tcPr>
          <w:p>
            <w:pPr>
              <w:spacing w:after="0"/>
              <w:rPr>
                <w:sz w:val="1"/>
                <w:szCs w:val="1"/>
                <w:color w:val="auto"/>
              </w:rPr>
            </w:pPr>
          </w:p>
        </w:tc>
      </w:tr>
      <w:tr>
        <w:trPr>
          <w:trHeight w:val="694"/>
        </w:trPr>
        <w:tc>
          <w:tcPr>
            <w:tcW w:w="60" w:type="dxa"/>
            <w:vAlign w:val="bottom"/>
          </w:tcPr>
          <w:p>
            <w:pPr>
              <w:spacing w:after="0"/>
              <w:rPr>
                <w:sz w:val="24"/>
                <w:szCs w:val="24"/>
                <w:color w:val="auto"/>
              </w:rPr>
            </w:pPr>
          </w:p>
        </w:tc>
        <w:tc>
          <w:tcPr>
            <w:tcW w:w="2600" w:type="dxa"/>
            <w:vAlign w:val="bottom"/>
            <w:tcBorders>
              <w:top w:val="single" w:sz="8" w:color="0000EE"/>
            </w:tcBorders>
          </w:tcPr>
          <w:p>
            <w:pPr>
              <w:spacing w:after="0"/>
              <w:rPr>
                <w:sz w:val="24"/>
                <w:szCs w:val="24"/>
                <w:color w:val="auto"/>
              </w:rPr>
            </w:pPr>
          </w:p>
        </w:tc>
        <w:tc>
          <w:tcPr>
            <w:tcW w:w="3100" w:type="dxa"/>
            <w:vAlign w:val="bottom"/>
            <w:gridSpan w:val="3"/>
          </w:tcPr>
          <w:p>
            <w:pPr>
              <w:jc w:val="right"/>
              <w:spacing w:after="0"/>
              <w:rPr>
                <w:sz w:val="20"/>
                <w:szCs w:val="20"/>
                <w:color w:val="auto"/>
              </w:rPr>
            </w:pPr>
            <w:r>
              <w:rPr>
                <w:rFonts w:ascii="Arial" w:cs="Arial" w:eastAsia="Arial" w:hAnsi="Arial"/>
                <w:sz w:val="15"/>
                <w:szCs w:val="15"/>
                <w:color w:val="auto"/>
              </w:rPr>
              <w:t>115</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15" w:name="page116"/>
    <w:bookmarkEnd w:id="11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Axsome Therapeutics, Inc.</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33" w:lineRule="exact"/>
        <w:rPr>
          <w:sz w:val="20"/>
          <w:szCs w:val="20"/>
          <w:color w:val="auto"/>
        </w:rPr>
      </w:pPr>
    </w:p>
    <w:p>
      <w:pPr>
        <w:ind w:right="80"/>
        <w:spacing w:after="0" w:line="307" w:lineRule="auto"/>
        <w:rPr>
          <w:sz w:val="20"/>
          <w:szCs w:val="20"/>
          <w:color w:val="auto"/>
        </w:rPr>
      </w:pPr>
      <w:r>
        <w:rPr>
          <w:rFonts w:ascii="Arial" w:cs="Arial" w:eastAsia="Arial" w:hAnsi="Arial"/>
          <w:sz w:val="13"/>
          <w:szCs w:val="13"/>
          <w:color w:val="auto"/>
        </w:rPr>
        <w:t>We have audited the accompanying consolidated balance sheets of Axsome Therapeutics, Inc. (the “Company”) as of December 31, 2021 and 2020, the related consolidated statements of operations, stockholders’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73" w:lineRule="exact"/>
        <w:rPr>
          <w:sz w:val="20"/>
          <w:szCs w:val="20"/>
          <w:color w:val="auto"/>
        </w:rPr>
      </w:pPr>
    </w:p>
    <w:p>
      <w:pPr>
        <w:ind w:right="380"/>
        <w:spacing w:after="0" w:line="259"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1"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180"/>
          </w:cols>
          <w:pgMar w:left="300" w:top="124" w:right="419" w:bottom="1440" w:gutter="0" w:footer="0" w:header="0"/>
        </w:sectPr>
      </w:pPr>
    </w:p>
    <w:bookmarkStart w:id="116" w:name="page117"/>
    <w:bookmarkEnd w:id="11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left="2000"/>
        <w:spacing w:after="0"/>
        <w:rPr>
          <w:sz w:val="20"/>
          <w:szCs w:val="20"/>
          <w:color w:val="auto"/>
        </w:rPr>
      </w:pPr>
      <w:r>
        <w:rPr>
          <w:rFonts w:ascii="Arial" w:cs="Arial" w:eastAsia="Arial" w:hAnsi="Arial"/>
          <w:sz w:val="13"/>
          <w:szCs w:val="13"/>
          <w:b w:val="1"/>
          <w:bCs w:val="1"/>
          <w:i w:val="1"/>
          <w:iCs w:val="1"/>
          <w:color w:val="auto"/>
        </w:rPr>
        <w:t>Accounting for the Hercules Capital, Inc. Term Loan Amendment</w:t>
      </w:r>
    </w:p>
    <w:p>
      <w:pPr>
        <w:sectPr>
          <w:pgSz w:w="11900" w:h="16838" w:orient="portrait"/>
          <w:cols w:equalWidth="0" w:num="1">
            <w:col w:w="11240"/>
          </w:cols>
          <w:pgMar w:left="300" w:top="124" w:right="359" w:bottom="1440" w:gutter="0" w:footer="0" w:header="0"/>
        </w:sectPr>
      </w:pPr>
    </w:p>
    <w:p>
      <w:pPr>
        <w:spacing w:after="0" w:line="19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180"/>
        <w:spacing w:after="0" w:line="232" w:lineRule="auto"/>
        <w:rPr>
          <w:sz w:val="20"/>
          <w:szCs w:val="20"/>
          <w:color w:val="auto"/>
        </w:rPr>
      </w:pPr>
      <w:r>
        <w:rPr>
          <w:rFonts w:ascii="Arial" w:cs="Arial" w:eastAsia="Arial" w:hAnsi="Arial"/>
          <w:sz w:val="14"/>
          <w:szCs w:val="14"/>
          <w:color w:val="auto"/>
        </w:rPr>
        <w:t>As described in Note 5 - Loan and Security Agreement to the consolidated financial statements, in October 2021, the Company amended their Loan and Security Agreement with Hercules Capital, Inc. (the “First Amendment to the Loan Agreement”). The amendment increased the aggregate principal amount of the loan from $225 million to $300 million, changed the draw amounts and dates available for certain tranches, extended the maturity date of the facility, reset and extended the interest only period and decreased the interest rate.</w:t>
      </w:r>
    </w:p>
    <w:p>
      <w:pPr>
        <w:spacing w:after="0" w:line="103" w:lineRule="exact"/>
        <w:rPr>
          <w:sz w:val="20"/>
          <w:szCs w:val="20"/>
          <w:color w:val="auto"/>
        </w:rPr>
      </w:pPr>
    </w:p>
    <w:p>
      <w:pPr>
        <w:sectPr>
          <w:pgSz w:w="11900" w:h="16838" w:orient="portrait"/>
          <w:cols w:equalWidth="0" w:num="2">
            <w:col w:w="1540" w:space="460"/>
            <w:col w:w="9240"/>
          </w:cols>
          <w:pgMar w:left="300" w:top="124" w:right="359" w:bottom="1440" w:gutter="0" w:footer="0" w:header="0"/>
          <w:type w:val="continuous"/>
        </w:sectPr>
      </w:pPr>
    </w:p>
    <w:p>
      <w:pPr>
        <w:ind w:left="2000"/>
        <w:spacing w:after="0" w:line="214" w:lineRule="auto"/>
        <w:rPr>
          <w:sz w:val="20"/>
          <w:szCs w:val="20"/>
          <w:color w:val="auto"/>
        </w:rPr>
      </w:pPr>
      <w:r>
        <w:rPr>
          <w:rFonts w:ascii="Arial" w:cs="Arial" w:eastAsia="Arial" w:hAnsi="Arial"/>
          <w:sz w:val="15"/>
          <w:szCs w:val="15"/>
          <w:color w:val="auto"/>
        </w:rPr>
        <w:t>We have identified the assessment of the accounting for the amendment to be a critical audit matter because of the judgments necessary for management to determine if the amendment of the loan agreement resulted in a debt extinguishment, a debt modification or a troubled debt restructuring for the Loan and Security Agreement with Hercules Capital, Inc. The interpretation and application of the relevant accounting literature required significant auditor judgment due to the complexity of the agreement and required auditor judgment when performing audit procedures to audit management's assessment of the accounting treatment for the amendment.</w:t>
      </w:r>
    </w:p>
    <w:p>
      <w:pPr>
        <w:sectPr>
          <w:pgSz w:w="11900" w:h="16838" w:orient="portrait"/>
          <w:cols w:equalWidth="0" w:num="1">
            <w:col w:w="11240"/>
          </w:cols>
          <w:pgMar w:left="300" w:top="124" w:right="359" w:bottom="1440" w:gutter="0" w:footer="0" w:header="0"/>
          <w:type w:val="continuous"/>
        </w:sectPr>
      </w:pPr>
    </w:p>
    <w:p>
      <w:pPr>
        <w:spacing w:after="0" w:line="158" w:lineRule="exact"/>
        <w:rPr>
          <w:sz w:val="20"/>
          <w:szCs w:val="20"/>
          <w:color w:val="auto"/>
        </w:rPr>
      </w:pPr>
    </w:p>
    <w:p>
      <w:pPr>
        <w:ind w:left="20"/>
        <w:spacing w:after="0" w:line="295" w:lineRule="auto"/>
        <w:rPr>
          <w:sz w:val="20"/>
          <w:szCs w:val="20"/>
          <w:color w:val="auto"/>
        </w:rPr>
      </w:pPr>
      <w:r>
        <w:rPr>
          <w:rFonts w:ascii="Arial" w:cs="Arial" w:eastAsia="Arial" w:hAnsi="Arial"/>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both"/>
        <w:ind w:right="320"/>
        <w:spacing w:after="0" w:line="238"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management’s processes for assessing the accounting considerations for the First Amendment to the Loan Agreement, specifically, management’s assessment of the accounting treatment of the arrangement supporting the conclusion that the amendment was accounted for as a debt modification.</w:t>
      </w:r>
    </w:p>
    <w:p>
      <w:pPr>
        <w:spacing w:after="0" w:line="102" w:lineRule="exact"/>
        <w:rPr>
          <w:sz w:val="20"/>
          <w:szCs w:val="20"/>
          <w:color w:val="auto"/>
        </w:rPr>
      </w:pPr>
    </w:p>
    <w:p>
      <w:pPr>
        <w:sectPr>
          <w:pgSz w:w="11900" w:h="16838" w:orient="portrait"/>
          <w:cols w:equalWidth="0" w:num="2">
            <w:col w:w="1380" w:space="620"/>
            <w:col w:w="9240"/>
          </w:cols>
          <w:pgMar w:left="300" w:top="124" w:right="359" w:bottom="1440" w:gutter="0" w:footer="0" w:header="0"/>
          <w:type w:val="continuous"/>
        </w:sectPr>
      </w:pPr>
    </w:p>
    <w:p>
      <w:pPr>
        <w:ind w:left="2000" w:right="160"/>
        <w:spacing w:after="0" w:line="217" w:lineRule="auto"/>
        <w:rPr>
          <w:sz w:val="20"/>
          <w:szCs w:val="20"/>
          <w:color w:val="auto"/>
        </w:rPr>
      </w:pPr>
      <w:r>
        <w:rPr>
          <w:rFonts w:ascii="Arial" w:cs="Arial" w:eastAsia="Arial" w:hAnsi="Arial"/>
          <w:sz w:val="15"/>
          <w:szCs w:val="15"/>
          <w:color w:val="auto"/>
        </w:rPr>
        <w:t>To evaluate management’s accounting conclusion, we performed audit procedures that included, among others, assessing the Company’s accounting memorandum and other documentation, including the application of the relevant accounting guidance. We read the relevant documents and agreements and compared the terms to the Company’s accounting documentation and legal assessment. We also evaluated the presentation of the transactions in the financial statements and the related footnote disclosure.</w:t>
      </w:r>
    </w:p>
    <w:p>
      <w:pPr>
        <w:sectPr>
          <w:pgSz w:w="11900" w:h="16838" w:orient="portrait"/>
          <w:cols w:equalWidth="0" w:num="1">
            <w:col w:w="11240"/>
          </w:cols>
          <w:pgMar w:left="300" w:top="12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2014.</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March 1, 2022</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62230</wp:posOffset>
            </wp:positionV>
            <wp:extent cx="7181215"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type w:val="continuous"/>
        </w:sectPr>
      </w:pPr>
    </w:p>
    <w:bookmarkStart w:id="117" w:name="page118"/>
    <w:bookmarkEnd w:id="11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Axsome Therapeutics, Inc.</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133" w:lineRule="exact"/>
        <w:rPr>
          <w:sz w:val="20"/>
          <w:szCs w:val="20"/>
          <w:color w:val="auto"/>
        </w:rPr>
      </w:pPr>
    </w:p>
    <w:p>
      <w:pPr>
        <w:jc w:val="both"/>
        <w:ind w:right="160"/>
        <w:spacing w:after="0" w:line="287" w:lineRule="auto"/>
        <w:rPr>
          <w:sz w:val="20"/>
          <w:szCs w:val="20"/>
          <w:color w:val="auto"/>
        </w:rPr>
      </w:pPr>
      <w:r>
        <w:rPr>
          <w:rFonts w:ascii="Arial" w:cs="Arial" w:eastAsia="Arial" w:hAnsi="Arial"/>
          <w:sz w:val="14"/>
          <w:szCs w:val="14"/>
          <w:color w:val="auto"/>
        </w:rPr>
        <w:t>We have audited Axsome Therapeutics, Inc.’s internal control over financial reporting as of December 31, 2021, based on criteria established in Internal Control—Integrated Framework issued by the Committee of Sponsoring Organizations of the Treadway Commission (2013 framework), (the COSO criteria). In our opinion, Axsome Therapeutics, Inc’s (the Company) maintained, in all material respects, effective internal control over financial reporting as of December 31, 2021, based on the COSO criteria.</w:t>
      </w:r>
    </w:p>
    <w:p>
      <w:pPr>
        <w:spacing w:after="0" w:line="81" w:lineRule="exact"/>
        <w:rPr>
          <w:sz w:val="20"/>
          <w:szCs w:val="20"/>
          <w:color w:val="auto"/>
        </w:rPr>
      </w:pPr>
    </w:p>
    <w:p>
      <w:pPr>
        <w:jc w:val="both"/>
        <w:ind w:right="80"/>
        <w:spacing w:after="0" w:line="259"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December 31, 2021 and 2020, the related consolidated statements of operations, stockholders’ equity and cash flows for each of the three years in the period ended December 31, 2021, and the related notes and our report dated March 1, 2022 expressed an unqualified opinion thereon.</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33" w:lineRule="exact"/>
        <w:rPr>
          <w:sz w:val="20"/>
          <w:szCs w:val="20"/>
          <w:color w:val="auto"/>
        </w:rPr>
      </w:pPr>
    </w:p>
    <w:p>
      <w:pPr>
        <w:ind w:right="40"/>
        <w:spacing w:after="0" w:line="280"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6"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133" w:lineRule="exact"/>
        <w:rPr>
          <w:sz w:val="20"/>
          <w:szCs w:val="20"/>
          <w:color w:val="auto"/>
        </w:rPr>
      </w:pPr>
    </w:p>
    <w:p>
      <w:pPr>
        <w:ind w:right="60"/>
        <w:spacing w:after="0" w:line="299"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6" w:lineRule="exact"/>
        <w:rPr>
          <w:sz w:val="20"/>
          <w:szCs w:val="20"/>
          <w:color w:val="auto"/>
        </w:rPr>
      </w:pPr>
    </w:p>
    <w:p>
      <w:pPr>
        <w:ind w:right="140"/>
        <w:spacing w:after="0" w:line="349"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00"/>
          </w:cols>
          <w:pgMar w:left="300" w:top="124" w:right="399" w:bottom="1440" w:gutter="0" w:footer="0" w:header="0"/>
        </w:sectPr>
      </w:pPr>
    </w:p>
    <w:bookmarkStart w:id="118" w:name="page119"/>
    <w:bookmarkEnd w:id="11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March 1, 2022</w:t>
      </w:r>
    </w:p>
    <w:p>
      <w:pPr>
        <w:spacing w:after="0" w:line="185" w:lineRule="exact"/>
        <w:rPr>
          <w:sz w:val="20"/>
          <w:szCs w:val="20"/>
          <w:color w:val="auto"/>
        </w:rPr>
      </w:pPr>
    </w:p>
    <w:p>
      <w:pPr>
        <w:jc w:val="right"/>
        <w:ind w:right="44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0159"/>
          </w:cols>
          <w:pgMar w:left="300" w:top="124" w:right="1440" w:bottom="1440" w:gutter="0" w:footer="0" w:header="0"/>
        </w:sectPr>
      </w:pPr>
    </w:p>
    <w:bookmarkStart w:id="119" w:name="page120"/>
    <w:bookmarkEnd w:id="11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Axsome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6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2"/>
                <w:szCs w:val="12"/>
                <w:b w:val="1"/>
                <w:bCs w:val="1"/>
                <w:color w:val="auto"/>
              </w:rPr>
              <w:t>December 31,</w:t>
            </w: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6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7"/>
              <w:spacing w:after="0" w:line="137"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726"/>
              <w:spacing w:after="0" w:line="137"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9"/>
        </w:trPr>
        <w:tc>
          <w:tcPr>
            <w:tcW w:w="76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b w:val="1"/>
                <w:bCs w:val="1"/>
                <w:color w:val="auto"/>
              </w:rPr>
              <w:t>Assets</w:t>
            </w:r>
          </w:p>
        </w:tc>
        <w:tc>
          <w:tcPr>
            <w:tcW w:w="3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Current assets:</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Cash and cash equivalents</w:t>
            </w:r>
          </w:p>
        </w:tc>
        <w:tc>
          <w:tcPr>
            <w:tcW w:w="380" w:type="dxa"/>
            <w:vAlign w:val="bottom"/>
            <w:shd w:val="clear" w:color="auto" w:fill="CFF0FC"/>
          </w:tcPr>
          <w:p>
            <w:pPr>
              <w:jc w:val="right"/>
              <w:ind w:right="226"/>
              <w:spacing w:after="0" w:line="168"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7"/>
              <w:spacing w:after="0" w:line="168" w:lineRule="exact"/>
              <w:rPr>
                <w:sz w:val="20"/>
                <w:szCs w:val="20"/>
                <w:color w:val="auto"/>
              </w:rPr>
            </w:pPr>
            <w:r>
              <w:rPr>
                <w:rFonts w:ascii="Arial" w:cs="Arial" w:eastAsia="Arial" w:hAnsi="Arial"/>
                <w:sz w:val="15"/>
                <w:szCs w:val="15"/>
                <w:color w:val="auto"/>
              </w:rPr>
              <w:t>86,472,854</w:t>
            </w:r>
          </w:p>
        </w:tc>
        <w:tc>
          <w:tcPr>
            <w:tcW w:w="620" w:type="dxa"/>
            <w:vAlign w:val="bottom"/>
            <w:gridSpan w:val="2"/>
            <w:shd w:val="clear" w:color="auto" w:fill="CFF0FC"/>
          </w:tcPr>
          <w:p>
            <w:pPr>
              <w:jc w:val="right"/>
              <w:ind w:right="286"/>
              <w:spacing w:after="0" w:line="168" w:lineRule="exact"/>
              <w:rPr>
                <w:sz w:val="20"/>
                <w:szCs w:val="20"/>
                <w:color w:val="auto"/>
              </w:rPr>
            </w:pPr>
            <w:r>
              <w:rPr>
                <w:rFonts w:ascii="Arial" w:cs="Arial" w:eastAsia="Arial" w:hAnsi="Arial"/>
                <w:sz w:val="15"/>
                <w:szCs w:val="15"/>
                <w:color w:val="auto"/>
              </w:rPr>
              <w:t>$</w:t>
            </w:r>
          </w:p>
        </w:tc>
        <w:tc>
          <w:tcPr>
            <w:tcW w:w="128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183,876,453</w:t>
            </w:r>
          </w:p>
        </w:tc>
        <w:tc>
          <w:tcPr>
            <w:tcW w:w="0" w:type="dxa"/>
            <w:vAlign w:val="bottom"/>
          </w:tcPr>
          <w:p>
            <w:pPr>
              <w:spacing w:after="0"/>
              <w:rPr>
                <w:sz w:val="1"/>
                <w:szCs w:val="1"/>
                <w:color w:val="auto"/>
              </w:rPr>
            </w:pPr>
          </w:p>
        </w:tc>
      </w:tr>
      <w:tr>
        <w:trPr>
          <w:trHeight w:val="168"/>
        </w:trPr>
        <w:tc>
          <w:tcPr>
            <w:tcW w:w="7660" w:type="dxa"/>
            <w:vAlign w:val="bottom"/>
          </w:tcPr>
          <w:p>
            <w:pPr>
              <w:ind w:left="160"/>
              <w:spacing w:after="0" w:line="168" w:lineRule="exact"/>
              <w:rPr>
                <w:sz w:val="20"/>
                <w:szCs w:val="20"/>
                <w:color w:val="auto"/>
              </w:rPr>
            </w:pPr>
            <w:r>
              <w:rPr>
                <w:rFonts w:ascii="Arial" w:cs="Arial" w:eastAsia="Arial" w:hAnsi="Arial"/>
                <w:sz w:val="15"/>
                <w:szCs w:val="15"/>
                <w:color w:val="auto"/>
              </w:rPr>
              <w:t>Prepaid and other current assets</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7"/>
              <w:spacing w:after="0" w:line="168" w:lineRule="exact"/>
              <w:rPr>
                <w:sz w:val="20"/>
                <w:szCs w:val="20"/>
                <w:color w:val="auto"/>
              </w:rPr>
            </w:pPr>
            <w:r>
              <w:rPr>
                <w:rFonts w:ascii="Arial" w:cs="Arial" w:eastAsia="Arial" w:hAnsi="Arial"/>
                <w:sz w:val="15"/>
                <w:szCs w:val="15"/>
                <w:color w:val="auto"/>
              </w:rPr>
              <w:t>45,286</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6"/>
              <w:spacing w:after="0" w:line="168" w:lineRule="exact"/>
              <w:rPr>
                <w:sz w:val="20"/>
                <w:szCs w:val="20"/>
                <w:color w:val="auto"/>
              </w:rPr>
            </w:pPr>
            <w:r>
              <w:rPr>
                <w:rFonts w:ascii="Arial" w:cs="Arial" w:eastAsia="Arial" w:hAnsi="Arial"/>
                <w:sz w:val="15"/>
                <w:szCs w:val="15"/>
                <w:color w:val="auto"/>
              </w:rPr>
              <w:t>148,373</w:t>
            </w:r>
          </w:p>
        </w:tc>
        <w:tc>
          <w:tcPr>
            <w:tcW w:w="0" w:type="dxa"/>
            <w:vAlign w:val="bottom"/>
          </w:tcPr>
          <w:p>
            <w:pPr>
              <w:spacing w:after="0"/>
              <w:rPr>
                <w:sz w:val="1"/>
                <w:szCs w:val="1"/>
                <w:color w:val="auto"/>
              </w:rPr>
            </w:pPr>
          </w:p>
        </w:tc>
      </w:tr>
      <w:tr>
        <w:trPr>
          <w:trHeight w:val="159"/>
        </w:trPr>
        <w:tc>
          <w:tcPr>
            <w:tcW w:w="76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Total current assets</w:t>
            </w:r>
          </w:p>
        </w:tc>
        <w:tc>
          <w:tcPr>
            <w:tcW w:w="3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7"/>
              <w:spacing w:after="0" w:line="159" w:lineRule="exact"/>
              <w:rPr>
                <w:sz w:val="20"/>
                <w:szCs w:val="20"/>
                <w:color w:val="auto"/>
              </w:rPr>
            </w:pPr>
            <w:r>
              <w:rPr>
                <w:rFonts w:ascii="Arial" w:cs="Arial" w:eastAsia="Arial" w:hAnsi="Arial"/>
                <w:sz w:val="15"/>
                <w:szCs w:val="15"/>
                <w:color w:val="auto"/>
              </w:rPr>
              <w:t>86,518,140</w:t>
            </w: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6"/>
              <w:spacing w:after="0" w:line="159" w:lineRule="exact"/>
              <w:rPr>
                <w:sz w:val="20"/>
                <w:szCs w:val="20"/>
                <w:color w:val="auto"/>
              </w:rPr>
            </w:pPr>
            <w:r>
              <w:rPr>
                <w:rFonts w:ascii="Arial" w:cs="Arial" w:eastAsia="Arial" w:hAnsi="Arial"/>
                <w:sz w:val="15"/>
                <w:szCs w:val="15"/>
                <w:color w:val="auto"/>
              </w:rPr>
              <w:t>184,024,826</w:t>
            </w:r>
          </w:p>
        </w:tc>
        <w:tc>
          <w:tcPr>
            <w:tcW w:w="0" w:type="dxa"/>
            <w:vAlign w:val="bottom"/>
          </w:tcPr>
          <w:p>
            <w:pPr>
              <w:spacing w:after="0"/>
              <w:rPr>
                <w:sz w:val="1"/>
                <w:szCs w:val="1"/>
                <w:color w:val="auto"/>
              </w:rPr>
            </w:pP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Equipment, net</w:t>
            </w:r>
          </w:p>
        </w:tc>
        <w:tc>
          <w:tcPr>
            <w:tcW w:w="38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Arial" w:cs="Arial" w:eastAsia="Arial" w:hAnsi="Arial"/>
                <w:sz w:val="15"/>
                <w:szCs w:val="15"/>
                <w:color w:val="auto"/>
              </w:rPr>
              <w:t>283,846</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46"/>
              <w:spacing w:after="0" w:line="168" w:lineRule="exact"/>
              <w:rPr>
                <w:sz w:val="20"/>
                <w:szCs w:val="20"/>
                <w:color w:val="auto"/>
              </w:rPr>
            </w:pPr>
            <w:r>
              <w:rPr>
                <w:rFonts w:ascii="Arial" w:cs="Arial" w:eastAsia="Arial" w:hAnsi="Arial"/>
                <w:sz w:val="15"/>
                <w:szCs w:val="15"/>
                <w:color w:val="auto"/>
              </w:rPr>
              <w:t>52,647</w:t>
            </w:r>
          </w:p>
        </w:tc>
        <w:tc>
          <w:tcPr>
            <w:tcW w:w="0" w:type="dxa"/>
            <w:vAlign w:val="bottom"/>
          </w:tcPr>
          <w:p>
            <w:pPr>
              <w:spacing w:after="0"/>
              <w:rPr>
                <w:sz w:val="1"/>
                <w:szCs w:val="1"/>
                <w:color w:val="auto"/>
              </w:rPr>
            </w:pPr>
          </w:p>
        </w:tc>
      </w:tr>
      <w:tr>
        <w:trPr>
          <w:trHeight w:val="168"/>
        </w:trPr>
        <w:tc>
          <w:tcPr>
            <w:tcW w:w="76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Right-of-use asset - operating lease</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7"/>
              <w:spacing w:after="0" w:line="168" w:lineRule="exact"/>
              <w:rPr>
                <w:sz w:val="20"/>
                <w:szCs w:val="20"/>
                <w:color w:val="auto"/>
              </w:rPr>
            </w:pPr>
            <w:r>
              <w:rPr>
                <w:rFonts w:ascii="Arial" w:cs="Arial" w:eastAsia="Arial" w:hAnsi="Arial"/>
                <w:sz w:val="15"/>
                <w:szCs w:val="15"/>
                <w:color w:val="auto"/>
              </w:rPr>
              <w:t>660,162</w:t>
            </w: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1,739,475</w:t>
            </w:r>
          </w:p>
        </w:tc>
        <w:tc>
          <w:tcPr>
            <w:tcW w:w="0" w:type="dxa"/>
            <w:vAlign w:val="bottom"/>
          </w:tcPr>
          <w:p>
            <w:pPr>
              <w:spacing w:after="0"/>
              <w:rPr>
                <w:sz w:val="1"/>
                <w:szCs w:val="1"/>
                <w:color w:val="auto"/>
              </w:rPr>
            </w:pP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Other assets</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7"/>
              <w:spacing w:after="0" w:line="168" w:lineRule="exact"/>
              <w:rPr>
                <w:sz w:val="20"/>
                <w:szCs w:val="20"/>
                <w:color w:val="auto"/>
              </w:rPr>
            </w:pPr>
            <w:r>
              <w:rPr>
                <w:rFonts w:ascii="Arial" w:cs="Arial" w:eastAsia="Arial" w:hAnsi="Arial"/>
                <w:sz w:val="15"/>
                <w:szCs w:val="15"/>
                <w:color w:val="auto"/>
              </w:rPr>
              <w:t>322,910</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6"/>
              <w:spacing w:after="0" w:line="168" w:lineRule="exact"/>
              <w:rPr>
                <w:sz w:val="20"/>
                <w:szCs w:val="20"/>
                <w:color w:val="auto"/>
              </w:rPr>
            </w:pPr>
            <w:r>
              <w:rPr>
                <w:rFonts w:ascii="Arial" w:cs="Arial" w:eastAsia="Arial" w:hAnsi="Arial"/>
                <w:sz w:val="15"/>
                <w:szCs w:val="15"/>
                <w:color w:val="auto"/>
              </w:rPr>
              <w:t>317,375</w:t>
            </w:r>
          </w:p>
        </w:tc>
        <w:tc>
          <w:tcPr>
            <w:tcW w:w="0" w:type="dxa"/>
            <w:vAlign w:val="bottom"/>
          </w:tcPr>
          <w:p>
            <w:pPr>
              <w:spacing w:after="0"/>
              <w:rPr>
                <w:sz w:val="1"/>
                <w:szCs w:val="1"/>
                <w:color w:val="auto"/>
              </w:rPr>
            </w:pPr>
          </w:p>
        </w:tc>
      </w:tr>
      <w:tr>
        <w:trPr>
          <w:trHeight w:val="199"/>
        </w:trPr>
        <w:tc>
          <w:tcPr>
            <w:tcW w:w="766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Total assets</w:t>
            </w:r>
          </w:p>
        </w:tc>
        <w:tc>
          <w:tcPr>
            <w:tcW w:w="380" w:type="dxa"/>
            <w:vAlign w:val="bottom"/>
            <w:tcBorders>
              <w:bottom w:val="single" w:sz="8" w:color="auto"/>
            </w:tcBorders>
            <w:shd w:val="clear" w:color="auto" w:fill="CFF0FC"/>
          </w:tcPr>
          <w:p>
            <w:pPr>
              <w:jc w:val="right"/>
              <w:ind w:right="226"/>
              <w:spacing w:after="0" w:line="15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47"/>
              <w:spacing w:after="0" w:line="159" w:lineRule="exact"/>
              <w:rPr>
                <w:sz w:val="20"/>
                <w:szCs w:val="20"/>
                <w:color w:val="auto"/>
              </w:rPr>
            </w:pPr>
            <w:r>
              <w:rPr>
                <w:rFonts w:ascii="Arial" w:cs="Arial" w:eastAsia="Arial" w:hAnsi="Arial"/>
                <w:sz w:val="15"/>
                <w:szCs w:val="15"/>
                <w:color w:val="auto"/>
              </w:rPr>
              <w:t>87,785,058</w:t>
            </w:r>
          </w:p>
        </w:tc>
        <w:tc>
          <w:tcPr>
            <w:tcW w:w="1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6"/>
              <w:spacing w:after="0" w:line="15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46"/>
              <w:spacing w:after="0" w:line="159" w:lineRule="exact"/>
              <w:rPr>
                <w:sz w:val="20"/>
                <w:szCs w:val="20"/>
                <w:color w:val="auto"/>
              </w:rPr>
            </w:pPr>
            <w:r>
              <w:rPr>
                <w:rFonts w:ascii="Arial" w:cs="Arial" w:eastAsia="Arial" w:hAnsi="Arial"/>
                <w:sz w:val="15"/>
                <w:szCs w:val="15"/>
                <w:color w:val="auto"/>
              </w:rPr>
              <w:t>186,134,323</w:t>
            </w:r>
          </w:p>
        </w:tc>
        <w:tc>
          <w:tcPr>
            <w:tcW w:w="0" w:type="dxa"/>
            <w:vAlign w:val="bottom"/>
          </w:tcPr>
          <w:p>
            <w:pPr>
              <w:spacing w:after="0"/>
              <w:rPr>
                <w:sz w:val="1"/>
                <w:szCs w:val="1"/>
                <w:color w:val="auto"/>
              </w:rPr>
            </w:pPr>
          </w:p>
        </w:tc>
      </w:tr>
      <w:tr>
        <w:trPr>
          <w:trHeight w:val="141"/>
        </w:trPr>
        <w:tc>
          <w:tcPr>
            <w:tcW w:w="7660" w:type="dxa"/>
            <w:vAlign w:val="bottom"/>
          </w:tcPr>
          <w:p>
            <w:pPr>
              <w:ind w:left="20"/>
              <w:spacing w:after="0" w:line="141" w:lineRule="exact"/>
              <w:rPr>
                <w:sz w:val="20"/>
                <w:szCs w:val="20"/>
                <w:color w:val="auto"/>
              </w:rPr>
            </w:pPr>
            <w:r>
              <w:rPr>
                <w:rFonts w:ascii="Arial" w:cs="Arial" w:eastAsia="Arial" w:hAnsi="Arial"/>
                <w:sz w:val="15"/>
                <w:szCs w:val="15"/>
                <w:b w:val="1"/>
                <w:bCs w:val="1"/>
                <w:color w:val="auto"/>
              </w:rPr>
              <w:t>Liabilities and stockholders’ equity</w:t>
            </w:r>
          </w:p>
        </w:tc>
        <w:tc>
          <w:tcPr>
            <w:tcW w:w="3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6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Current liabilities:</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160"/>
              <w:spacing w:after="0" w:line="168" w:lineRule="exact"/>
              <w:rPr>
                <w:sz w:val="20"/>
                <w:szCs w:val="20"/>
                <w:color w:val="auto"/>
              </w:rPr>
            </w:pPr>
            <w:r>
              <w:rPr>
                <w:rFonts w:ascii="Arial" w:cs="Arial" w:eastAsia="Arial" w:hAnsi="Arial"/>
                <w:sz w:val="15"/>
                <w:szCs w:val="15"/>
                <w:color w:val="auto"/>
              </w:rPr>
              <w:t>Accounts payable</w:t>
            </w:r>
          </w:p>
        </w:tc>
        <w:tc>
          <w:tcPr>
            <w:tcW w:w="380" w:type="dxa"/>
            <w:vAlign w:val="bottom"/>
          </w:tcPr>
          <w:p>
            <w:pPr>
              <w:jc w:val="right"/>
              <w:ind w:right="226"/>
              <w:spacing w:after="0" w:line="168" w:lineRule="exact"/>
              <w:rPr>
                <w:sz w:val="20"/>
                <w:szCs w:val="20"/>
                <w:color w:val="auto"/>
              </w:rPr>
            </w:pPr>
            <w:r>
              <w:rPr>
                <w:rFonts w:ascii="Arial" w:cs="Arial" w:eastAsia="Arial" w:hAnsi="Arial"/>
                <w:sz w:val="15"/>
                <w:szCs w:val="15"/>
                <w:color w:val="auto"/>
                <w:w w:val="71"/>
              </w:rPr>
              <w:t>$</w:t>
            </w:r>
          </w:p>
        </w:tc>
        <w:tc>
          <w:tcPr>
            <w:tcW w:w="1340" w:type="dxa"/>
            <w:vAlign w:val="bottom"/>
          </w:tcPr>
          <w:p>
            <w:pPr>
              <w:jc w:val="right"/>
              <w:ind w:right="47"/>
              <w:spacing w:after="0" w:line="168" w:lineRule="exact"/>
              <w:rPr>
                <w:sz w:val="20"/>
                <w:szCs w:val="20"/>
                <w:color w:val="auto"/>
              </w:rPr>
            </w:pPr>
            <w:r>
              <w:rPr>
                <w:rFonts w:ascii="Arial" w:cs="Arial" w:eastAsia="Arial" w:hAnsi="Arial"/>
                <w:sz w:val="15"/>
                <w:szCs w:val="15"/>
                <w:color w:val="auto"/>
              </w:rPr>
              <w:t>13,149,329</w:t>
            </w:r>
          </w:p>
        </w:tc>
        <w:tc>
          <w:tcPr>
            <w:tcW w:w="620" w:type="dxa"/>
            <w:vAlign w:val="bottom"/>
            <w:gridSpan w:val="2"/>
          </w:tcPr>
          <w:p>
            <w:pPr>
              <w:jc w:val="right"/>
              <w:ind w:right="286"/>
              <w:spacing w:after="0" w:line="168" w:lineRule="exact"/>
              <w:rPr>
                <w:sz w:val="20"/>
                <w:szCs w:val="20"/>
                <w:color w:val="auto"/>
              </w:rPr>
            </w:pPr>
            <w:r>
              <w:rPr>
                <w:rFonts w:ascii="Arial" w:cs="Arial" w:eastAsia="Arial" w:hAnsi="Arial"/>
                <w:sz w:val="15"/>
                <w:szCs w:val="15"/>
                <w:color w:val="auto"/>
              </w:rPr>
              <w:t>$</w:t>
            </w:r>
          </w:p>
        </w:tc>
        <w:tc>
          <w:tcPr>
            <w:tcW w:w="1280" w:type="dxa"/>
            <w:vAlign w:val="bottom"/>
          </w:tcPr>
          <w:p>
            <w:pPr>
              <w:jc w:val="right"/>
              <w:ind w:right="46"/>
              <w:spacing w:after="0" w:line="168" w:lineRule="exact"/>
              <w:rPr>
                <w:sz w:val="20"/>
                <w:szCs w:val="20"/>
                <w:color w:val="auto"/>
              </w:rPr>
            </w:pPr>
            <w:r>
              <w:rPr>
                <w:rFonts w:ascii="Arial" w:cs="Arial" w:eastAsia="Arial" w:hAnsi="Arial"/>
                <w:sz w:val="15"/>
                <w:szCs w:val="15"/>
                <w:color w:val="auto"/>
              </w:rPr>
              <w:t>13,504,022</w:t>
            </w:r>
          </w:p>
        </w:tc>
        <w:tc>
          <w:tcPr>
            <w:tcW w:w="0" w:type="dxa"/>
            <w:vAlign w:val="bottom"/>
          </w:tcPr>
          <w:p>
            <w:pPr>
              <w:spacing w:after="0"/>
              <w:rPr>
                <w:sz w:val="1"/>
                <w:szCs w:val="1"/>
                <w:color w:val="auto"/>
              </w:rPr>
            </w:pPr>
          </w:p>
        </w:tc>
      </w:tr>
      <w:tr>
        <w:trPr>
          <w:trHeight w:val="168"/>
        </w:trPr>
        <w:tc>
          <w:tcPr>
            <w:tcW w:w="766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Accrued expenses and other current liabilities</w:t>
            </w: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47"/>
              <w:spacing w:after="0" w:line="168" w:lineRule="exact"/>
              <w:rPr>
                <w:sz w:val="20"/>
                <w:szCs w:val="20"/>
                <w:color w:val="auto"/>
              </w:rPr>
            </w:pPr>
            <w:r>
              <w:rPr>
                <w:rFonts w:ascii="Arial" w:cs="Arial" w:eastAsia="Arial" w:hAnsi="Arial"/>
                <w:sz w:val="15"/>
                <w:szCs w:val="15"/>
                <w:color w:val="auto"/>
              </w:rPr>
              <w:t>9,295,180</w:t>
            </w: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8,713,249</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FF0FC"/>
            </w:tcBorders>
          </w:tcPr>
          <w:p>
            <w:pPr>
              <w:ind w:left="160"/>
              <w:spacing w:after="0" w:line="168" w:lineRule="exact"/>
              <w:rPr>
                <w:sz w:val="20"/>
                <w:szCs w:val="20"/>
                <w:color w:val="auto"/>
              </w:rPr>
            </w:pPr>
            <w:r>
              <w:rPr>
                <w:rFonts w:ascii="Arial" w:cs="Arial" w:eastAsia="Arial" w:hAnsi="Arial"/>
                <w:sz w:val="15"/>
                <w:szCs w:val="15"/>
                <w:color w:val="auto"/>
              </w:rPr>
              <w:t>Operating lease liability, current portion</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7"/>
              <w:spacing w:after="0" w:line="168" w:lineRule="exact"/>
              <w:rPr>
                <w:sz w:val="20"/>
                <w:szCs w:val="20"/>
                <w:color w:val="auto"/>
              </w:rPr>
            </w:pPr>
            <w:r>
              <w:rPr>
                <w:rFonts w:ascii="Arial" w:cs="Arial" w:eastAsia="Arial" w:hAnsi="Arial"/>
                <w:sz w:val="15"/>
                <w:szCs w:val="15"/>
                <w:color w:val="auto"/>
              </w:rPr>
              <w:t>620,675</w:t>
            </w:r>
          </w:p>
        </w:tc>
        <w:tc>
          <w:tcPr>
            <w:tcW w:w="18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6"/>
              <w:spacing w:after="0" w:line="168" w:lineRule="exact"/>
              <w:rPr>
                <w:sz w:val="20"/>
                <w:szCs w:val="20"/>
                <w:color w:val="auto"/>
              </w:rPr>
            </w:pPr>
            <w:r>
              <w:rPr>
                <w:rFonts w:ascii="Arial" w:cs="Arial" w:eastAsia="Arial" w:hAnsi="Arial"/>
                <w:sz w:val="15"/>
                <w:szCs w:val="15"/>
                <w:color w:val="auto"/>
              </w:rPr>
              <w:t>1,220,587</w:t>
            </w:r>
          </w:p>
        </w:tc>
        <w:tc>
          <w:tcPr>
            <w:tcW w:w="0" w:type="dxa"/>
            <w:vAlign w:val="bottom"/>
          </w:tcPr>
          <w:p>
            <w:pPr>
              <w:spacing w:after="0"/>
              <w:rPr>
                <w:sz w:val="1"/>
                <w:szCs w:val="1"/>
                <w:color w:val="auto"/>
              </w:rPr>
            </w:pPr>
          </w:p>
        </w:tc>
      </w:tr>
      <w:tr>
        <w:trPr>
          <w:trHeight w:val="159"/>
        </w:trPr>
        <w:tc>
          <w:tcPr>
            <w:tcW w:w="76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Total current liabilities</w:t>
            </w:r>
          </w:p>
        </w:tc>
        <w:tc>
          <w:tcPr>
            <w:tcW w:w="38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47"/>
              <w:spacing w:after="0" w:line="159" w:lineRule="exact"/>
              <w:rPr>
                <w:sz w:val="20"/>
                <w:szCs w:val="20"/>
                <w:color w:val="auto"/>
              </w:rPr>
            </w:pPr>
            <w:r>
              <w:rPr>
                <w:rFonts w:ascii="Arial" w:cs="Arial" w:eastAsia="Arial" w:hAnsi="Arial"/>
                <w:sz w:val="15"/>
                <w:szCs w:val="15"/>
                <w:color w:val="auto"/>
              </w:rPr>
              <w:t>23,065,184</w:t>
            </w: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6"/>
              <w:spacing w:after="0" w:line="159" w:lineRule="exact"/>
              <w:rPr>
                <w:sz w:val="20"/>
                <w:szCs w:val="20"/>
                <w:color w:val="auto"/>
              </w:rPr>
            </w:pPr>
            <w:r>
              <w:rPr>
                <w:rFonts w:ascii="Arial" w:cs="Arial" w:eastAsia="Arial" w:hAnsi="Arial"/>
                <w:sz w:val="15"/>
                <w:szCs w:val="15"/>
                <w:color w:val="auto"/>
              </w:rPr>
              <w:t>23,437,858</w:t>
            </w:r>
          </w:p>
        </w:tc>
        <w:tc>
          <w:tcPr>
            <w:tcW w:w="0" w:type="dxa"/>
            <w:vAlign w:val="bottom"/>
          </w:tcPr>
          <w:p>
            <w:pPr>
              <w:spacing w:after="0"/>
              <w:rPr>
                <w:sz w:val="1"/>
                <w:szCs w:val="1"/>
                <w:color w:val="auto"/>
              </w:rPr>
            </w:pP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Loan payable, long-term</w:t>
            </w:r>
          </w:p>
        </w:tc>
        <w:tc>
          <w:tcPr>
            <w:tcW w:w="38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Arial" w:cs="Arial" w:eastAsia="Arial" w:hAnsi="Arial"/>
                <w:sz w:val="15"/>
                <w:szCs w:val="15"/>
                <w:color w:val="auto"/>
              </w:rPr>
              <w:t>49,089,522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46"/>
              <w:spacing w:after="0" w:line="168" w:lineRule="exact"/>
              <w:rPr>
                <w:sz w:val="20"/>
                <w:szCs w:val="20"/>
                <w:color w:val="auto"/>
              </w:rPr>
            </w:pPr>
            <w:r>
              <w:rPr>
                <w:rFonts w:ascii="Arial" w:cs="Arial" w:eastAsia="Arial" w:hAnsi="Arial"/>
                <w:sz w:val="15"/>
                <w:szCs w:val="15"/>
                <w:color w:val="auto"/>
              </w:rPr>
              <w:t>48,321,848</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Operating lease liability, long-term</w:t>
            </w:r>
          </w:p>
        </w:tc>
        <w:tc>
          <w:tcPr>
            <w:tcW w:w="3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ind w:right="47"/>
              <w:spacing w:after="0" w:line="168"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581,708</w:t>
            </w:r>
          </w:p>
        </w:tc>
        <w:tc>
          <w:tcPr>
            <w:tcW w:w="0" w:type="dxa"/>
            <w:vAlign w:val="bottom"/>
          </w:tcPr>
          <w:p>
            <w:pPr>
              <w:spacing w:after="0"/>
              <w:rPr>
                <w:sz w:val="1"/>
                <w:szCs w:val="1"/>
                <w:color w:val="auto"/>
              </w:rPr>
            </w:pPr>
          </w:p>
        </w:tc>
      </w:tr>
      <w:tr>
        <w:trPr>
          <w:trHeight w:val="159"/>
        </w:trPr>
        <w:tc>
          <w:tcPr>
            <w:tcW w:w="7660" w:type="dxa"/>
            <w:vAlign w:val="bottom"/>
          </w:tcPr>
          <w:p>
            <w:pPr>
              <w:ind w:left="20"/>
              <w:spacing w:after="0" w:line="159" w:lineRule="exact"/>
              <w:rPr>
                <w:sz w:val="20"/>
                <w:szCs w:val="20"/>
                <w:color w:val="auto"/>
              </w:rPr>
            </w:pPr>
            <w:r>
              <w:rPr>
                <w:rFonts w:ascii="Arial" w:cs="Arial" w:eastAsia="Arial" w:hAnsi="Arial"/>
                <w:sz w:val="15"/>
                <w:szCs w:val="15"/>
                <w:color w:val="auto"/>
              </w:rPr>
              <w:t>Total liabilities</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rPr>
              <w:t>72,154,706</w:t>
            </w:r>
          </w:p>
        </w:tc>
        <w:tc>
          <w:tcPr>
            <w:tcW w:w="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6"/>
              <w:spacing w:after="0" w:line="159" w:lineRule="exact"/>
              <w:rPr>
                <w:sz w:val="20"/>
                <w:szCs w:val="20"/>
                <w:color w:val="auto"/>
              </w:rPr>
            </w:pPr>
            <w:r>
              <w:rPr>
                <w:rFonts w:ascii="Arial" w:cs="Arial" w:eastAsia="Arial" w:hAnsi="Arial"/>
                <w:sz w:val="15"/>
                <w:szCs w:val="15"/>
                <w:color w:val="auto"/>
              </w:rPr>
              <w:t>72,341,414</w:t>
            </w:r>
          </w:p>
        </w:tc>
        <w:tc>
          <w:tcPr>
            <w:tcW w:w="0" w:type="dxa"/>
            <w:vAlign w:val="bottom"/>
          </w:tcPr>
          <w:p>
            <w:pPr>
              <w:spacing w:after="0"/>
              <w:rPr>
                <w:sz w:val="1"/>
                <w:szCs w:val="1"/>
                <w:color w:val="auto"/>
              </w:rPr>
            </w:pPr>
          </w:p>
        </w:tc>
      </w:tr>
      <w:tr>
        <w:trPr>
          <w:trHeight w:val="159"/>
        </w:trPr>
        <w:tc>
          <w:tcPr>
            <w:tcW w:w="76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Stockholders’ equity:</w:t>
            </w:r>
          </w:p>
        </w:tc>
        <w:tc>
          <w:tcPr>
            <w:tcW w:w="3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60" w:type="dxa"/>
            <w:vAlign w:val="bottom"/>
          </w:tcPr>
          <w:p>
            <w:pPr>
              <w:ind w:left="20"/>
              <w:spacing w:after="0" w:line="135" w:lineRule="exact"/>
              <w:rPr>
                <w:sz w:val="20"/>
                <w:szCs w:val="20"/>
                <w:color w:val="auto"/>
              </w:rPr>
            </w:pPr>
            <w:r>
              <w:rPr>
                <w:rFonts w:ascii="Arial" w:cs="Arial" w:eastAsia="Arial" w:hAnsi="Arial"/>
                <w:sz w:val="15"/>
                <w:szCs w:val="15"/>
                <w:color w:val="auto"/>
              </w:rPr>
              <w:t>Preferred stock, $0.0001 par value per share (10,000,000 shares authorized, none</w:t>
            </w: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660" w:type="dxa"/>
            <w:vAlign w:val="bottom"/>
          </w:tcPr>
          <w:p>
            <w:pPr>
              <w:ind w:left="140"/>
              <w:spacing w:after="0" w:line="146" w:lineRule="exact"/>
              <w:rPr>
                <w:sz w:val="20"/>
                <w:szCs w:val="20"/>
                <w:color w:val="auto"/>
              </w:rPr>
            </w:pPr>
            <w:r>
              <w:rPr>
                <w:rFonts w:ascii="Arial" w:cs="Arial" w:eastAsia="Arial" w:hAnsi="Arial"/>
                <w:sz w:val="15"/>
                <w:szCs w:val="15"/>
                <w:color w:val="auto"/>
              </w:rPr>
              <w:t>issued and outstanding at December 31, 2021 and December 31, 2020,</w:t>
            </w:r>
          </w:p>
        </w:tc>
        <w:tc>
          <w:tcPr>
            <w:tcW w:w="380" w:type="dxa"/>
            <w:vAlign w:val="bottom"/>
          </w:tcPr>
          <w:p>
            <w:pPr>
              <w:spacing w:after="0"/>
              <w:rPr>
                <w:sz w:val="12"/>
                <w:szCs w:val="12"/>
                <w:color w:val="auto"/>
              </w:rPr>
            </w:pPr>
          </w:p>
        </w:tc>
        <w:tc>
          <w:tcPr>
            <w:tcW w:w="1340" w:type="dxa"/>
            <w:vAlign w:val="bottom"/>
            <w:vMerge w:val="restart"/>
          </w:tcPr>
          <w:p>
            <w:pPr>
              <w:jc w:val="right"/>
              <w:ind w:right="4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7660" w:type="dxa"/>
            <w:vAlign w:val="bottom"/>
          </w:tcPr>
          <w:p>
            <w:pPr>
              <w:ind w:left="140"/>
              <w:spacing w:after="0"/>
              <w:rPr>
                <w:sz w:val="20"/>
                <w:szCs w:val="20"/>
                <w:color w:val="auto"/>
              </w:rPr>
            </w:pPr>
            <w:r>
              <w:rPr>
                <w:rFonts w:ascii="Arial" w:cs="Arial" w:eastAsia="Arial" w:hAnsi="Arial"/>
                <w:sz w:val="15"/>
                <w:szCs w:val="15"/>
                <w:color w:val="auto"/>
              </w:rPr>
              <w:t>respectively</w:t>
            </w:r>
          </w:p>
        </w:tc>
        <w:tc>
          <w:tcPr>
            <w:tcW w:w="3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660" w:type="dxa"/>
            <w:vAlign w:val="bottom"/>
            <w:shd w:val="clear" w:color="auto" w:fill="CFF0FC"/>
          </w:tcPr>
          <w:p>
            <w:pPr>
              <w:ind w:left="20"/>
              <w:spacing w:after="0" w:line="135" w:lineRule="exact"/>
              <w:rPr>
                <w:sz w:val="20"/>
                <w:szCs w:val="20"/>
                <w:color w:val="auto"/>
              </w:rPr>
            </w:pPr>
            <w:r>
              <w:rPr>
                <w:rFonts w:ascii="Arial" w:cs="Arial" w:eastAsia="Arial" w:hAnsi="Arial"/>
                <w:sz w:val="15"/>
                <w:szCs w:val="15"/>
                <w:color w:val="auto"/>
              </w:rPr>
              <w:t>Common stock, $0.0001 par value per share (150,000,000 shares authorized,</w:t>
            </w:r>
          </w:p>
        </w:tc>
        <w:tc>
          <w:tcPr>
            <w:tcW w:w="3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7660" w:type="dxa"/>
            <w:vAlign w:val="bottom"/>
            <w:shd w:val="clear" w:color="auto" w:fill="CFF0FC"/>
          </w:tcPr>
          <w:p>
            <w:pPr>
              <w:ind w:left="140"/>
              <w:spacing w:after="0" w:line="146" w:lineRule="exact"/>
              <w:rPr>
                <w:sz w:val="20"/>
                <w:szCs w:val="20"/>
                <w:color w:val="auto"/>
              </w:rPr>
            </w:pPr>
            <w:r>
              <w:rPr>
                <w:rFonts w:ascii="Arial" w:cs="Arial" w:eastAsia="Arial" w:hAnsi="Arial"/>
                <w:sz w:val="15"/>
                <w:szCs w:val="15"/>
                <w:color w:val="auto"/>
              </w:rPr>
              <w:t>37,816,794 and 37,374,088 shares issued and outstanding at</w:t>
            </w:r>
          </w:p>
        </w:tc>
        <w:tc>
          <w:tcPr>
            <w:tcW w:w="38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ind w:right="47"/>
              <w:spacing w:after="0"/>
              <w:rPr>
                <w:sz w:val="20"/>
                <w:szCs w:val="20"/>
                <w:color w:val="auto"/>
              </w:rPr>
            </w:pPr>
            <w:r>
              <w:rPr>
                <w:rFonts w:ascii="Arial" w:cs="Arial" w:eastAsia="Arial" w:hAnsi="Arial"/>
                <w:sz w:val="15"/>
                <w:szCs w:val="15"/>
                <w:color w:val="auto"/>
              </w:rPr>
              <w:t>3,782</w:t>
            </w: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80" w:type="dxa"/>
            <w:vAlign w:val="bottom"/>
            <w:vMerge w:val="restart"/>
            <w:shd w:val="clear" w:color="auto" w:fill="CFF0FC"/>
          </w:tcPr>
          <w:p>
            <w:pPr>
              <w:jc w:val="right"/>
              <w:ind w:right="46"/>
              <w:spacing w:after="0"/>
              <w:rPr>
                <w:sz w:val="20"/>
                <w:szCs w:val="20"/>
                <w:color w:val="auto"/>
              </w:rPr>
            </w:pPr>
            <w:r>
              <w:rPr>
                <w:rFonts w:ascii="Arial" w:cs="Arial" w:eastAsia="Arial" w:hAnsi="Arial"/>
                <w:sz w:val="15"/>
                <w:szCs w:val="15"/>
                <w:color w:val="auto"/>
              </w:rPr>
              <w:t>3,737</w:t>
            </w:r>
          </w:p>
        </w:tc>
        <w:tc>
          <w:tcPr>
            <w:tcW w:w="0" w:type="dxa"/>
            <w:vAlign w:val="bottom"/>
          </w:tcPr>
          <w:p>
            <w:pPr>
              <w:spacing w:after="0"/>
              <w:rPr>
                <w:sz w:val="1"/>
                <w:szCs w:val="1"/>
                <w:color w:val="auto"/>
              </w:rPr>
            </w:pPr>
          </w:p>
        </w:tc>
      </w:tr>
      <w:tr>
        <w:trPr>
          <w:trHeight w:val="178"/>
        </w:trPr>
        <w:tc>
          <w:tcPr>
            <w:tcW w:w="76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December 31, 2021 and December 31, 2020, respectively</w:t>
            </w:r>
          </w:p>
        </w:tc>
        <w:tc>
          <w:tcPr>
            <w:tcW w:w="380" w:type="dxa"/>
            <w:vAlign w:val="bottom"/>
            <w:shd w:val="clear" w:color="auto" w:fill="CFF0FC"/>
          </w:tcPr>
          <w:p>
            <w:pPr>
              <w:spacing w:after="0"/>
              <w:rPr>
                <w:sz w:val="15"/>
                <w:szCs w:val="15"/>
                <w:color w:val="auto"/>
              </w:rPr>
            </w:pPr>
          </w:p>
        </w:tc>
        <w:tc>
          <w:tcPr>
            <w:tcW w:w="134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8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Additional paid-in capital</w:t>
            </w:r>
          </w:p>
        </w:tc>
        <w:tc>
          <w:tcPr>
            <w:tcW w:w="380" w:type="dxa"/>
            <w:vAlign w:val="bottom"/>
          </w:tcPr>
          <w:p>
            <w:pPr>
              <w:spacing w:after="0"/>
              <w:rPr>
                <w:sz w:val="14"/>
                <w:szCs w:val="14"/>
                <w:color w:val="auto"/>
              </w:rPr>
            </w:pPr>
          </w:p>
        </w:tc>
        <w:tc>
          <w:tcPr>
            <w:tcW w:w="1340" w:type="dxa"/>
            <w:vAlign w:val="bottom"/>
          </w:tcPr>
          <w:p>
            <w:pPr>
              <w:jc w:val="right"/>
              <w:ind w:right="47"/>
              <w:spacing w:after="0" w:line="168" w:lineRule="exact"/>
              <w:rPr>
                <w:sz w:val="20"/>
                <w:szCs w:val="20"/>
                <w:color w:val="auto"/>
              </w:rPr>
            </w:pPr>
            <w:r>
              <w:rPr>
                <w:rFonts w:ascii="Arial" w:cs="Arial" w:eastAsia="Arial" w:hAnsi="Arial"/>
                <w:sz w:val="15"/>
                <w:szCs w:val="15"/>
                <w:color w:val="auto"/>
              </w:rPr>
              <w:t>424,825,655</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46"/>
              <w:spacing w:after="0" w:line="168" w:lineRule="exact"/>
              <w:rPr>
                <w:sz w:val="20"/>
                <w:szCs w:val="20"/>
                <w:color w:val="auto"/>
              </w:rPr>
            </w:pPr>
            <w:r>
              <w:rPr>
                <w:rFonts w:ascii="Arial" w:cs="Arial" w:eastAsia="Arial" w:hAnsi="Arial"/>
                <w:sz w:val="15"/>
                <w:szCs w:val="15"/>
                <w:color w:val="auto"/>
              </w:rPr>
              <w:t>392,585,265</w:t>
            </w:r>
          </w:p>
        </w:tc>
        <w:tc>
          <w:tcPr>
            <w:tcW w:w="0" w:type="dxa"/>
            <w:vAlign w:val="bottom"/>
          </w:tcPr>
          <w:p>
            <w:pPr>
              <w:spacing w:after="0"/>
              <w:rPr>
                <w:sz w:val="1"/>
                <w:szCs w:val="1"/>
                <w:color w:val="auto"/>
              </w:rPr>
            </w:pPr>
          </w:p>
        </w:tc>
      </w:tr>
      <w:tr>
        <w:trPr>
          <w:trHeight w:val="168"/>
        </w:trPr>
        <w:tc>
          <w:tcPr>
            <w:tcW w:w="766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Accumulated deficit</w:t>
            </w:r>
          </w:p>
        </w:tc>
        <w:tc>
          <w:tcPr>
            <w:tcW w:w="3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(409,199,085 )</w:t>
            </w:r>
          </w:p>
        </w:tc>
        <w:tc>
          <w:tcPr>
            <w:tcW w:w="18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(278,796,093 )</w:t>
            </w:r>
          </w:p>
        </w:tc>
        <w:tc>
          <w:tcPr>
            <w:tcW w:w="0" w:type="dxa"/>
            <w:vAlign w:val="bottom"/>
          </w:tcPr>
          <w:p>
            <w:pPr>
              <w:spacing w:after="0"/>
              <w:rPr>
                <w:sz w:val="1"/>
                <w:szCs w:val="1"/>
                <w:color w:val="auto"/>
              </w:rPr>
            </w:pPr>
          </w:p>
        </w:tc>
      </w:tr>
      <w:tr>
        <w:trPr>
          <w:trHeight w:val="159"/>
        </w:trPr>
        <w:tc>
          <w:tcPr>
            <w:tcW w:w="7660" w:type="dxa"/>
            <w:vAlign w:val="bottom"/>
          </w:tcPr>
          <w:p>
            <w:pPr>
              <w:ind w:left="20"/>
              <w:spacing w:after="0" w:line="159" w:lineRule="exact"/>
              <w:rPr>
                <w:sz w:val="20"/>
                <w:szCs w:val="20"/>
                <w:color w:val="auto"/>
              </w:rPr>
            </w:pPr>
            <w:r>
              <w:rPr>
                <w:rFonts w:ascii="Arial" w:cs="Arial" w:eastAsia="Arial" w:hAnsi="Arial"/>
                <w:sz w:val="15"/>
                <w:szCs w:val="15"/>
                <w:color w:val="auto"/>
              </w:rPr>
              <w:t>Total stockholders’ equity</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rPr>
              <w:t>15,630,352</w:t>
            </w:r>
          </w:p>
        </w:tc>
        <w:tc>
          <w:tcPr>
            <w:tcW w:w="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6"/>
              <w:spacing w:after="0" w:line="159" w:lineRule="exact"/>
              <w:rPr>
                <w:sz w:val="20"/>
                <w:szCs w:val="20"/>
                <w:color w:val="auto"/>
              </w:rPr>
            </w:pPr>
            <w:r>
              <w:rPr>
                <w:rFonts w:ascii="Arial" w:cs="Arial" w:eastAsia="Arial" w:hAnsi="Arial"/>
                <w:sz w:val="15"/>
                <w:szCs w:val="15"/>
                <w:color w:val="auto"/>
              </w:rPr>
              <w:t>113,792,909</w:t>
            </w:r>
          </w:p>
        </w:tc>
        <w:tc>
          <w:tcPr>
            <w:tcW w:w="0" w:type="dxa"/>
            <w:vAlign w:val="bottom"/>
          </w:tcPr>
          <w:p>
            <w:pPr>
              <w:spacing w:after="0"/>
              <w:rPr>
                <w:sz w:val="1"/>
                <w:szCs w:val="1"/>
                <w:color w:val="auto"/>
              </w:rPr>
            </w:pPr>
          </w:p>
        </w:tc>
      </w:tr>
      <w:tr>
        <w:trPr>
          <w:trHeight w:val="199"/>
        </w:trPr>
        <w:tc>
          <w:tcPr>
            <w:tcW w:w="766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Total liabilities and stockholders’ equity</w:t>
            </w:r>
          </w:p>
        </w:tc>
        <w:tc>
          <w:tcPr>
            <w:tcW w:w="380" w:type="dxa"/>
            <w:vAlign w:val="bottom"/>
            <w:tcBorders>
              <w:bottom w:val="single" w:sz="8" w:color="auto"/>
            </w:tcBorders>
            <w:shd w:val="clear" w:color="auto" w:fill="CFF0FC"/>
          </w:tcPr>
          <w:p>
            <w:pPr>
              <w:jc w:val="right"/>
              <w:ind w:right="226"/>
              <w:spacing w:after="0" w:line="15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47"/>
              <w:spacing w:after="0" w:line="159" w:lineRule="exact"/>
              <w:rPr>
                <w:sz w:val="20"/>
                <w:szCs w:val="20"/>
                <w:color w:val="auto"/>
              </w:rPr>
            </w:pPr>
            <w:r>
              <w:rPr>
                <w:rFonts w:ascii="Arial" w:cs="Arial" w:eastAsia="Arial" w:hAnsi="Arial"/>
                <w:sz w:val="15"/>
                <w:szCs w:val="15"/>
                <w:color w:val="auto"/>
              </w:rPr>
              <w:t>87,785,058</w:t>
            </w:r>
          </w:p>
        </w:tc>
        <w:tc>
          <w:tcPr>
            <w:tcW w:w="1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6"/>
              <w:spacing w:after="0" w:line="15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46"/>
              <w:spacing w:after="0" w:line="159" w:lineRule="exact"/>
              <w:rPr>
                <w:sz w:val="20"/>
                <w:szCs w:val="20"/>
                <w:color w:val="auto"/>
              </w:rPr>
            </w:pPr>
            <w:r>
              <w:rPr>
                <w:rFonts w:ascii="Arial" w:cs="Arial" w:eastAsia="Arial" w:hAnsi="Arial"/>
                <w:sz w:val="15"/>
                <w:szCs w:val="15"/>
                <w:color w:val="auto"/>
              </w:rPr>
              <w:t>186,134,323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5956300</wp:posOffset>
            </wp:positionH>
            <wp:positionV relativeFrom="paragraph">
              <wp:posOffset>-2148205</wp:posOffset>
            </wp:positionV>
            <wp:extent cx="113665"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-2134235</wp:posOffset>
            </wp:positionV>
            <wp:extent cx="113665"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-1595120</wp:posOffset>
            </wp:positionV>
            <wp:extent cx="113665" cy="4763"/>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3665" cy="4763"/>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-1266190</wp:posOffset>
            </wp:positionV>
            <wp:extent cx="113665" cy="4763"/>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3665" cy="4763"/>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-245110</wp:posOffset>
            </wp:positionV>
            <wp:extent cx="113665" cy="4763"/>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3665" cy="4763"/>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-20955</wp:posOffset>
            </wp:positionV>
            <wp:extent cx="11366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3665" cy="6985"/>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-6350</wp:posOffset>
            </wp:positionV>
            <wp:extent cx="11366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0" w:name="page121"/>
    <w:bookmarkEnd w:id="12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Axsome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5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9"/>
              </w:rPr>
              <w:t>Year ended December 31,</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36"/>
        </w:trPr>
        <w:tc>
          <w:tcPr>
            <w:tcW w:w="65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07"/>
              <w:spacing w:after="0" w:line="137"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07"/>
              <w:spacing w:after="0" w:line="137"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7"/>
              <w:spacing w:after="0" w:line="137" w:lineRule="exact"/>
              <w:rPr>
                <w:sz w:val="20"/>
                <w:szCs w:val="20"/>
                <w:color w:val="auto"/>
              </w:rPr>
            </w:pPr>
            <w:r>
              <w:rPr>
                <w:rFonts w:ascii="Arial" w:cs="Arial" w:eastAsia="Arial" w:hAnsi="Arial"/>
                <w:sz w:val="12"/>
                <w:szCs w:val="12"/>
                <w:b w:val="1"/>
                <w:bCs w:val="1"/>
                <w:color w:val="auto"/>
              </w:rPr>
              <w:t>2019</w:t>
            </w:r>
          </w:p>
        </w:tc>
      </w:tr>
      <w:tr>
        <w:trPr>
          <w:trHeight w:val="159"/>
        </w:trPr>
        <w:tc>
          <w:tcPr>
            <w:tcW w:w="650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Operating expenses:</w:t>
            </w: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8"/>
        </w:trPr>
        <w:tc>
          <w:tcPr>
            <w:tcW w:w="6500" w:type="dxa"/>
            <w:vAlign w:val="bottom"/>
          </w:tcPr>
          <w:p>
            <w:pPr>
              <w:ind w:left="160"/>
              <w:spacing w:after="0" w:line="168" w:lineRule="exact"/>
              <w:rPr>
                <w:sz w:val="20"/>
                <w:szCs w:val="20"/>
                <w:color w:val="auto"/>
              </w:rPr>
            </w:pPr>
            <w:r>
              <w:rPr>
                <w:rFonts w:ascii="Arial" w:cs="Arial" w:eastAsia="Arial" w:hAnsi="Arial"/>
                <w:sz w:val="15"/>
                <w:szCs w:val="15"/>
                <w:color w:val="auto"/>
              </w:rPr>
              <w:t>Research and development</w:t>
            </w:r>
          </w:p>
        </w:tc>
        <w:tc>
          <w:tcPr>
            <w:tcW w:w="340" w:type="dxa"/>
            <w:vAlign w:val="bottom"/>
          </w:tcPr>
          <w:p>
            <w:pPr>
              <w:jc w:val="right"/>
              <w:ind w:right="166"/>
              <w:spacing w:after="0" w:line="168" w:lineRule="exact"/>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7"/>
              <w:spacing w:after="0" w:line="168" w:lineRule="exact"/>
              <w:rPr>
                <w:sz w:val="20"/>
                <w:szCs w:val="20"/>
                <w:color w:val="auto"/>
              </w:rPr>
            </w:pPr>
            <w:r>
              <w:rPr>
                <w:rFonts w:ascii="Arial" w:cs="Arial" w:eastAsia="Arial" w:hAnsi="Arial"/>
                <w:sz w:val="15"/>
                <w:szCs w:val="15"/>
                <w:color w:val="auto"/>
              </w:rPr>
              <w:t>58,060,725</w:t>
            </w:r>
          </w:p>
        </w:tc>
        <w:tc>
          <w:tcPr>
            <w:tcW w:w="480" w:type="dxa"/>
            <w:vAlign w:val="bottom"/>
            <w:gridSpan w:val="2"/>
          </w:tcPr>
          <w:p>
            <w:pPr>
              <w:ind w:left="160"/>
              <w:spacing w:after="0" w:line="168"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27"/>
              <w:spacing w:after="0" w:line="168" w:lineRule="exact"/>
              <w:rPr>
                <w:sz w:val="20"/>
                <w:szCs w:val="20"/>
                <w:color w:val="auto"/>
              </w:rPr>
            </w:pPr>
            <w:r>
              <w:rPr>
                <w:rFonts w:ascii="Arial" w:cs="Arial" w:eastAsia="Arial" w:hAnsi="Arial"/>
                <w:sz w:val="15"/>
                <w:szCs w:val="15"/>
                <w:color w:val="auto"/>
              </w:rPr>
              <w:t>70,244,579</w:t>
            </w:r>
          </w:p>
        </w:tc>
        <w:tc>
          <w:tcPr>
            <w:tcW w:w="460" w:type="dxa"/>
            <w:vAlign w:val="bottom"/>
            <w:gridSpan w:val="2"/>
          </w:tcPr>
          <w:p>
            <w:pPr>
              <w:jc w:val="right"/>
              <w:ind w:right="166"/>
              <w:spacing w:after="0" w:line="168"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27"/>
              <w:spacing w:after="0" w:line="168" w:lineRule="exact"/>
              <w:rPr>
                <w:sz w:val="20"/>
                <w:szCs w:val="20"/>
                <w:color w:val="auto"/>
              </w:rPr>
            </w:pPr>
            <w:r>
              <w:rPr>
                <w:rFonts w:ascii="Arial" w:cs="Arial" w:eastAsia="Arial" w:hAnsi="Arial"/>
                <w:sz w:val="15"/>
                <w:szCs w:val="15"/>
                <w:color w:val="auto"/>
              </w:rPr>
              <w:t>53,647,067</w:t>
            </w:r>
          </w:p>
        </w:tc>
      </w:tr>
      <w:tr>
        <w:trPr>
          <w:trHeight w:val="168"/>
        </w:trPr>
        <w:tc>
          <w:tcPr>
            <w:tcW w:w="6500" w:type="dxa"/>
            <w:vAlign w:val="bottom"/>
            <w:tcBorders>
              <w:bottom w:val="single" w:sz="8" w:color="CFF0FC"/>
            </w:tcBorders>
            <w:shd w:val="clear" w:color="auto" w:fill="CFF0FC"/>
          </w:tcPr>
          <w:p>
            <w:pPr>
              <w:ind w:left="160"/>
              <w:spacing w:after="0" w:line="168" w:lineRule="exact"/>
              <w:rPr>
                <w:sz w:val="20"/>
                <w:szCs w:val="20"/>
                <w:color w:val="auto"/>
              </w:rPr>
            </w:pPr>
            <w:r>
              <w:rPr>
                <w:rFonts w:ascii="Arial" w:cs="Arial" w:eastAsia="Arial" w:hAnsi="Arial"/>
                <w:sz w:val="15"/>
                <w:szCs w:val="15"/>
                <w:color w:val="auto"/>
              </w:rPr>
              <w:t>General and administrative</w:t>
            </w:r>
          </w:p>
        </w:tc>
        <w:tc>
          <w:tcPr>
            <w:tcW w:w="3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47"/>
              <w:spacing w:after="0" w:line="168" w:lineRule="exact"/>
              <w:rPr>
                <w:sz w:val="20"/>
                <w:szCs w:val="20"/>
                <w:color w:val="auto"/>
              </w:rPr>
            </w:pPr>
            <w:r>
              <w:rPr>
                <w:rFonts w:ascii="Arial" w:cs="Arial" w:eastAsia="Arial" w:hAnsi="Arial"/>
                <w:sz w:val="15"/>
                <w:szCs w:val="15"/>
                <w:color w:val="auto"/>
              </w:rPr>
              <w:t>66,646,205</w:t>
            </w:r>
          </w:p>
        </w:tc>
        <w:tc>
          <w:tcPr>
            <w:tcW w:w="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28,896,749</w:t>
            </w: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13,598,030</w:t>
            </w:r>
          </w:p>
        </w:tc>
      </w:tr>
      <w:tr>
        <w:trPr>
          <w:trHeight w:val="159"/>
        </w:trPr>
        <w:tc>
          <w:tcPr>
            <w:tcW w:w="6500" w:type="dxa"/>
            <w:vAlign w:val="bottom"/>
          </w:tcPr>
          <w:p>
            <w:pPr>
              <w:ind w:left="20"/>
              <w:spacing w:after="0" w:line="159" w:lineRule="exact"/>
              <w:rPr>
                <w:sz w:val="20"/>
                <w:szCs w:val="20"/>
                <w:color w:val="auto"/>
              </w:rPr>
            </w:pPr>
            <w:r>
              <w:rPr>
                <w:rFonts w:ascii="Arial" w:cs="Arial" w:eastAsia="Arial" w:hAnsi="Arial"/>
                <w:sz w:val="15"/>
                <w:szCs w:val="15"/>
                <w:color w:val="auto"/>
              </w:rPr>
              <w:t>Total operating expenses</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rPr>
              <w:t>124,706,930</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99,141,328</w:t>
            </w:r>
          </w:p>
        </w:tc>
        <w:tc>
          <w:tcPr>
            <w:tcW w:w="1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7"/>
              <w:spacing w:after="0" w:line="159" w:lineRule="exact"/>
              <w:rPr>
                <w:sz w:val="20"/>
                <w:szCs w:val="20"/>
                <w:color w:val="auto"/>
              </w:rPr>
            </w:pPr>
            <w:r>
              <w:rPr>
                <w:rFonts w:ascii="Arial" w:cs="Arial" w:eastAsia="Arial" w:hAnsi="Arial"/>
                <w:sz w:val="15"/>
                <w:szCs w:val="15"/>
                <w:color w:val="auto"/>
              </w:rPr>
              <w:t>67,245,097</w:t>
            </w:r>
          </w:p>
        </w:tc>
      </w:tr>
      <w:tr>
        <w:trPr>
          <w:trHeight w:val="159"/>
        </w:trPr>
        <w:tc>
          <w:tcPr>
            <w:tcW w:w="650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Loss from operations</w:t>
            </w:r>
          </w:p>
        </w:tc>
        <w:tc>
          <w:tcPr>
            <w:tcW w:w="3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9" w:lineRule="exact"/>
              <w:rPr>
                <w:sz w:val="20"/>
                <w:szCs w:val="20"/>
                <w:color w:val="auto"/>
              </w:rPr>
            </w:pPr>
            <w:r>
              <w:rPr>
                <w:rFonts w:ascii="Arial" w:cs="Arial" w:eastAsia="Arial" w:hAnsi="Arial"/>
                <w:sz w:val="15"/>
                <w:szCs w:val="15"/>
                <w:color w:val="auto"/>
              </w:rPr>
              <w:t>(124,706,930 )</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9" w:lineRule="exact"/>
              <w:rPr>
                <w:sz w:val="20"/>
                <w:szCs w:val="20"/>
                <w:color w:val="auto"/>
              </w:rPr>
            </w:pPr>
            <w:r>
              <w:rPr>
                <w:rFonts w:ascii="Arial" w:cs="Arial" w:eastAsia="Arial" w:hAnsi="Arial"/>
                <w:sz w:val="15"/>
                <w:szCs w:val="15"/>
                <w:color w:val="auto"/>
              </w:rPr>
              <w:t>(99,141,328 )</w:t>
            </w: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9" w:lineRule="exact"/>
              <w:rPr>
                <w:sz w:val="20"/>
                <w:szCs w:val="20"/>
                <w:color w:val="auto"/>
              </w:rPr>
            </w:pPr>
            <w:r>
              <w:rPr>
                <w:rFonts w:ascii="Arial" w:cs="Arial" w:eastAsia="Arial" w:hAnsi="Arial"/>
                <w:sz w:val="15"/>
                <w:szCs w:val="15"/>
                <w:color w:val="auto"/>
              </w:rPr>
              <w:t>(67,245,097 )</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Interest and amortization of debt discount expense</w:t>
            </w:r>
          </w:p>
        </w:tc>
        <w:tc>
          <w:tcPr>
            <w:tcW w:w="3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Arial" w:cs="Arial" w:eastAsia="Arial" w:hAnsi="Arial"/>
                <w:sz w:val="15"/>
                <w:szCs w:val="15"/>
                <w:color w:val="auto"/>
              </w:rPr>
              <w:t>(5,696,062 )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Arial" w:cs="Arial" w:eastAsia="Arial" w:hAnsi="Arial"/>
                <w:sz w:val="15"/>
                <w:szCs w:val="15"/>
                <w:color w:val="auto"/>
              </w:rPr>
              <w:t>(2,565,838 )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Arial" w:cs="Arial" w:eastAsia="Arial" w:hAnsi="Arial"/>
                <w:sz w:val="15"/>
                <w:szCs w:val="15"/>
                <w:color w:val="auto"/>
              </w:rPr>
              <w:t>(1,239,537 )</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Tax credit</w:t>
            </w: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7"/>
              <w:spacing w:after="0" w:line="168"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53,578</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139,448</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Loss on extinguishment of debt</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
              <w:spacing w:after="0" w:line="168"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(1,247,012 )</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
              <w:spacing w:after="0" w:line="168" w:lineRule="exact"/>
              <w:rPr>
                <w:sz w:val="20"/>
                <w:szCs w:val="20"/>
                <w:color w:val="auto"/>
              </w:rPr>
            </w:pPr>
            <w:r>
              <w:rPr>
                <w:rFonts w:ascii="Arial" w:cs="Arial" w:eastAsia="Arial" w:hAnsi="Arial"/>
                <w:sz w:val="15"/>
                <w:szCs w:val="15"/>
                <w:color w:val="auto"/>
              </w:rPr>
              <w:t>—</w:t>
            </w:r>
          </w:p>
        </w:tc>
      </w:tr>
      <w:tr>
        <w:trPr>
          <w:trHeight w:val="199"/>
        </w:trPr>
        <w:tc>
          <w:tcPr>
            <w:tcW w:w="650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Net loss</w:t>
            </w:r>
          </w:p>
        </w:tc>
        <w:tc>
          <w:tcPr>
            <w:tcW w:w="340" w:type="dxa"/>
            <w:vAlign w:val="bottom"/>
            <w:tcBorders>
              <w:bottom w:val="single" w:sz="8" w:color="auto"/>
            </w:tcBorders>
            <w:shd w:val="clear" w:color="auto" w:fill="CFF0FC"/>
          </w:tcPr>
          <w:p>
            <w:pPr>
              <w:jc w:val="right"/>
              <w:ind w:right="166"/>
              <w:spacing w:after="0" w:line="159" w:lineRule="exact"/>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(130,402,992 )</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line="159"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(102,900,600 )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6"/>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(68,345,186 )</w:t>
            </w:r>
          </w:p>
        </w:tc>
      </w:tr>
      <w:tr>
        <w:trPr>
          <w:trHeight w:val="141"/>
        </w:trPr>
        <w:tc>
          <w:tcPr>
            <w:tcW w:w="6500" w:type="dxa"/>
            <w:vAlign w:val="bottom"/>
          </w:tcPr>
          <w:p>
            <w:pPr>
              <w:ind w:left="20"/>
              <w:spacing w:after="0" w:line="141" w:lineRule="exact"/>
              <w:rPr>
                <w:sz w:val="20"/>
                <w:szCs w:val="20"/>
                <w:color w:val="auto"/>
              </w:rPr>
            </w:pPr>
            <w:r>
              <w:rPr>
                <w:rFonts w:ascii="Arial" w:cs="Arial" w:eastAsia="Arial" w:hAnsi="Arial"/>
                <w:sz w:val="15"/>
                <w:szCs w:val="15"/>
                <w:color w:val="auto"/>
              </w:rPr>
              <w:t>Net loss per common share, basic and diluted</w:t>
            </w:r>
          </w:p>
        </w:tc>
        <w:tc>
          <w:tcPr>
            <w:tcW w:w="340" w:type="dxa"/>
            <w:vAlign w:val="bottom"/>
          </w:tcPr>
          <w:p>
            <w:pPr>
              <w:jc w:val="right"/>
              <w:ind w:right="166"/>
              <w:spacing w:after="0" w:line="141" w:lineRule="exact"/>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line="141" w:lineRule="exact"/>
              <w:rPr>
                <w:sz w:val="20"/>
                <w:szCs w:val="20"/>
                <w:color w:val="auto"/>
              </w:rPr>
            </w:pPr>
            <w:r>
              <w:rPr>
                <w:rFonts w:ascii="Arial" w:cs="Arial" w:eastAsia="Arial" w:hAnsi="Arial"/>
                <w:sz w:val="15"/>
                <w:szCs w:val="15"/>
                <w:color w:val="auto"/>
              </w:rPr>
              <w:t>(3.47 )</w:t>
            </w:r>
          </w:p>
        </w:tc>
        <w:tc>
          <w:tcPr>
            <w:tcW w:w="480" w:type="dxa"/>
            <w:vAlign w:val="bottom"/>
            <w:gridSpan w:val="2"/>
          </w:tcPr>
          <w:p>
            <w:pPr>
              <w:ind w:left="160"/>
              <w:spacing w:after="0" w:line="141"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41" w:lineRule="exact"/>
              <w:rPr>
                <w:sz w:val="20"/>
                <w:szCs w:val="20"/>
                <w:color w:val="auto"/>
              </w:rPr>
            </w:pPr>
            <w:r>
              <w:rPr>
                <w:rFonts w:ascii="Arial" w:cs="Arial" w:eastAsia="Arial" w:hAnsi="Arial"/>
                <w:sz w:val="15"/>
                <w:szCs w:val="15"/>
                <w:color w:val="auto"/>
              </w:rPr>
              <w:t>(2.77 )</w:t>
            </w:r>
          </w:p>
        </w:tc>
        <w:tc>
          <w:tcPr>
            <w:tcW w:w="460" w:type="dxa"/>
            <w:vAlign w:val="bottom"/>
            <w:gridSpan w:val="2"/>
          </w:tcPr>
          <w:p>
            <w:pPr>
              <w:jc w:val="right"/>
              <w:ind w:right="166"/>
              <w:spacing w:after="0" w:line="141"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41" w:lineRule="exact"/>
              <w:rPr>
                <w:sz w:val="20"/>
                <w:szCs w:val="20"/>
                <w:color w:val="auto"/>
              </w:rPr>
            </w:pPr>
            <w:r>
              <w:rPr>
                <w:rFonts w:ascii="Arial" w:cs="Arial" w:eastAsia="Arial" w:hAnsi="Arial"/>
                <w:sz w:val="15"/>
                <w:szCs w:val="15"/>
                <w:color w:val="auto"/>
              </w:rPr>
              <w:t>(2.01 )</w:t>
            </w:r>
          </w:p>
        </w:tc>
      </w:tr>
      <w:tr>
        <w:trPr>
          <w:trHeight w:val="20"/>
        </w:trPr>
        <w:tc>
          <w:tcPr>
            <w:tcW w:w="6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6500" w:type="dxa"/>
            <w:vAlign w:val="bottom"/>
            <w:tcBorders>
              <w:bottom w:val="single" w:sz="8" w:color="CFF0FC"/>
            </w:tcBorders>
            <w:shd w:val="clear" w:color="auto" w:fill="CFF0FC"/>
          </w:tcPr>
          <w:p>
            <w:pPr>
              <w:ind w:left="20"/>
              <w:spacing w:after="0" w:line="141" w:lineRule="exact"/>
              <w:rPr>
                <w:sz w:val="20"/>
                <w:szCs w:val="20"/>
                <w:color w:val="auto"/>
              </w:rPr>
            </w:pPr>
            <w:r>
              <w:rPr>
                <w:rFonts w:ascii="Arial" w:cs="Arial" w:eastAsia="Arial" w:hAnsi="Arial"/>
                <w:sz w:val="15"/>
                <w:szCs w:val="15"/>
                <w:color w:val="auto"/>
              </w:rPr>
              <w:t>Weighted average common shares outstanding, basic and diluted</w:t>
            </w:r>
          </w:p>
        </w:tc>
        <w:tc>
          <w:tcPr>
            <w:tcW w:w="3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47"/>
              <w:spacing w:after="0" w:line="141" w:lineRule="exact"/>
              <w:rPr>
                <w:sz w:val="20"/>
                <w:szCs w:val="20"/>
                <w:color w:val="auto"/>
              </w:rPr>
            </w:pPr>
            <w:r>
              <w:rPr>
                <w:rFonts w:ascii="Arial" w:cs="Arial" w:eastAsia="Arial" w:hAnsi="Arial"/>
                <w:sz w:val="15"/>
                <w:szCs w:val="15"/>
                <w:color w:val="auto"/>
              </w:rPr>
              <w:t>37,618,599</w:t>
            </w: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27"/>
              <w:spacing w:after="0" w:line="141" w:lineRule="exact"/>
              <w:rPr>
                <w:sz w:val="20"/>
                <w:szCs w:val="20"/>
                <w:color w:val="auto"/>
              </w:rPr>
            </w:pPr>
            <w:r>
              <w:rPr>
                <w:rFonts w:ascii="Arial" w:cs="Arial" w:eastAsia="Arial" w:hAnsi="Arial"/>
                <w:sz w:val="15"/>
                <w:szCs w:val="15"/>
                <w:color w:val="auto"/>
              </w:rPr>
              <w:t>37,206,928</w:t>
            </w: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27"/>
              <w:spacing w:after="0" w:line="141" w:lineRule="exact"/>
              <w:rPr>
                <w:sz w:val="20"/>
                <w:szCs w:val="20"/>
                <w:color w:val="auto"/>
              </w:rPr>
            </w:pPr>
            <w:r>
              <w:rPr>
                <w:rFonts w:ascii="Arial" w:cs="Arial" w:eastAsia="Arial" w:hAnsi="Arial"/>
                <w:sz w:val="15"/>
                <w:szCs w:val="15"/>
                <w:color w:val="auto"/>
              </w:rPr>
              <w:t>34,020,257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-932815</wp:posOffset>
            </wp:positionV>
            <wp:extent cx="99060" cy="4763"/>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9060" cy="4763"/>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-932815</wp:posOffset>
            </wp:positionV>
            <wp:extent cx="92075" cy="4763"/>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2075" cy="4763"/>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-276225</wp:posOffset>
            </wp:positionV>
            <wp:extent cx="9906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-261620</wp:posOffset>
            </wp:positionV>
            <wp:extent cx="9906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-276225</wp:posOffset>
            </wp:positionV>
            <wp:extent cx="9207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-261620</wp:posOffset>
            </wp:positionV>
            <wp:extent cx="9207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-20955</wp:posOffset>
            </wp:positionV>
            <wp:extent cx="9906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-6350</wp:posOffset>
            </wp:positionV>
            <wp:extent cx="9906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-20955</wp:posOffset>
            </wp:positionV>
            <wp:extent cx="9207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-6350</wp:posOffset>
            </wp:positionV>
            <wp:extent cx="92075"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2075" cy="698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1" w:name="page122"/>
    <w:bookmarkEnd w:id="12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Axsome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360" w:type="dxa"/>
            <w:vAlign w:val="bottom"/>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right"/>
              <w:ind w:right="387"/>
              <w:spacing w:after="0" w:line="130" w:lineRule="exact"/>
              <w:rPr>
                <w:sz w:val="20"/>
                <w:szCs w:val="20"/>
                <w:color w:val="auto"/>
              </w:rPr>
            </w:pPr>
            <w:r>
              <w:rPr>
                <w:rFonts w:ascii="Arial" w:cs="Arial" w:eastAsia="Arial" w:hAnsi="Arial"/>
                <w:sz w:val="12"/>
                <w:szCs w:val="12"/>
                <w:b w:val="1"/>
                <w:bCs w:val="1"/>
                <w:color w:val="auto"/>
              </w:rPr>
              <w:t>Additional</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tcPr>
          <w:p>
            <w:pPr>
              <w:jc w:val="center"/>
              <w:ind w:right="446"/>
              <w:spacing w:after="0" w:line="130" w:lineRule="exact"/>
              <w:rPr>
                <w:sz w:val="20"/>
                <w:szCs w:val="20"/>
                <w:color w:val="auto"/>
              </w:rPr>
            </w:pPr>
            <w:r>
              <w:rPr>
                <w:rFonts w:ascii="Arial" w:cs="Arial" w:eastAsia="Arial" w:hAnsi="Arial"/>
                <w:sz w:val="12"/>
                <w:szCs w:val="12"/>
                <w:b w:val="1"/>
                <w:bCs w:val="1"/>
                <w:color w:val="auto"/>
                <w:w w:val="87"/>
              </w:rPr>
              <w:t>Accumulated</w:t>
            </w:r>
          </w:p>
        </w:tc>
        <w:tc>
          <w:tcPr>
            <w:tcW w:w="1440" w:type="dxa"/>
            <w:vAlign w:val="bottom"/>
          </w:tcPr>
          <w:p>
            <w:pPr>
              <w:jc w:val="right"/>
              <w:ind w:right="307"/>
              <w:spacing w:after="0" w:line="130" w:lineRule="exact"/>
              <w:rPr>
                <w:sz w:val="20"/>
                <w:szCs w:val="20"/>
                <w:color w:val="auto"/>
              </w:rPr>
            </w:pPr>
            <w:r>
              <w:rPr>
                <w:rFonts w:ascii="Arial" w:cs="Arial" w:eastAsia="Arial" w:hAnsi="Arial"/>
                <w:sz w:val="12"/>
                <w:szCs w:val="12"/>
                <w:b w:val="1"/>
                <w:bCs w:val="1"/>
                <w:color w:val="auto"/>
                <w:w w:val="94"/>
              </w:rPr>
              <w:t>Total stockholders’</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220" w:type="dxa"/>
            <w:vAlign w:val="bottom"/>
          </w:tcPr>
          <w:p>
            <w:pPr>
              <w:jc w:val="right"/>
              <w:ind w:right="407"/>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06"/>
              <w:spacing w:after="0"/>
              <w:rPr>
                <w:sz w:val="20"/>
                <w:szCs w:val="20"/>
                <w:color w:val="auto"/>
              </w:rPr>
            </w:pPr>
            <w:r>
              <w:rPr>
                <w:rFonts w:ascii="Arial" w:cs="Arial" w:eastAsia="Arial" w:hAnsi="Arial"/>
                <w:sz w:val="12"/>
                <w:szCs w:val="12"/>
                <w:b w:val="1"/>
                <w:bCs w:val="1"/>
                <w:color w:val="auto"/>
                <w:w w:val="92"/>
              </w:rPr>
              <w:t>Amount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07"/>
              <w:spacing w:after="0"/>
              <w:rPr>
                <w:sz w:val="20"/>
                <w:szCs w:val="20"/>
                <w:color w:val="auto"/>
              </w:rPr>
            </w:pPr>
            <w:r>
              <w:rPr>
                <w:rFonts w:ascii="Arial" w:cs="Arial" w:eastAsia="Arial" w:hAnsi="Arial"/>
                <w:sz w:val="12"/>
                <w:szCs w:val="12"/>
                <w:b w:val="1"/>
                <w:bCs w:val="1"/>
                <w:color w:val="auto"/>
              </w:rPr>
              <w:t>paid-in capital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tcPr>
          <w:p>
            <w:pPr>
              <w:jc w:val="center"/>
              <w:ind w:right="446"/>
              <w:spacing w:after="0"/>
              <w:rPr>
                <w:sz w:val="20"/>
                <w:szCs w:val="20"/>
                <w:color w:val="auto"/>
              </w:rPr>
            </w:pPr>
            <w:r>
              <w:rPr>
                <w:rFonts w:ascii="Arial" w:cs="Arial" w:eastAsia="Arial" w:hAnsi="Arial"/>
                <w:sz w:val="12"/>
                <w:szCs w:val="12"/>
                <w:b w:val="1"/>
                <w:bCs w:val="1"/>
                <w:color w:val="auto"/>
                <w:w w:val="84"/>
              </w:rPr>
              <w:t>deficit</w:t>
            </w:r>
          </w:p>
        </w:tc>
        <w:tc>
          <w:tcPr>
            <w:tcW w:w="1440" w:type="dxa"/>
            <w:vAlign w:val="bottom"/>
          </w:tcPr>
          <w:p>
            <w:pPr>
              <w:jc w:val="right"/>
              <w:ind w:right="407"/>
              <w:spacing w:after="0"/>
              <w:rPr>
                <w:sz w:val="20"/>
                <w:szCs w:val="20"/>
                <w:color w:val="auto"/>
              </w:rPr>
            </w:pPr>
            <w:r>
              <w:rPr>
                <w:rFonts w:ascii="Arial" w:cs="Arial" w:eastAsia="Arial" w:hAnsi="Arial"/>
                <w:sz w:val="12"/>
                <w:szCs w:val="12"/>
                <w:b w:val="1"/>
                <w:bCs w:val="1"/>
                <w:color w:val="auto"/>
              </w:rPr>
              <w:t>equity (deficit)</w:t>
            </w:r>
          </w:p>
        </w:tc>
        <w:tc>
          <w:tcPr>
            <w:tcW w:w="0" w:type="dxa"/>
            <w:vAlign w:val="bottom"/>
          </w:tcPr>
          <w:p>
            <w:pPr>
              <w:spacing w:after="0"/>
              <w:rPr>
                <w:sz w:val="1"/>
                <w:szCs w:val="1"/>
                <w:color w:val="auto"/>
              </w:rPr>
            </w:pPr>
          </w:p>
        </w:tc>
      </w:tr>
      <w:tr>
        <w:trPr>
          <w:trHeight w:val="159"/>
        </w:trPr>
        <w:tc>
          <w:tcPr>
            <w:tcW w:w="43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Balance at December 31, 2018</w:t>
            </w:r>
          </w:p>
        </w:tc>
        <w:tc>
          <w:tcPr>
            <w:tcW w:w="1220" w:type="dxa"/>
            <w:vAlign w:val="bottom"/>
            <w:tcBorders>
              <w:top w:val="single" w:sz="8" w:color="auto"/>
            </w:tcBorders>
            <w:shd w:val="clear" w:color="auto" w:fill="CFF0FC"/>
          </w:tcPr>
          <w:p>
            <w:pPr>
              <w:jc w:val="right"/>
              <w:ind w:right="7"/>
              <w:spacing w:after="0" w:line="159" w:lineRule="exact"/>
              <w:rPr>
                <w:sz w:val="20"/>
                <w:szCs w:val="20"/>
                <w:color w:val="auto"/>
              </w:rPr>
            </w:pPr>
            <w:r>
              <w:rPr>
                <w:rFonts w:ascii="Arial" w:cs="Arial" w:eastAsia="Arial" w:hAnsi="Arial"/>
                <w:sz w:val="15"/>
                <w:szCs w:val="15"/>
                <w:color w:val="auto"/>
              </w:rPr>
              <w:t>30,087,213</w:t>
            </w:r>
          </w:p>
        </w:tc>
        <w:tc>
          <w:tcPr>
            <w:tcW w:w="4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ind w:right="6"/>
              <w:spacing w:after="0" w:line="159" w:lineRule="exact"/>
              <w:rPr>
                <w:sz w:val="20"/>
                <w:szCs w:val="20"/>
                <w:color w:val="auto"/>
              </w:rPr>
            </w:pPr>
            <w:r>
              <w:rPr>
                <w:rFonts w:ascii="Arial" w:cs="Arial" w:eastAsia="Arial" w:hAnsi="Arial"/>
                <w:sz w:val="15"/>
                <w:szCs w:val="15"/>
                <w:color w:val="auto"/>
              </w:rPr>
              <w:t>3,009</w:t>
            </w:r>
          </w:p>
        </w:tc>
        <w:tc>
          <w:tcPr>
            <w:tcW w:w="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ind w:right="27"/>
              <w:spacing w:after="0" w:line="159" w:lineRule="exact"/>
              <w:rPr>
                <w:sz w:val="20"/>
                <w:szCs w:val="20"/>
                <w:color w:val="auto"/>
              </w:rPr>
            </w:pPr>
            <w:r>
              <w:rPr>
                <w:rFonts w:ascii="Arial" w:cs="Arial" w:eastAsia="Arial" w:hAnsi="Arial"/>
                <w:sz w:val="15"/>
                <w:szCs w:val="15"/>
                <w:color w:val="auto"/>
              </w:rPr>
              <w:t>108,485,219</w:t>
            </w:r>
          </w:p>
        </w:tc>
        <w:tc>
          <w:tcPr>
            <w:tcW w:w="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(107,550,307 )</w:t>
            </w:r>
          </w:p>
        </w:tc>
        <w:tc>
          <w:tcPr>
            <w:tcW w:w="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ind w:right="27"/>
              <w:spacing w:after="0" w:line="159" w:lineRule="exact"/>
              <w:rPr>
                <w:sz w:val="20"/>
                <w:szCs w:val="20"/>
                <w:color w:val="auto"/>
              </w:rPr>
            </w:pPr>
            <w:r>
              <w:rPr>
                <w:rFonts w:ascii="Arial" w:cs="Arial" w:eastAsia="Arial" w:hAnsi="Arial"/>
                <w:sz w:val="15"/>
                <w:szCs w:val="15"/>
                <w:color w:val="auto"/>
              </w:rPr>
              <w:t>937,921</w:t>
            </w:r>
          </w:p>
        </w:tc>
        <w:tc>
          <w:tcPr>
            <w:tcW w:w="0" w:type="dxa"/>
            <w:vAlign w:val="bottom"/>
          </w:tcPr>
          <w:p>
            <w:pPr>
              <w:spacing w:after="0"/>
              <w:rPr>
                <w:sz w:val="1"/>
                <w:szCs w:val="1"/>
                <w:color w:val="auto"/>
              </w:rPr>
            </w:pPr>
          </w:p>
        </w:tc>
      </w:tr>
      <w:tr>
        <w:trPr>
          <w:trHeight w:val="168"/>
        </w:trPr>
        <w:tc>
          <w:tcPr>
            <w:tcW w:w="4360" w:type="dxa"/>
            <w:vAlign w:val="bottom"/>
          </w:tcPr>
          <w:p>
            <w:pPr>
              <w:ind w:left="20"/>
              <w:spacing w:after="0" w:line="168" w:lineRule="exact"/>
              <w:rPr>
                <w:sz w:val="20"/>
                <w:szCs w:val="20"/>
                <w:color w:val="auto"/>
              </w:rPr>
            </w:pPr>
            <w:r>
              <w:rPr>
                <w:rFonts w:ascii="Arial" w:cs="Arial" w:eastAsia="Arial" w:hAnsi="Arial"/>
                <w:sz w:val="15"/>
                <w:szCs w:val="15"/>
                <w:color w:val="auto"/>
              </w:rPr>
              <w:t>Stock-based compensation</w:t>
            </w:r>
          </w:p>
        </w:tc>
        <w:tc>
          <w:tcPr>
            <w:tcW w:w="1220" w:type="dxa"/>
            <w:vAlign w:val="bottom"/>
          </w:tcPr>
          <w:p>
            <w:pPr>
              <w:jc w:val="right"/>
              <w:ind w:right="7"/>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
              <w:spacing w:after="0" w:line="168"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Arial" w:cs="Arial" w:eastAsia="Arial" w:hAnsi="Arial"/>
                <w:sz w:val="15"/>
                <w:szCs w:val="15"/>
                <w:color w:val="auto"/>
              </w:rPr>
              <w:t>6,115,160</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27"/>
              <w:spacing w:after="0" w:line="168" w:lineRule="exact"/>
              <w:rPr>
                <w:sz w:val="20"/>
                <w:szCs w:val="20"/>
                <w:color w:val="auto"/>
              </w:rPr>
            </w:pPr>
            <w:r>
              <w:rPr>
                <w:rFonts w:ascii="Arial" w:cs="Arial" w:eastAsia="Arial" w:hAnsi="Arial"/>
                <w:sz w:val="15"/>
                <w:szCs w:val="15"/>
                <w:color w:val="auto"/>
              </w:rPr>
              <w:t>6,115,160</w:t>
            </w:r>
          </w:p>
        </w:tc>
        <w:tc>
          <w:tcPr>
            <w:tcW w:w="0" w:type="dxa"/>
            <w:vAlign w:val="bottom"/>
          </w:tcPr>
          <w:p>
            <w:pPr>
              <w:spacing w:after="0"/>
              <w:rPr>
                <w:sz w:val="1"/>
                <w:szCs w:val="1"/>
                <w:color w:val="auto"/>
              </w:rPr>
            </w:pPr>
          </w:p>
        </w:tc>
      </w:tr>
      <w:tr>
        <w:trPr>
          <w:trHeight w:val="135"/>
        </w:trPr>
        <w:tc>
          <w:tcPr>
            <w:tcW w:w="4360" w:type="dxa"/>
            <w:vAlign w:val="bottom"/>
            <w:shd w:val="clear" w:color="auto" w:fill="CFF0FC"/>
          </w:tcPr>
          <w:p>
            <w:pPr>
              <w:ind w:left="20"/>
              <w:spacing w:after="0" w:line="135" w:lineRule="exact"/>
              <w:rPr>
                <w:sz w:val="20"/>
                <w:szCs w:val="20"/>
                <w:color w:val="auto"/>
              </w:rPr>
            </w:pPr>
            <w:r>
              <w:rPr>
                <w:rFonts w:ascii="Arial" w:cs="Arial" w:eastAsia="Arial" w:hAnsi="Arial"/>
                <w:sz w:val="15"/>
                <w:szCs w:val="15"/>
                <w:color w:val="auto"/>
              </w:rPr>
              <w:t>Issuance of common stock upon exercise of</w:t>
            </w:r>
          </w:p>
        </w:tc>
        <w:tc>
          <w:tcPr>
            <w:tcW w:w="1220" w:type="dxa"/>
            <w:vAlign w:val="bottom"/>
            <w:vMerge w:val="restart"/>
            <w:shd w:val="clear" w:color="auto" w:fill="CFF0FC"/>
          </w:tcPr>
          <w:p>
            <w:pPr>
              <w:jc w:val="right"/>
              <w:ind w:right="7"/>
              <w:spacing w:after="0"/>
              <w:rPr>
                <w:sz w:val="20"/>
                <w:szCs w:val="20"/>
                <w:color w:val="auto"/>
              </w:rPr>
            </w:pPr>
            <w:r>
              <w:rPr>
                <w:rFonts w:ascii="Arial" w:cs="Arial" w:eastAsia="Arial" w:hAnsi="Arial"/>
                <w:sz w:val="15"/>
                <w:szCs w:val="15"/>
                <w:color w:val="auto"/>
              </w:rPr>
              <w:t>252,773</w:t>
            </w: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ind w:right="6"/>
              <w:spacing w:after="0"/>
              <w:rPr>
                <w:sz w:val="20"/>
                <w:szCs w:val="20"/>
                <w:color w:val="auto"/>
              </w:rPr>
            </w:pPr>
            <w:r>
              <w:rPr>
                <w:rFonts w:ascii="Arial" w:cs="Arial" w:eastAsia="Arial" w:hAnsi="Arial"/>
                <w:sz w:val="15"/>
                <w:szCs w:val="15"/>
                <w:color w:val="auto"/>
              </w:rPr>
              <w:t>25</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vMerge w:val="restart"/>
            <w:shd w:val="clear" w:color="auto" w:fill="CFF0FC"/>
          </w:tcPr>
          <w:p>
            <w:pPr>
              <w:jc w:val="right"/>
              <w:ind w:right="27"/>
              <w:spacing w:after="0"/>
              <w:rPr>
                <w:sz w:val="20"/>
                <w:szCs w:val="20"/>
                <w:color w:val="auto"/>
              </w:rPr>
            </w:pPr>
            <w:r>
              <w:rPr>
                <w:rFonts w:ascii="Arial" w:cs="Arial" w:eastAsia="Arial" w:hAnsi="Arial"/>
                <w:sz w:val="15"/>
                <w:szCs w:val="15"/>
                <w:color w:val="auto"/>
              </w:rPr>
              <w:t>1,143,816</w:t>
            </w: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60" w:type="dxa"/>
            <w:vAlign w:val="bottom"/>
            <w:gridSpan w:val="3"/>
            <w:vMerge w:val="restart"/>
            <w:shd w:val="clear" w:color="auto" w:fill="CFF0FC"/>
          </w:tcPr>
          <w:p>
            <w:pPr>
              <w:jc w:val="right"/>
              <w:ind w:right="226"/>
              <w:spacing w:after="0"/>
              <w:rPr>
                <w:sz w:val="20"/>
                <w:szCs w:val="20"/>
                <w:color w:val="auto"/>
              </w:rPr>
            </w:pPr>
            <w:r>
              <w:rPr>
                <w:rFonts w:ascii="Arial" w:cs="Arial" w:eastAsia="Arial" w:hAnsi="Arial"/>
                <w:sz w:val="15"/>
                <w:szCs w:val="15"/>
                <w:color w:val="auto"/>
              </w:rPr>
              <w:t>—</w:t>
            </w:r>
          </w:p>
        </w:tc>
        <w:tc>
          <w:tcPr>
            <w:tcW w:w="1440" w:type="dxa"/>
            <w:vAlign w:val="bottom"/>
            <w:vMerge w:val="restart"/>
            <w:shd w:val="clear" w:color="auto" w:fill="CFF0FC"/>
          </w:tcPr>
          <w:p>
            <w:pPr>
              <w:jc w:val="right"/>
              <w:ind w:right="27"/>
              <w:spacing w:after="0"/>
              <w:rPr>
                <w:sz w:val="20"/>
                <w:szCs w:val="20"/>
                <w:color w:val="auto"/>
              </w:rPr>
            </w:pPr>
            <w:r>
              <w:rPr>
                <w:rFonts w:ascii="Arial" w:cs="Arial" w:eastAsia="Arial" w:hAnsi="Arial"/>
                <w:sz w:val="15"/>
                <w:szCs w:val="15"/>
                <w:color w:val="auto"/>
              </w:rPr>
              <w:t>1,143,841</w:t>
            </w:r>
          </w:p>
        </w:tc>
        <w:tc>
          <w:tcPr>
            <w:tcW w:w="0" w:type="dxa"/>
            <w:vAlign w:val="bottom"/>
          </w:tcPr>
          <w:p>
            <w:pPr>
              <w:spacing w:after="0"/>
              <w:rPr>
                <w:sz w:val="1"/>
                <w:szCs w:val="1"/>
                <w:color w:val="auto"/>
              </w:rPr>
            </w:pPr>
          </w:p>
        </w:tc>
      </w:tr>
      <w:tr>
        <w:trPr>
          <w:trHeight w:val="178"/>
        </w:trPr>
        <w:tc>
          <w:tcPr>
            <w:tcW w:w="4360" w:type="dxa"/>
            <w:vAlign w:val="bottom"/>
            <w:shd w:val="clear" w:color="auto" w:fill="CFF0FC"/>
          </w:tcPr>
          <w:p>
            <w:pPr>
              <w:ind w:left="140"/>
              <w:spacing w:after="0"/>
              <w:rPr>
                <w:sz w:val="20"/>
                <w:szCs w:val="20"/>
                <w:color w:val="auto"/>
              </w:rPr>
            </w:pPr>
            <w:r>
              <w:rPr>
                <w:rFonts w:ascii="Arial" w:cs="Arial" w:eastAsia="Arial" w:hAnsi="Arial"/>
                <w:sz w:val="15"/>
                <w:szCs w:val="15"/>
                <w:color w:val="auto"/>
              </w:rPr>
              <w:t>options</w:t>
            </w:r>
          </w:p>
        </w:tc>
        <w:tc>
          <w:tcPr>
            <w:tcW w:w="1220" w:type="dxa"/>
            <w:vAlign w:val="bottom"/>
            <w:vMerge w:val="continue"/>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vMerge w:val="continue"/>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3"/>
            <w:vMerge w:val="continue"/>
            <w:shd w:val="clear" w:color="auto" w:fill="CFF0FC"/>
          </w:tcPr>
          <w:p>
            <w:pPr>
              <w:spacing w:after="0"/>
              <w:rPr>
                <w:sz w:val="15"/>
                <w:szCs w:val="15"/>
                <w:color w:val="auto"/>
              </w:rPr>
            </w:pPr>
          </w:p>
        </w:tc>
        <w:tc>
          <w:tcPr>
            <w:tcW w:w="144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60" w:type="dxa"/>
            <w:vAlign w:val="bottom"/>
          </w:tcPr>
          <w:p>
            <w:pPr>
              <w:ind w:left="20"/>
              <w:spacing w:after="0" w:line="168" w:lineRule="exact"/>
              <w:rPr>
                <w:sz w:val="20"/>
                <w:szCs w:val="20"/>
                <w:color w:val="auto"/>
              </w:rPr>
            </w:pPr>
            <w:r>
              <w:rPr>
                <w:rFonts w:ascii="Arial" w:cs="Arial" w:eastAsia="Arial" w:hAnsi="Arial"/>
                <w:sz w:val="15"/>
                <w:szCs w:val="15"/>
                <w:color w:val="auto"/>
              </w:rPr>
              <w:t>Exercise of warrants</w:t>
            </w:r>
          </w:p>
        </w:tc>
        <w:tc>
          <w:tcPr>
            <w:tcW w:w="1220" w:type="dxa"/>
            <w:vAlign w:val="bottom"/>
          </w:tcPr>
          <w:p>
            <w:pPr>
              <w:jc w:val="right"/>
              <w:ind w:right="7"/>
              <w:spacing w:after="0" w:line="168" w:lineRule="exact"/>
              <w:rPr>
                <w:sz w:val="20"/>
                <w:szCs w:val="20"/>
                <w:color w:val="auto"/>
              </w:rPr>
            </w:pPr>
            <w:r>
              <w:rPr>
                <w:rFonts w:ascii="Arial" w:cs="Arial" w:eastAsia="Arial" w:hAnsi="Arial"/>
                <w:sz w:val="15"/>
                <w:szCs w:val="15"/>
                <w:color w:val="auto"/>
              </w:rPr>
              <w:t>97,541</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
              <w:spacing w:after="0" w:line="168" w:lineRule="exact"/>
              <w:rPr>
                <w:sz w:val="20"/>
                <w:szCs w:val="20"/>
                <w:color w:val="auto"/>
              </w:rPr>
            </w:pPr>
            <w:r>
              <w:rPr>
                <w:rFonts w:ascii="Arial" w:cs="Arial" w:eastAsia="Arial" w:hAnsi="Arial"/>
                <w:sz w:val="15"/>
                <w:szCs w:val="15"/>
                <w:color w:val="auto"/>
              </w:rPr>
              <w:t>10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Arial" w:cs="Arial" w:eastAsia="Arial" w:hAnsi="Arial"/>
                <w:sz w:val="15"/>
                <w:szCs w:val="15"/>
                <w:color w:val="auto"/>
              </w:rPr>
              <w:t>249,826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27"/>
              <w:spacing w:after="0" w:line="168" w:lineRule="exact"/>
              <w:rPr>
                <w:sz w:val="20"/>
                <w:szCs w:val="20"/>
                <w:color w:val="auto"/>
              </w:rPr>
            </w:pPr>
            <w:r>
              <w:rPr>
                <w:rFonts w:ascii="Arial" w:cs="Arial" w:eastAsia="Arial" w:hAnsi="Arial"/>
                <w:sz w:val="15"/>
                <w:szCs w:val="15"/>
                <w:color w:val="auto"/>
              </w:rPr>
              <w:t>249,836</w:t>
            </w: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Issuance of warrants upon debt financing</w:t>
            </w:r>
          </w:p>
        </w:tc>
        <w:tc>
          <w:tcPr>
            <w:tcW w:w="1220" w:type="dxa"/>
            <w:vAlign w:val="bottom"/>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
              <w:spacing w:after="0" w:line="168" w:lineRule="exact"/>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387,000</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3"/>
            <w:shd w:val="clear" w:color="auto" w:fill="CFF0FC"/>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387,000</w:t>
            </w:r>
          </w:p>
        </w:tc>
        <w:tc>
          <w:tcPr>
            <w:tcW w:w="0" w:type="dxa"/>
            <w:vAlign w:val="bottom"/>
          </w:tcPr>
          <w:p>
            <w:pPr>
              <w:spacing w:after="0"/>
              <w:rPr>
                <w:sz w:val="1"/>
                <w:szCs w:val="1"/>
                <w:color w:val="auto"/>
              </w:rPr>
            </w:pPr>
          </w:p>
        </w:tc>
      </w:tr>
      <w:tr>
        <w:trPr>
          <w:trHeight w:val="168"/>
        </w:trPr>
        <w:tc>
          <w:tcPr>
            <w:tcW w:w="4360" w:type="dxa"/>
            <w:vAlign w:val="bottom"/>
          </w:tcPr>
          <w:p>
            <w:pPr>
              <w:ind w:left="20"/>
              <w:spacing w:after="0" w:line="168" w:lineRule="exact"/>
              <w:rPr>
                <w:sz w:val="20"/>
                <w:szCs w:val="20"/>
                <w:color w:val="auto"/>
              </w:rPr>
            </w:pPr>
            <w:r>
              <w:rPr>
                <w:rFonts w:ascii="Arial" w:cs="Arial" w:eastAsia="Arial" w:hAnsi="Arial"/>
                <w:sz w:val="15"/>
                <w:szCs w:val="15"/>
                <w:color w:val="auto"/>
              </w:rPr>
              <w:t>Issuance of common stock upon financing</w:t>
            </w:r>
          </w:p>
        </w:tc>
        <w:tc>
          <w:tcPr>
            <w:tcW w:w="1220" w:type="dxa"/>
            <w:vAlign w:val="bottom"/>
          </w:tcPr>
          <w:p>
            <w:pPr>
              <w:jc w:val="right"/>
              <w:ind w:right="7"/>
              <w:spacing w:after="0" w:line="168" w:lineRule="exact"/>
              <w:rPr>
                <w:sz w:val="20"/>
                <w:szCs w:val="20"/>
                <w:color w:val="auto"/>
              </w:rPr>
            </w:pPr>
            <w:r>
              <w:rPr>
                <w:rFonts w:ascii="Arial" w:cs="Arial" w:eastAsia="Arial" w:hAnsi="Arial"/>
                <w:sz w:val="15"/>
                <w:szCs w:val="15"/>
                <w:color w:val="auto"/>
              </w:rPr>
              <w:t>6,495,690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
              <w:spacing w:after="0" w:line="168" w:lineRule="exact"/>
              <w:rPr>
                <w:sz w:val="20"/>
                <w:szCs w:val="20"/>
                <w:color w:val="auto"/>
              </w:rPr>
            </w:pPr>
            <w:r>
              <w:rPr>
                <w:rFonts w:ascii="Arial" w:cs="Arial" w:eastAsia="Arial" w:hAnsi="Arial"/>
                <w:sz w:val="15"/>
                <w:szCs w:val="15"/>
                <w:color w:val="auto"/>
              </w:rPr>
              <w:t>649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Arial" w:cs="Arial" w:eastAsia="Arial" w:hAnsi="Arial"/>
                <w:sz w:val="15"/>
                <w:szCs w:val="15"/>
                <w:color w:val="auto"/>
              </w:rPr>
              <w:t>238,233,168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27"/>
              <w:spacing w:after="0" w:line="168" w:lineRule="exact"/>
              <w:rPr>
                <w:sz w:val="20"/>
                <w:szCs w:val="20"/>
                <w:color w:val="auto"/>
              </w:rPr>
            </w:pPr>
            <w:r>
              <w:rPr>
                <w:rFonts w:ascii="Arial" w:cs="Arial" w:eastAsia="Arial" w:hAnsi="Arial"/>
                <w:sz w:val="15"/>
                <w:szCs w:val="15"/>
                <w:color w:val="auto"/>
              </w:rPr>
              <w:t>238,233,817</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Net loss</w:t>
            </w:r>
          </w:p>
        </w:tc>
        <w:tc>
          <w:tcPr>
            <w:tcW w:w="1220" w:type="dxa"/>
            <w:vAlign w:val="bottom"/>
            <w:tcBorders>
              <w:bottom w:val="single" w:sz="8" w:color="auto"/>
            </w:tcBorders>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6"/>
              <w:spacing w:after="0" w:line="168"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(68,345,186 )</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(68,345,186 )</w:t>
            </w:r>
          </w:p>
        </w:tc>
        <w:tc>
          <w:tcPr>
            <w:tcW w:w="0" w:type="dxa"/>
            <w:vAlign w:val="bottom"/>
          </w:tcPr>
          <w:p>
            <w:pPr>
              <w:spacing w:after="0"/>
              <w:rPr>
                <w:sz w:val="1"/>
                <w:szCs w:val="1"/>
                <w:color w:val="auto"/>
              </w:rPr>
            </w:pPr>
          </w:p>
        </w:tc>
      </w:tr>
      <w:tr>
        <w:trPr>
          <w:trHeight w:val="159"/>
        </w:trPr>
        <w:tc>
          <w:tcPr>
            <w:tcW w:w="4360" w:type="dxa"/>
            <w:vAlign w:val="bottom"/>
          </w:tcPr>
          <w:p>
            <w:pPr>
              <w:ind w:left="20"/>
              <w:spacing w:after="0" w:line="159" w:lineRule="exact"/>
              <w:rPr>
                <w:sz w:val="20"/>
                <w:szCs w:val="20"/>
                <w:color w:val="auto"/>
              </w:rPr>
            </w:pPr>
            <w:r>
              <w:rPr>
                <w:rFonts w:ascii="Arial" w:cs="Arial" w:eastAsia="Arial" w:hAnsi="Arial"/>
                <w:sz w:val="15"/>
                <w:szCs w:val="15"/>
                <w:color w:val="auto"/>
              </w:rPr>
              <w:t>Balance at December 31, 2019</w:t>
            </w:r>
          </w:p>
        </w:tc>
        <w:tc>
          <w:tcPr>
            <w:tcW w:w="1220" w:type="dxa"/>
            <w:vAlign w:val="bottom"/>
          </w:tcPr>
          <w:p>
            <w:pPr>
              <w:jc w:val="right"/>
              <w:ind w:right="7"/>
              <w:spacing w:after="0" w:line="159" w:lineRule="exact"/>
              <w:rPr>
                <w:sz w:val="20"/>
                <w:szCs w:val="20"/>
                <w:color w:val="auto"/>
              </w:rPr>
            </w:pPr>
            <w:r>
              <w:rPr>
                <w:rFonts w:ascii="Arial" w:cs="Arial" w:eastAsia="Arial" w:hAnsi="Arial"/>
                <w:sz w:val="15"/>
                <w:szCs w:val="15"/>
                <w:color w:val="auto"/>
              </w:rPr>
              <w:t>36,933,217</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6"/>
              <w:spacing w:after="0" w:line="159" w:lineRule="exact"/>
              <w:rPr>
                <w:sz w:val="20"/>
                <w:szCs w:val="20"/>
                <w:color w:val="auto"/>
              </w:rPr>
            </w:pPr>
            <w:r>
              <w:rPr>
                <w:rFonts w:ascii="Arial" w:cs="Arial" w:eastAsia="Arial" w:hAnsi="Arial"/>
                <w:sz w:val="15"/>
                <w:szCs w:val="15"/>
                <w:color w:val="auto"/>
              </w:rPr>
              <w:t>3,693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27"/>
              <w:spacing w:after="0" w:line="159" w:lineRule="exact"/>
              <w:rPr>
                <w:sz w:val="20"/>
                <w:szCs w:val="20"/>
                <w:color w:val="auto"/>
              </w:rPr>
            </w:pPr>
            <w:r>
              <w:rPr>
                <w:rFonts w:ascii="Arial" w:cs="Arial" w:eastAsia="Arial" w:hAnsi="Arial"/>
                <w:sz w:val="15"/>
                <w:szCs w:val="15"/>
                <w:color w:val="auto"/>
              </w:rPr>
              <w:t>354,614,189</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5"/>
                <w:szCs w:val="15"/>
                <w:color w:val="auto"/>
              </w:rPr>
              <w:t>(175,895,493 )</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right"/>
              <w:ind w:right="27"/>
              <w:spacing w:after="0" w:line="159" w:lineRule="exact"/>
              <w:rPr>
                <w:sz w:val="20"/>
                <w:szCs w:val="20"/>
                <w:color w:val="auto"/>
              </w:rPr>
            </w:pPr>
            <w:r>
              <w:rPr>
                <w:rFonts w:ascii="Arial" w:cs="Arial" w:eastAsia="Arial" w:hAnsi="Arial"/>
                <w:sz w:val="15"/>
                <w:szCs w:val="15"/>
                <w:color w:val="auto"/>
              </w:rPr>
              <w:t>178,722,389</w:t>
            </w: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Stock-based compensation</w:t>
            </w:r>
          </w:p>
        </w:tc>
        <w:tc>
          <w:tcPr>
            <w:tcW w:w="1220" w:type="dxa"/>
            <w:vAlign w:val="bottom"/>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
              <w:spacing w:after="0" w:line="168" w:lineRule="exact"/>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14,756,206</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3"/>
            <w:shd w:val="clear" w:color="auto" w:fill="CFF0FC"/>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14,756,206</w:t>
            </w:r>
          </w:p>
        </w:tc>
        <w:tc>
          <w:tcPr>
            <w:tcW w:w="0" w:type="dxa"/>
            <w:vAlign w:val="bottom"/>
          </w:tcPr>
          <w:p>
            <w:pPr>
              <w:spacing w:after="0"/>
              <w:rPr>
                <w:sz w:val="1"/>
                <w:szCs w:val="1"/>
                <w:color w:val="auto"/>
              </w:rPr>
            </w:pPr>
          </w:p>
        </w:tc>
      </w:tr>
      <w:tr>
        <w:trPr>
          <w:trHeight w:val="135"/>
        </w:trPr>
        <w:tc>
          <w:tcPr>
            <w:tcW w:w="4360" w:type="dxa"/>
            <w:vAlign w:val="bottom"/>
          </w:tcPr>
          <w:p>
            <w:pPr>
              <w:ind w:left="20"/>
              <w:spacing w:after="0" w:line="135" w:lineRule="exact"/>
              <w:rPr>
                <w:sz w:val="20"/>
                <w:szCs w:val="20"/>
                <w:color w:val="auto"/>
              </w:rPr>
            </w:pPr>
            <w:r>
              <w:rPr>
                <w:rFonts w:ascii="Arial" w:cs="Arial" w:eastAsia="Arial" w:hAnsi="Arial"/>
                <w:sz w:val="15"/>
                <w:szCs w:val="15"/>
                <w:color w:val="auto"/>
              </w:rPr>
              <w:t>Issuance of common stock upon exercise of</w:t>
            </w:r>
          </w:p>
        </w:tc>
        <w:tc>
          <w:tcPr>
            <w:tcW w:w="1220" w:type="dxa"/>
            <w:vAlign w:val="bottom"/>
            <w:vMerge w:val="restart"/>
          </w:tcPr>
          <w:p>
            <w:pPr>
              <w:jc w:val="right"/>
              <w:ind w:right="7"/>
              <w:spacing w:after="0"/>
              <w:rPr>
                <w:sz w:val="20"/>
                <w:szCs w:val="20"/>
                <w:color w:val="auto"/>
              </w:rPr>
            </w:pPr>
            <w:r>
              <w:rPr>
                <w:rFonts w:ascii="Arial" w:cs="Arial" w:eastAsia="Arial" w:hAnsi="Arial"/>
                <w:sz w:val="15"/>
                <w:szCs w:val="15"/>
                <w:color w:val="auto"/>
              </w:rPr>
              <w:t>127,778</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27"/>
              <w:spacing w:after="0"/>
              <w:rPr>
                <w:sz w:val="20"/>
                <w:szCs w:val="20"/>
                <w:color w:val="auto"/>
              </w:rPr>
            </w:pPr>
            <w:r>
              <w:rPr>
                <w:rFonts w:ascii="Arial" w:cs="Arial" w:eastAsia="Arial" w:hAnsi="Arial"/>
                <w:sz w:val="15"/>
                <w:szCs w:val="15"/>
                <w:color w:val="auto"/>
              </w:rPr>
              <w:t>1,049,836</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vMerge w:val="restart"/>
          </w:tcPr>
          <w:p>
            <w:pPr>
              <w:jc w:val="right"/>
              <w:ind w:right="226"/>
              <w:spacing w:after="0"/>
              <w:rPr>
                <w:sz w:val="20"/>
                <w:szCs w:val="20"/>
                <w:color w:val="auto"/>
              </w:rPr>
            </w:pPr>
            <w:r>
              <w:rPr>
                <w:rFonts w:ascii="Arial" w:cs="Arial" w:eastAsia="Arial" w:hAnsi="Arial"/>
                <w:sz w:val="15"/>
                <w:szCs w:val="15"/>
                <w:color w:val="auto"/>
              </w:rPr>
              <w:t>—</w:t>
            </w:r>
          </w:p>
        </w:tc>
        <w:tc>
          <w:tcPr>
            <w:tcW w:w="1440" w:type="dxa"/>
            <w:vAlign w:val="bottom"/>
            <w:vMerge w:val="restart"/>
          </w:tcPr>
          <w:p>
            <w:pPr>
              <w:jc w:val="right"/>
              <w:ind w:right="27"/>
              <w:spacing w:after="0"/>
              <w:rPr>
                <w:sz w:val="20"/>
                <w:szCs w:val="20"/>
                <w:color w:val="auto"/>
              </w:rPr>
            </w:pPr>
            <w:r>
              <w:rPr>
                <w:rFonts w:ascii="Arial" w:cs="Arial" w:eastAsia="Arial" w:hAnsi="Arial"/>
                <w:sz w:val="15"/>
                <w:szCs w:val="15"/>
                <w:color w:val="auto"/>
              </w:rPr>
              <w:t>1,049,849</w:t>
            </w:r>
          </w:p>
        </w:tc>
        <w:tc>
          <w:tcPr>
            <w:tcW w:w="0" w:type="dxa"/>
            <w:vAlign w:val="bottom"/>
          </w:tcPr>
          <w:p>
            <w:pPr>
              <w:spacing w:after="0"/>
              <w:rPr>
                <w:sz w:val="1"/>
                <w:szCs w:val="1"/>
                <w:color w:val="auto"/>
              </w:rPr>
            </w:pPr>
          </w:p>
        </w:tc>
      </w:tr>
      <w:tr>
        <w:trPr>
          <w:trHeight w:val="178"/>
        </w:trPr>
        <w:tc>
          <w:tcPr>
            <w:tcW w:w="4360" w:type="dxa"/>
            <w:vAlign w:val="bottom"/>
          </w:tcPr>
          <w:p>
            <w:pPr>
              <w:ind w:left="140"/>
              <w:spacing w:after="0"/>
              <w:rPr>
                <w:sz w:val="20"/>
                <w:szCs w:val="20"/>
                <w:color w:val="auto"/>
              </w:rPr>
            </w:pPr>
            <w:r>
              <w:rPr>
                <w:rFonts w:ascii="Arial" w:cs="Arial" w:eastAsia="Arial" w:hAnsi="Arial"/>
                <w:sz w:val="15"/>
                <w:szCs w:val="15"/>
                <w:color w:val="auto"/>
              </w:rPr>
              <w:t>options</w:t>
            </w:r>
          </w:p>
        </w:tc>
        <w:tc>
          <w:tcPr>
            <w:tcW w:w="12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Exercise of warrants</w:t>
            </w:r>
          </w:p>
        </w:tc>
        <w:tc>
          <w:tcPr>
            <w:tcW w:w="1220" w:type="dxa"/>
            <w:vAlign w:val="bottom"/>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63,831</w:t>
            </w: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
              <w:spacing w:after="0" w:line="168" w:lineRule="exact"/>
              <w:rPr>
                <w:sz w:val="20"/>
                <w:szCs w:val="20"/>
                <w:color w:val="auto"/>
              </w:rPr>
            </w:pPr>
            <w:r>
              <w:rPr>
                <w:rFonts w:ascii="Arial" w:cs="Arial" w:eastAsia="Arial" w:hAnsi="Arial"/>
                <w:sz w:val="15"/>
                <w:szCs w:val="15"/>
                <w:color w:val="auto"/>
              </w:rPr>
              <w:t>6</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3"/>
            <w:shd w:val="clear" w:color="auto" w:fill="CFF0FC"/>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8"/>
        </w:trPr>
        <w:tc>
          <w:tcPr>
            <w:tcW w:w="4360" w:type="dxa"/>
            <w:vAlign w:val="bottom"/>
          </w:tcPr>
          <w:p>
            <w:pPr>
              <w:ind w:left="20"/>
              <w:spacing w:after="0" w:line="168" w:lineRule="exact"/>
              <w:rPr>
                <w:sz w:val="20"/>
                <w:szCs w:val="20"/>
                <w:color w:val="auto"/>
              </w:rPr>
            </w:pPr>
            <w:r>
              <w:rPr>
                <w:rFonts w:ascii="Arial" w:cs="Arial" w:eastAsia="Arial" w:hAnsi="Arial"/>
                <w:sz w:val="15"/>
                <w:szCs w:val="15"/>
                <w:color w:val="auto"/>
              </w:rPr>
              <w:t>Issuance of warrants upon debt financing</w:t>
            </w:r>
          </w:p>
        </w:tc>
        <w:tc>
          <w:tcPr>
            <w:tcW w:w="1220" w:type="dxa"/>
            <w:vAlign w:val="bottom"/>
          </w:tcPr>
          <w:p>
            <w:pPr>
              <w:jc w:val="right"/>
              <w:ind w:right="7"/>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
              <w:spacing w:after="0" w:line="168"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Arial" w:cs="Arial" w:eastAsia="Arial" w:hAnsi="Arial"/>
                <w:sz w:val="15"/>
                <w:szCs w:val="15"/>
                <w:color w:val="auto"/>
              </w:rPr>
              <w:t>884,216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27"/>
              <w:spacing w:after="0" w:line="168" w:lineRule="exact"/>
              <w:rPr>
                <w:sz w:val="20"/>
                <w:szCs w:val="20"/>
                <w:color w:val="auto"/>
              </w:rPr>
            </w:pPr>
            <w:r>
              <w:rPr>
                <w:rFonts w:ascii="Arial" w:cs="Arial" w:eastAsia="Arial" w:hAnsi="Arial"/>
                <w:sz w:val="15"/>
                <w:szCs w:val="15"/>
                <w:color w:val="auto"/>
              </w:rPr>
              <w:t>884,216</w:t>
            </w: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Issuance of common stock upon financing</w:t>
            </w:r>
          </w:p>
        </w:tc>
        <w:tc>
          <w:tcPr>
            <w:tcW w:w="1220" w:type="dxa"/>
            <w:vAlign w:val="bottom"/>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167,243</w:t>
            </w: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
              <w:spacing w:after="0" w:line="168" w:lineRule="exact"/>
              <w:rPr>
                <w:sz w:val="20"/>
                <w:szCs w:val="20"/>
                <w:color w:val="auto"/>
              </w:rPr>
            </w:pPr>
            <w:r>
              <w:rPr>
                <w:rFonts w:ascii="Arial" w:cs="Arial" w:eastAsia="Arial" w:hAnsi="Arial"/>
                <w:sz w:val="15"/>
                <w:szCs w:val="15"/>
                <w:color w:val="auto"/>
              </w:rPr>
              <w:t>17</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14,125,489</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3"/>
            <w:shd w:val="clear" w:color="auto" w:fill="CFF0FC"/>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14,125,506</w:t>
            </w:r>
          </w:p>
        </w:tc>
        <w:tc>
          <w:tcPr>
            <w:tcW w:w="0" w:type="dxa"/>
            <w:vAlign w:val="bottom"/>
          </w:tcPr>
          <w:p>
            <w:pPr>
              <w:spacing w:after="0"/>
              <w:rPr>
                <w:sz w:val="1"/>
                <w:szCs w:val="1"/>
                <w:color w:val="auto"/>
              </w:rPr>
            </w:pPr>
          </w:p>
        </w:tc>
      </w:tr>
      <w:tr>
        <w:trPr>
          <w:trHeight w:val="168"/>
        </w:trPr>
        <w:tc>
          <w:tcPr>
            <w:tcW w:w="4360" w:type="dxa"/>
            <w:vAlign w:val="bottom"/>
          </w:tcPr>
          <w:p>
            <w:pPr>
              <w:ind w:left="20"/>
              <w:spacing w:after="0" w:line="168" w:lineRule="exact"/>
              <w:rPr>
                <w:sz w:val="20"/>
                <w:szCs w:val="20"/>
                <w:color w:val="auto"/>
              </w:rPr>
            </w:pPr>
            <w:r>
              <w:rPr>
                <w:rFonts w:ascii="Arial" w:cs="Arial" w:eastAsia="Arial" w:hAnsi="Arial"/>
                <w:sz w:val="15"/>
                <w:szCs w:val="15"/>
                <w:color w:val="auto"/>
              </w:rPr>
              <w:t>Issuance of common stock related agreement</w:t>
            </w:r>
          </w:p>
        </w:tc>
        <w:tc>
          <w:tcPr>
            <w:tcW w:w="1220" w:type="dxa"/>
            <w:vAlign w:val="bottom"/>
          </w:tcPr>
          <w:p>
            <w:pPr>
              <w:jc w:val="right"/>
              <w:ind w:right="7"/>
              <w:spacing w:after="0" w:line="168" w:lineRule="exact"/>
              <w:rPr>
                <w:sz w:val="20"/>
                <w:szCs w:val="20"/>
                <w:color w:val="auto"/>
              </w:rPr>
            </w:pPr>
            <w:r>
              <w:rPr>
                <w:rFonts w:ascii="Arial" w:cs="Arial" w:eastAsia="Arial" w:hAnsi="Arial"/>
                <w:sz w:val="15"/>
                <w:szCs w:val="15"/>
                <w:color w:val="auto"/>
              </w:rPr>
              <w:t>82,019</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
              <w:spacing w:after="0" w:line="168" w:lineRule="exact"/>
              <w:rPr>
                <w:sz w:val="20"/>
                <w:szCs w:val="20"/>
                <w:color w:val="auto"/>
              </w:rPr>
            </w:pPr>
            <w:r>
              <w:rPr>
                <w:rFonts w:ascii="Arial" w:cs="Arial" w:eastAsia="Arial" w:hAnsi="Arial"/>
                <w:sz w:val="15"/>
                <w:szCs w:val="15"/>
                <w:color w:val="auto"/>
              </w:rPr>
              <w:t>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Arial" w:cs="Arial" w:eastAsia="Arial" w:hAnsi="Arial"/>
                <w:sz w:val="15"/>
                <w:szCs w:val="15"/>
                <w:color w:val="auto"/>
              </w:rPr>
              <w:t>7,155,329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27"/>
              <w:spacing w:after="0" w:line="168" w:lineRule="exact"/>
              <w:rPr>
                <w:sz w:val="20"/>
                <w:szCs w:val="20"/>
                <w:color w:val="auto"/>
              </w:rPr>
            </w:pPr>
            <w:r>
              <w:rPr>
                <w:rFonts w:ascii="Arial" w:cs="Arial" w:eastAsia="Arial" w:hAnsi="Arial"/>
                <w:sz w:val="15"/>
                <w:szCs w:val="15"/>
                <w:color w:val="auto"/>
              </w:rPr>
              <w:t>7,155,337</w:t>
            </w:r>
          </w:p>
        </w:tc>
        <w:tc>
          <w:tcPr>
            <w:tcW w:w="0" w:type="dxa"/>
            <w:vAlign w:val="bottom"/>
          </w:tcPr>
          <w:p>
            <w:pPr>
              <w:spacing w:after="0"/>
              <w:rPr>
                <w:sz w:val="1"/>
                <w:szCs w:val="1"/>
                <w:color w:val="auto"/>
              </w:rPr>
            </w:pPr>
          </w:p>
        </w:tc>
      </w:tr>
      <w:tr>
        <w:trPr>
          <w:trHeight w:val="168"/>
        </w:trPr>
        <w:tc>
          <w:tcPr>
            <w:tcW w:w="436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Net loss</w:t>
            </w:r>
          </w:p>
        </w:tc>
        <w:tc>
          <w:tcPr>
            <w:tcW w:w="1220" w:type="dxa"/>
            <w:vAlign w:val="bottom"/>
            <w:tcBorders>
              <w:bottom w:val="single" w:sz="8" w:color="auto"/>
            </w:tcBorders>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6"/>
              <w:spacing w:after="0" w:line="168" w:lineRule="exact"/>
              <w:rPr>
                <w:sz w:val="20"/>
                <w:szCs w:val="20"/>
                <w:color w:val="auto"/>
              </w:rPr>
            </w:pPr>
            <w:r>
              <w:rPr>
                <w:rFonts w:ascii="Arial" w:cs="Arial" w:eastAsia="Arial" w:hAnsi="Arial"/>
                <w:sz w:val="15"/>
                <w:szCs w:val="15"/>
                <w:color w:val="auto"/>
              </w:rPr>
              <w:t>—</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w:t>
            </w:r>
          </w:p>
        </w:tc>
        <w:tc>
          <w:tcPr>
            <w:tcW w:w="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(102,900,600 )</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(102,900,600 )</w:t>
            </w:r>
          </w:p>
        </w:tc>
        <w:tc>
          <w:tcPr>
            <w:tcW w:w="0" w:type="dxa"/>
            <w:vAlign w:val="bottom"/>
          </w:tcPr>
          <w:p>
            <w:pPr>
              <w:spacing w:after="0"/>
              <w:rPr>
                <w:sz w:val="1"/>
                <w:szCs w:val="1"/>
                <w:color w:val="auto"/>
              </w:rPr>
            </w:pPr>
          </w:p>
        </w:tc>
      </w:tr>
      <w:tr>
        <w:trPr>
          <w:trHeight w:val="159"/>
        </w:trPr>
        <w:tc>
          <w:tcPr>
            <w:tcW w:w="4360" w:type="dxa"/>
            <w:vAlign w:val="bottom"/>
          </w:tcPr>
          <w:p>
            <w:pPr>
              <w:ind w:left="20"/>
              <w:spacing w:after="0" w:line="159" w:lineRule="exact"/>
              <w:rPr>
                <w:sz w:val="20"/>
                <w:szCs w:val="20"/>
                <w:color w:val="auto"/>
              </w:rPr>
            </w:pPr>
            <w:r>
              <w:rPr>
                <w:rFonts w:ascii="Arial" w:cs="Arial" w:eastAsia="Arial" w:hAnsi="Arial"/>
                <w:sz w:val="15"/>
                <w:szCs w:val="15"/>
                <w:color w:val="auto"/>
              </w:rPr>
              <w:t>Balance at December 31, 2020</w:t>
            </w:r>
          </w:p>
        </w:tc>
        <w:tc>
          <w:tcPr>
            <w:tcW w:w="1220" w:type="dxa"/>
            <w:vAlign w:val="bottom"/>
          </w:tcPr>
          <w:p>
            <w:pPr>
              <w:jc w:val="right"/>
              <w:ind w:right="7"/>
              <w:spacing w:after="0" w:line="159" w:lineRule="exact"/>
              <w:rPr>
                <w:sz w:val="20"/>
                <w:szCs w:val="20"/>
                <w:color w:val="auto"/>
              </w:rPr>
            </w:pPr>
            <w:r>
              <w:rPr>
                <w:rFonts w:ascii="Arial" w:cs="Arial" w:eastAsia="Arial" w:hAnsi="Arial"/>
                <w:sz w:val="15"/>
                <w:szCs w:val="15"/>
                <w:color w:val="auto"/>
              </w:rPr>
              <w:t>37,374,088</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6"/>
              <w:spacing w:after="0" w:line="159" w:lineRule="exact"/>
              <w:rPr>
                <w:sz w:val="20"/>
                <w:szCs w:val="20"/>
                <w:color w:val="auto"/>
              </w:rPr>
            </w:pPr>
            <w:r>
              <w:rPr>
                <w:rFonts w:ascii="Arial" w:cs="Arial" w:eastAsia="Arial" w:hAnsi="Arial"/>
                <w:sz w:val="15"/>
                <w:szCs w:val="15"/>
                <w:color w:val="auto"/>
              </w:rPr>
              <w:t>3,737</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27"/>
              <w:spacing w:after="0" w:line="159" w:lineRule="exact"/>
              <w:rPr>
                <w:sz w:val="20"/>
                <w:szCs w:val="20"/>
                <w:color w:val="auto"/>
              </w:rPr>
            </w:pPr>
            <w:r>
              <w:rPr>
                <w:rFonts w:ascii="Arial" w:cs="Arial" w:eastAsia="Arial" w:hAnsi="Arial"/>
                <w:sz w:val="15"/>
                <w:szCs w:val="15"/>
                <w:color w:val="auto"/>
              </w:rPr>
              <w:t>392,585,265</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spacing w:after="0" w:line="159" w:lineRule="exact"/>
              <w:rPr>
                <w:sz w:val="20"/>
                <w:szCs w:val="20"/>
                <w:color w:val="auto"/>
              </w:rPr>
            </w:pPr>
            <w:r>
              <w:rPr>
                <w:rFonts w:ascii="Arial" w:cs="Arial" w:eastAsia="Arial" w:hAnsi="Arial"/>
                <w:sz w:val="15"/>
                <w:szCs w:val="15"/>
                <w:color w:val="auto"/>
              </w:rPr>
              <w:t>(278,796,093 )</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right"/>
              <w:ind w:right="27"/>
              <w:spacing w:after="0" w:line="159" w:lineRule="exact"/>
              <w:rPr>
                <w:sz w:val="20"/>
                <w:szCs w:val="20"/>
                <w:color w:val="auto"/>
              </w:rPr>
            </w:pPr>
            <w:r>
              <w:rPr>
                <w:rFonts w:ascii="Arial" w:cs="Arial" w:eastAsia="Arial" w:hAnsi="Arial"/>
                <w:sz w:val="15"/>
                <w:szCs w:val="15"/>
                <w:color w:val="auto"/>
              </w:rPr>
              <w:t>113,792,909</w:t>
            </w: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Stock-based compensation</w:t>
            </w:r>
          </w:p>
        </w:tc>
        <w:tc>
          <w:tcPr>
            <w:tcW w:w="1220" w:type="dxa"/>
            <w:vAlign w:val="bottom"/>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
              <w:spacing w:after="0" w:line="168" w:lineRule="exact"/>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20,801,380</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3"/>
            <w:shd w:val="clear" w:color="auto" w:fill="CFF0FC"/>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20,801,380</w:t>
            </w:r>
          </w:p>
        </w:tc>
        <w:tc>
          <w:tcPr>
            <w:tcW w:w="0" w:type="dxa"/>
            <w:vAlign w:val="bottom"/>
          </w:tcPr>
          <w:p>
            <w:pPr>
              <w:spacing w:after="0"/>
              <w:rPr>
                <w:sz w:val="1"/>
                <w:szCs w:val="1"/>
                <w:color w:val="auto"/>
              </w:rPr>
            </w:pPr>
          </w:p>
        </w:tc>
      </w:tr>
      <w:tr>
        <w:trPr>
          <w:trHeight w:val="135"/>
        </w:trPr>
        <w:tc>
          <w:tcPr>
            <w:tcW w:w="4360" w:type="dxa"/>
            <w:vAlign w:val="bottom"/>
          </w:tcPr>
          <w:p>
            <w:pPr>
              <w:ind w:left="20"/>
              <w:spacing w:after="0" w:line="135" w:lineRule="exact"/>
              <w:rPr>
                <w:sz w:val="20"/>
                <w:szCs w:val="20"/>
                <w:color w:val="auto"/>
              </w:rPr>
            </w:pPr>
            <w:r>
              <w:rPr>
                <w:rFonts w:ascii="Arial" w:cs="Arial" w:eastAsia="Arial" w:hAnsi="Arial"/>
                <w:sz w:val="15"/>
                <w:szCs w:val="15"/>
                <w:color w:val="auto"/>
              </w:rPr>
              <w:t>Issuance of common stock upon exercise of</w:t>
            </w:r>
          </w:p>
        </w:tc>
        <w:tc>
          <w:tcPr>
            <w:tcW w:w="1220" w:type="dxa"/>
            <w:vAlign w:val="bottom"/>
            <w:vMerge w:val="restart"/>
          </w:tcPr>
          <w:p>
            <w:pPr>
              <w:jc w:val="right"/>
              <w:ind w:right="7"/>
              <w:spacing w:after="0"/>
              <w:rPr>
                <w:sz w:val="20"/>
                <w:szCs w:val="20"/>
                <w:color w:val="auto"/>
              </w:rPr>
            </w:pPr>
            <w:r>
              <w:rPr>
                <w:rFonts w:ascii="Arial" w:cs="Arial" w:eastAsia="Arial" w:hAnsi="Arial"/>
                <w:sz w:val="15"/>
                <w:szCs w:val="15"/>
                <w:color w:val="auto"/>
              </w:rPr>
              <w:t>326,219</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vMerge w:val="restart"/>
          </w:tcPr>
          <w:p>
            <w:pPr>
              <w:jc w:val="right"/>
              <w:ind w:right="6"/>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restart"/>
          </w:tcPr>
          <w:p>
            <w:pPr>
              <w:jc w:val="right"/>
              <w:ind w:right="27"/>
              <w:spacing w:after="0"/>
              <w:rPr>
                <w:sz w:val="20"/>
                <w:szCs w:val="20"/>
                <w:color w:val="auto"/>
              </w:rPr>
            </w:pPr>
            <w:r>
              <w:rPr>
                <w:rFonts w:ascii="Arial" w:cs="Arial" w:eastAsia="Arial" w:hAnsi="Arial"/>
                <w:sz w:val="15"/>
                <w:szCs w:val="15"/>
                <w:color w:val="auto"/>
              </w:rPr>
              <w:t>4,402,367</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vMerge w:val="restart"/>
          </w:tcPr>
          <w:p>
            <w:pPr>
              <w:jc w:val="right"/>
              <w:ind w:right="226"/>
              <w:spacing w:after="0"/>
              <w:rPr>
                <w:sz w:val="20"/>
                <w:szCs w:val="20"/>
                <w:color w:val="auto"/>
              </w:rPr>
            </w:pPr>
            <w:r>
              <w:rPr>
                <w:rFonts w:ascii="Arial" w:cs="Arial" w:eastAsia="Arial" w:hAnsi="Arial"/>
                <w:sz w:val="15"/>
                <w:szCs w:val="15"/>
                <w:color w:val="auto"/>
              </w:rPr>
              <w:t>—</w:t>
            </w:r>
          </w:p>
        </w:tc>
        <w:tc>
          <w:tcPr>
            <w:tcW w:w="1440" w:type="dxa"/>
            <w:vAlign w:val="bottom"/>
            <w:vMerge w:val="restart"/>
          </w:tcPr>
          <w:p>
            <w:pPr>
              <w:jc w:val="right"/>
              <w:ind w:right="27"/>
              <w:spacing w:after="0"/>
              <w:rPr>
                <w:sz w:val="20"/>
                <w:szCs w:val="20"/>
                <w:color w:val="auto"/>
              </w:rPr>
            </w:pPr>
            <w:r>
              <w:rPr>
                <w:rFonts w:ascii="Arial" w:cs="Arial" w:eastAsia="Arial" w:hAnsi="Arial"/>
                <w:sz w:val="15"/>
                <w:szCs w:val="15"/>
                <w:color w:val="auto"/>
              </w:rPr>
              <w:t>4,402,400</w:t>
            </w:r>
          </w:p>
        </w:tc>
        <w:tc>
          <w:tcPr>
            <w:tcW w:w="0" w:type="dxa"/>
            <w:vAlign w:val="bottom"/>
          </w:tcPr>
          <w:p>
            <w:pPr>
              <w:spacing w:after="0"/>
              <w:rPr>
                <w:sz w:val="1"/>
                <w:szCs w:val="1"/>
                <w:color w:val="auto"/>
              </w:rPr>
            </w:pPr>
          </w:p>
        </w:tc>
      </w:tr>
      <w:tr>
        <w:trPr>
          <w:trHeight w:val="178"/>
        </w:trPr>
        <w:tc>
          <w:tcPr>
            <w:tcW w:w="4360" w:type="dxa"/>
            <w:vAlign w:val="bottom"/>
          </w:tcPr>
          <w:p>
            <w:pPr>
              <w:ind w:left="140"/>
              <w:spacing w:after="0"/>
              <w:rPr>
                <w:sz w:val="20"/>
                <w:szCs w:val="20"/>
                <w:color w:val="auto"/>
              </w:rPr>
            </w:pPr>
            <w:r>
              <w:rPr>
                <w:rFonts w:ascii="Arial" w:cs="Arial" w:eastAsia="Arial" w:hAnsi="Arial"/>
                <w:sz w:val="15"/>
                <w:szCs w:val="15"/>
                <w:color w:val="auto"/>
              </w:rPr>
              <w:t>options</w:t>
            </w:r>
          </w:p>
        </w:tc>
        <w:tc>
          <w:tcPr>
            <w:tcW w:w="12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Issuance of common stock upon vesting of RSUs</w:t>
            </w:r>
          </w:p>
        </w:tc>
        <w:tc>
          <w:tcPr>
            <w:tcW w:w="1220" w:type="dxa"/>
            <w:vAlign w:val="bottom"/>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6,191</w:t>
            </w: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
              <w:spacing w:after="0" w:line="168" w:lineRule="exact"/>
              <w:rPr>
                <w:sz w:val="20"/>
                <w:szCs w:val="20"/>
                <w:color w:val="auto"/>
              </w:rPr>
            </w:pPr>
            <w:r>
              <w:rPr>
                <w:rFonts w:ascii="Arial" w:cs="Arial" w:eastAsia="Arial" w:hAnsi="Arial"/>
                <w:sz w:val="15"/>
                <w:szCs w:val="15"/>
                <w:color w:val="auto"/>
              </w:rPr>
              <w:t>1</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3"/>
            <w:shd w:val="clear" w:color="auto" w:fill="CFF0FC"/>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27"/>
              <w:spacing w:after="0" w:line="168"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8"/>
        </w:trPr>
        <w:tc>
          <w:tcPr>
            <w:tcW w:w="4360" w:type="dxa"/>
            <w:vAlign w:val="bottom"/>
          </w:tcPr>
          <w:p>
            <w:pPr>
              <w:ind w:left="20"/>
              <w:spacing w:after="0" w:line="168" w:lineRule="exact"/>
              <w:rPr>
                <w:sz w:val="20"/>
                <w:szCs w:val="20"/>
                <w:color w:val="auto"/>
              </w:rPr>
            </w:pPr>
            <w:r>
              <w:rPr>
                <w:rFonts w:ascii="Arial" w:cs="Arial" w:eastAsia="Arial" w:hAnsi="Arial"/>
                <w:sz w:val="15"/>
                <w:szCs w:val="15"/>
                <w:color w:val="auto"/>
              </w:rPr>
              <w:t>Issuance of common stock upon financing</w:t>
            </w:r>
          </w:p>
        </w:tc>
        <w:tc>
          <w:tcPr>
            <w:tcW w:w="1220" w:type="dxa"/>
            <w:vAlign w:val="bottom"/>
          </w:tcPr>
          <w:p>
            <w:pPr>
              <w:jc w:val="right"/>
              <w:ind w:right="7"/>
              <w:spacing w:after="0" w:line="168" w:lineRule="exact"/>
              <w:rPr>
                <w:sz w:val="20"/>
                <w:szCs w:val="20"/>
                <w:color w:val="auto"/>
              </w:rPr>
            </w:pPr>
            <w:r>
              <w:rPr>
                <w:rFonts w:ascii="Arial" w:cs="Arial" w:eastAsia="Arial" w:hAnsi="Arial"/>
                <w:sz w:val="15"/>
                <w:szCs w:val="15"/>
                <w:color w:val="auto"/>
              </w:rPr>
              <w:t>110,296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
              <w:spacing w:after="0" w:line="168" w:lineRule="exact"/>
              <w:rPr>
                <w:sz w:val="20"/>
                <w:szCs w:val="20"/>
                <w:color w:val="auto"/>
              </w:rPr>
            </w:pPr>
            <w:r>
              <w:rPr>
                <w:rFonts w:ascii="Arial" w:cs="Arial" w:eastAsia="Arial" w:hAnsi="Arial"/>
                <w:sz w:val="15"/>
                <w:szCs w:val="15"/>
                <w:color w:val="auto"/>
              </w:rPr>
              <w:t>11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Arial" w:cs="Arial" w:eastAsia="Arial" w:hAnsi="Arial"/>
                <w:sz w:val="15"/>
                <w:szCs w:val="15"/>
                <w:color w:val="auto"/>
              </w:rPr>
              <w:t>7,212,356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tcPr>
          <w:p>
            <w:pPr>
              <w:jc w:val="right"/>
              <w:ind w:right="27"/>
              <w:spacing w:after="0" w:line="168" w:lineRule="exact"/>
              <w:rPr>
                <w:sz w:val="20"/>
                <w:szCs w:val="20"/>
                <w:color w:val="auto"/>
              </w:rPr>
            </w:pPr>
            <w:r>
              <w:rPr>
                <w:rFonts w:ascii="Arial" w:cs="Arial" w:eastAsia="Arial" w:hAnsi="Arial"/>
                <w:sz w:val="15"/>
                <w:szCs w:val="15"/>
                <w:color w:val="auto"/>
              </w:rPr>
              <w:t>7,212,367</w:t>
            </w:r>
          </w:p>
        </w:tc>
        <w:tc>
          <w:tcPr>
            <w:tcW w:w="0" w:type="dxa"/>
            <w:vAlign w:val="bottom"/>
          </w:tcPr>
          <w:p>
            <w:pPr>
              <w:spacing w:after="0"/>
              <w:rPr>
                <w:sz w:val="1"/>
                <w:szCs w:val="1"/>
                <w:color w:val="auto"/>
              </w:rPr>
            </w:pPr>
          </w:p>
        </w:tc>
      </w:tr>
      <w:tr>
        <w:trPr>
          <w:trHeight w:val="168"/>
        </w:trPr>
        <w:tc>
          <w:tcPr>
            <w:tcW w:w="43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Shares tendered for withholding taxes</w:t>
            </w:r>
          </w:p>
        </w:tc>
        <w:tc>
          <w:tcPr>
            <w:tcW w:w="1220" w:type="dxa"/>
            <w:vAlign w:val="bottom"/>
            <w:shd w:val="clear" w:color="auto" w:fill="CFF0FC"/>
          </w:tcPr>
          <w:p>
            <w:pPr>
              <w:jc w:val="right"/>
              <w:ind w:right="7"/>
              <w:spacing w:after="0" w:line="168" w:lineRule="exact"/>
              <w:rPr>
                <w:sz w:val="20"/>
                <w:szCs w:val="20"/>
                <w:color w:val="auto"/>
              </w:rPr>
            </w:pPr>
            <w:r>
              <w:rPr>
                <w:rFonts w:ascii="Arial" w:cs="Arial" w:eastAsia="Arial" w:hAnsi="Arial"/>
                <w:sz w:val="15"/>
                <w:szCs w:val="15"/>
                <w:color w:val="auto"/>
              </w:rPr>
              <w:t>—</w:t>
            </w:r>
          </w:p>
        </w:tc>
        <w:tc>
          <w:tcPr>
            <w:tcW w:w="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6"/>
              <w:spacing w:after="0" w:line="168" w:lineRule="exact"/>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(175,713 )</w:t>
            </w:r>
          </w:p>
        </w:tc>
        <w:tc>
          <w:tcPr>
            <w:tcW w:w="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60" w:type="dxa"/>
            <w:vAlign w:val="bottom"/>
            <w:gridSpan w:val="3"/>
            <w:shd w:val="clear" w:color="auto" w:fill="CFF0FC"/>
          </w:tcPr>
          <w:p>
            <w:pPr>
              <w:jc w:val="right"/>
              <w:ind w:right="226"/>
              <w:spacing w:after="0" w:line="168"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(175,713 )</w:t>
            </w:r>
          </w:p>
        </w:tc>
        <w:tc>
          <w:tcPr>
            <w:tcW w:w="0" w:type="dxa"/>
            <w:vAlign w:val="bottom"/>
          </w:tcPr>
          <w:p>
            <w:pPr>
              <w:spacing w:after="0"/>
              <w:rPr>
                <w:sz w:val="1"/>
                <w:szCs w:val="1"/>
                <w:color w:val="auto"/>
              </w:rPr>
            </w:pPr>
          </w:p>
        </w:tc>
      </w:tr>
      <w:tr>
        <w:trPr>
          <w:trHeight w:val="168"/>
        </w:trPr>
        <w:tc>
          <w:tcPr>
            <w:tcW w:w="4360" w:type="dxa"/>
            <w:vAlign w:val="bottom"/>
          </w:tcPr>
          <w:p>
            <w:pPr>
              <w:ind w:left="20"/>
              <w:spacing w:after="0" w:line="168" w:lineRule="exact"/>
              <w:rPr>
                <w:sz w:val="20"/>
                <w:szCs w:val="20"/>
                <w:color w:val="auto"/>
              </w:rPr>
            </w:pPr>
            <w:r>
              <w:rPr>
                <w:rFonts w:ascii="Arial" w:cs="Arial" w:eastAsia="Arial" w:hAnsi="Arial"/>
                <w:sz w:val="15"/>
                <w:szCs w:val="15"/>
                <w:color w:val="auto"/>
              </w:rPr>
              <w:t>Net loss</w:t>
            </w:r>
          </w:p>
        </w:tc>
        <w:tc>
          <w:tcPr>
            <w:tcW w:w="1220" w:type="dxa"/>
            <w:vAlign w:val="bottom"/>
            <w:tcBorders>
              <w:bottom w:val="single" w:sz="8" w:color="auto"/>
            </w:tcBorders>
          </w:tcPr>
          <w:p>
            <w:pPr>
              <w:jc w:val="right"/>
              <w:ind w:right="7"/>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
              <w:spacing w:after="0" w:line="168"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7"/>
              <w:spacing w:after="0" w:line="168"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(130,402,992 )</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(130,402,992 )</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Balance at December 31, 2021</w:t>
            </w:r>
          </w:p>
        </w:tc>
        <w:tc>
          <w:tcPr>
            <w:tcW w:w="1220" w:type="dxa"/>
            <w:vAlign w:val="bottom"/>
            <w:tcBorders>
              <w:bottom w:val="single" w:sz="8" w:color="auto"/>
            </w:tcBorders>
            <w:shd w:val="clear" w:color="auto" w:fill="CFF0FC"/>
          </w:tcPr>
          <w:p>
            <w:pPr>
              <w:jc w:val="right"/>
              <w:ind w:right="7"/>
              <w:spacing w:after="0" w:line="159" w:lineRule="exact"/>
              <w:rPr>
                <w:sz w:val="20"/>
                <w:szCs w:val="20"/>
                <w:color w:val="auto"/>
              </w:rPr>
            </w:pPr>
            <w:r>
              <w:rPr>
                <w:rFonts w:ascii="Arial" w:cs="Arial" w:eastAsia="Arial" w:hAnsi="Arial"/>
                <w:sz w:val="15"/>
                <w:szCs w:val="15"/>
                <w:color w:val="auto"/>
              </w:rPr>
              <w:t>37,816,794</w:t>
            </w:r>
          </w:p>
        </w:tc>
        <w:tc>
          <w:tcPr>
            <w:tcW w:w="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6"/>
              <w:spacing w:after="0" w:line="15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ind w:right="6"/>
              <w:spacing w:after="0" w:line="159" w:lineRule="exact"/>
              <w:rPr>
                <w:sz w:val="20"/>
                <w:szCs w:val="20"/>
                <w:color w:val="auto"/>
              </w:rPr>
            </w:pPr>
            <w:r>
              <w:rPr>
                <w:rFonts w:ascii="Arial" w:cs="Arial" w:eastAsia="Arial" w:hAnsi="Arial"/>
                <w:sz w:val="15"/>
                <w:szCs w:val="15"/>
                <w:color w:val="auto"/>
              </w:rPr>
              <w:t>3,782</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6"/>
              <w:spacing w:after="0" w:line="159" w:lineRule="exact"/>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27"/>
              <w:spacing w:after="0" w:line="159" w:lineRule="exact"/>
              <w:rPr>
                <w:sz w:val="20"/>
                <w:szCs w:val="20"/>
                <w:color w:val="auto"/>
              </w:rPr>
            </w:pPr>
            <w:r>
              <w:rPr>
                <w:rFonts w:ascii="Arial" w:cs="Arial" w:eastAsia="Arial" w:hAnsi="Arial"/>
                <w:sz w:val="15"/>
                <w:szCs w:val="15"/>
                <w:color w:val="auto"/>
              </w:rPr>
              <w:t>424,825,655</w:t>
            </w: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6"/>
              <w:spacing w:after="0" w:line="159"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(409,199,085 )</w:t>
            </w:r>
          </w:p>
        </w:tc>
        <w:tc>
          <w:tcPr>
            <w:tcW w:w="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6"/>
              <w:spacing w:after="0" w:line="159" w:lineRule="exact"/>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27"/>
              <w:spacing w:after="0" w:line="159" w:lineRule="exact"/>
              <w:rPr>
                <w:sz w:val="20"/>
                <w:szCs w:val="20"/>
                <w:color w:val="auto"/>
              </w:rPr>
            </w:pPr>
            <w:r>
              <w:rPr>
                <w:rFonts w:ascii="Arial" w:cs="Arial" w:eastAsia="Arial" w:hAnsi="Arial"/>
                <w:sz w:val="15"/>
                <w:szCs w:val="15"/>
                <w:color w:val="auto"/>
              </w:rPr>
              <w:t>15,630,352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-1925955</wp:posOffset>
            </wp:positionV>
            <wp:extent cx="21590" cy="4763"/>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4763"/>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-1925955</wp:posOffset>
            </wp:positionV>
            <wp:extent cx="13970" cy="4763"/>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970" cy="4763"/>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-1925955</wp:posOffset>
            </wp:positionV>
            <wp:extent cx="13970" cy="4763"/>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970" cy="4763"/>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-1925955</wp:posOffset>
            </wp:positionV>
            <wp:extent cx="13970" cy="4763"/>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970" cy="4763"/>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-975360</wp:posOffset>
            </wp:positionV>
            <wp:extent cx="21590" cy="4763"/>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4763"/>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-975360</wp:posOffset>
            </wp:positionV>
            <wp:extent cx="13970" cy="4763"/>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970" cy="4763"/>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-975360</wp:posOffset>
            </wp:positionV>
            <wp:extent cx="13970" cy="4763"/>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970" cy="4763"/>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-975360</wp:posOffset>
            </wp:positionV>
            <wp:extent cx="13970" cy="4763"/>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970" cy="4763"/>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-20955</wp:posOffset>
            </wp:positionV>
            <wp:extent cx="2159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-6350</wp:posOffset>
            </wp:positionV>
            <wp:extent cx="2159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-20955</wp:posOffset>
            </wp:positionV>
            <wp:extent cx="1397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-6350</wp:posOffset>
            </wp:positionV>
            <wp:extent cx="1397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-20955</wp:posOffset>
            </wp:positionV>
            <wp:extent cx="1397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-6350</wp:posOffset>
            </wp:positionV>
            <wp:extent cx="1397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-20955</wp:posOffset>
            </wp:positionV>
            <wp:extent cx="1397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970" cy="6985"/>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-6350</wp:posOffset>
            </wp:positionV>
            <wp:extent cx="1397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970" cy="698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2" w:name="page123"/>
    <w:bookmarkEnd w:id="12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Axsome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5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2"/>
                <w:szCs w:val="12"/>
                <w:b w:val="1"/>
                <w:bCs w:val="1"/>
                <w:color w:val="auto"/>
                <w:w w:val="90"/>
              </w:rPr>
              <w:t>Year ended December 31,</w:t>
            </w: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36"/>
        </w:trPr>
        <w:tc>
          <w:tcPr>
            <w:tcW w:w="65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6"/>
              <w:spacing w:after="0" w:line="137"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6"/>
              <w:spacing w:after="0" w:line="137"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6"/>
              <w:spacing w:after="0" w:line="137" w:lineRule="exact"/>
              <w:rPr>
                <w:sz w:val="20"/>
                <w:szCs w:val="20"/>
                <w:color w:val="auto"/>
              </w:rPr>
            </w:pPr>
            <w:r>
              <w:rPr>
                <w:rFonts w:ascii="Arial" w:cs="Arial" w:eastAsia="Arial" w:hAnsi="Arial"/>
                <w:sz w:val="12"/>
                <w:szCs w:val="12"/>
                <w:b w:val="1"/>
                <w:bCs w:val="1"/>
                <w:color w:val="auto"/>
              </w:rPr>
              <w:t>2019</w:t>
            </w:r>
          </w:p>
        </w:tc>
      </w:tr>
      <w:tr>
        <w:trPr>
          <w:trHeight w:val="159"/>
        </w:trPr>
        <w:tc>
          <w:tcPr>
            <w:tcW w:w="650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b w:val="1"/>
                <w:bCs w:val="1"/>
                <w:color w:val="auto"/>
              </w:rPr>
              <w:t>Cash flows from operating activities</w:t>
            </w: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Net loss</w:t>
            </w:r>
          </w:p>
        </w:tc>
        <w:tc>
          <w:tcPr>
            <w:tcW w:w="340" w:type="dxa"/>
            <w:vAlign w:val="bottom"/>
          </w:tcPr>
          <w:p>
            <w:pPr>
              <w:jc w:val="right"/>
              <w:ind w:right="186"/>
              <w:spacing w:after="0" w:line="168" w:lineRule="exact"/>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68" w:lineRule="exact"/>
              <w:rPr>
                <w:sz w:val="20"/>
                <w:szCs w:val="20"/>
                <w:color w:val="auto"/>
              </w:rPr>
            </w:pPr>
            <w:r>
              <w:rPr>
                <w:rFonts w:ascii="Arial" w:cs="Arial" w:eastAsia="Arial" w:hAnsi="Arial"/>
                <w:sz w:val="15"/>
                <w:szCs w:val="15"/>
                <w:color w:val="auto"/>
              </w:rPr>
              <w:t>(130,402,992 )</w:t>
            </w:r>
          </w:p>
        </w:tc>
        <w:tc>
          <w:tcPr>
            <w:tcW w:w="500" w:type="dxa"/>
            <w:vAlign w:val="bottom"/>
            <w:gridSpan w:val="2"/>
          </w:tcPr>
          <w:p>
            <w:pPr>
              <w:jc w:val="right"/>
              <w:ind w:right="193"/>
              <w:spacing w:after="0" w:line="168"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5"/>
                <w:szCs w:val="15"/>
                <w:color w:val="auto"/>
              </w:rPr>
              <w:t>(102,900,600 )</w:t>
            </w:r>
          </w:p>
        </w:tc>
        <w:tc>
          <w:tcPr>
            <w:tcW w:w="480" w:type="dxa"/>
            <w:vAlign w:val="bottom"/>
            <w:gridSpan w:val="2"/>
          </w:tcPr>
          <w:p>
            <w:pPr>
              <w:jc w:val="right"/>
              <w:ind w:right="166"/>
              <w:spacing w:after="0" w:line="168"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8" w:lineRule="exact"/>
              <w:rPr>
                <w:sz w:val="20"/>
                <w:szCs w:val="20"/>
                <w:color w:val="auto"/>
              </w:rPr>
            </w:pPr>
            <w:r>
              <w:rPr>
                <w:rFonts w:ascii="Arial" w:cs="Arial" w:eastAsia="Arial" w:hAnsi="Arial"/>
                <w:sz w:val="15"/>
                <w:szCs w:val="15"/>
                <w:color w:val="auto"/>
              </w:rPr>
              <w:t>(68,345,186 )</w:t>
            </w:r>
          </w:p>
        </w:tc>
      </w:tr>
      <w:tr>
        <w:trPr>
          <w:trHeight w:val="135"/>
        </w:trPr>
        <w:tc>
          <w:tcPr>
            <w:tcW w:w="6500" w:type="dxa"/>
            <w:vAlign w:val="bottom"/>
            <w:shd w:val="clear" w:color="auto" w:fill="CFF0FC"/>
          </w:tcPr>
          <w:p>
            <w:pPr>
              <w:ind w:left="20"/>
              <w:spacing w:after="0" w:line="135" w:lineRule="exact"/>
              <w:rPr>
                <w:sz w:val="20"/>
                <w:szCs w:val="20"/>
                <w:color w:val="auto"/>
              </w:rPr>
            </w:pPr>
            <w:r>
              <w:rPr>
                <w:rFonts w:ascii="Arial" w:cs="Arial" w:eastAsia="Arial" w:hAnsi="Arial"/>
                <w:sz w:val="15"/>
                <w:szCs w:val="15"/>
                <w:color w:val="auto"/>
              </w:rPr>
              <w:t>Adjustments to reconcile net loss to net cash used in operating</w:t>
            </w:r>
          </w:p>
        </w:tc>
        <w:tc>
          <w:tcPr>
            <w:tcW w:w="3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78"/>
        </w:trPr>
        <w:tc>
          <w:tcPr>
            <w:tcW w:w="6500" w:type="dxa"/>
            <w:vAlign w:val="bottom"/>
            <w:shd w:val="clear" w:color="auto" w:fill="CFF0FC"/>
          </w:tcPr>
          <w:p>
            <w:pPr>
              <w:ind w:left="140"/>
              <w:spacing w:after="0"/>
              <w:rPr>
                <w:sz w:val="20"/>
                <w:szCs w:val="20"/>
                <w:color w:val="auto"/>
              </w:rPr>
            </w:pPr>
            <w:r>
              <w:rPr>
                <w:rFonts w:ascii="Arial" w:cs="Arial" w:eastAsia="Arial" w:hAnsi="Arial"/>
                <w:sz w:val="15"/>
                <w:szCs w:val="15"/>
                <w:color w:val="auto"/>
              </w:rPr>
              <w:t>activities:</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Stock-based compensation expense</w:t>
            </w: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20,801,380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14,756,206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6,115,160</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Non-cash research and development license expense</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7,155,337</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Amortization of debt discount</w:t>
            </w: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1,077,015</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786,750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649,993</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Loss on extinguishment of debt</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1,247,012</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Amortization of operating lease right-of-use asset</w:t>
            </w: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1,079,313</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53,854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Change in operating lease liability</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(1,181,620 )</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8,967</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Depreciation</w:t>
            </w: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76,350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23,864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37,330</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Changes in operating assets and liabilities:</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8"/>
        </w:trPr>
        <w:tc>
          <w:tcPr>
            <w:tcW w:w="6500" w:type="dxa"/>
            <w:vAlign w:val="bottom"/>
          </w:tcPr>
          <w:p>
            <w:pPr>
              <w:ind w:left="160"/>
              <w:spacing w:after="0" w:line="168" w:lineRule="exact"/>
              <w:rPr>
                <w:sz w:val="20"/>
                <w:szCs w:val="20"/>
                <w:color w:val="auto"/>
              </w:rPr>
            </w:pPr>
            <w:r>
              <w:rPr>
                <w:rFonts w:ascii="Arial" w:cs="Arial" w:eastAsia="Arial" w:hAnsi="Arial"/>
                <w:sz w:val="15"/>
                <w:szCs w:val="15"/>
                <w:color w:val="auto"/>
              </w:rPr>
              <w:t>Prepaid expenses and other current assets</w:t>
            </w: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103,087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264,722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833,265</w:t>
            </w:r>
          </w:p>
        </w:tc>
      </w:tr>
      <w:tr>
        <w:trPr>
          <w:trHeight w:val="168"/>
        </w:trPr>
        <w:tc>
          <w:tcPr>
            <w:tcW w:w="650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Other assets</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(5,535 )</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(177,500 )</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(27,530 )</w:t>
            </w:r>
          </w:p>
        </w:tc>
      </w:tr>
      <w:tr>
        <w:trPr>
          <w:trHeight w:val="168"/>
        </w:trPr>
        <w:tc>
          <w:tcPr>
            <w:tcW w:w="6500" w:type="dxa"/>
            <w:vAlign w:val="bottom"/>
          </w:tcPr>
          <w:p>
            <w:pPr>
              <w:ind w:left="160"/>
              <w:spacing w:after="0" w:line="168" w:lineRule="exact"/>
              <w:rPr>
                <w:sz w:val="20"/>
                <w:szCs w:val="20"/>
                <w:color w:val="auto"/>
              </w:rPr>
            </w:pPr>
            <w:r>
              <w:rPr>
                <w:rFonts w:ascii="Arial" w:cs="Arial" w:eastAsia="Arial" w:hAnsi="Arial"/>
                <w:sz w:val="15"/>
                <w:szCs w:val="15"/>
                <w:color w:val="auto"/>
              </w:rPr>
              <w:t>Accounts payable</w:t>
            </w:r>
          </w:p>
        </w:tc>
        <w:tc>
          <w:tcPr>
            <w:tcW w:w="3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Arial" w:cs="Arial" w:eastAsia="Arial" w:hAnsi="Arial"/>
                <w:sz w:val="15"/>
                <w:szCs w:val="15"/>
                <w:color w:val="auto"/>
              </w:rPr>
              <w:t>(354,693 )</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2,560,697</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7,256,080</w:t>
            </w:r>
          </w:p>
        </w:tc>
      </w:tr>
      <w:tr>
        <w:trPr>
          <w:trHeight w:val="168"/>
        </w:trPr>
        <w:tc>
          <w:tcPr>
            <w:tcW w:w="6500" w:type="dxa"/>
            <w:vAlign w:val="bottom"/>
            <w:tcBorders>
              <w:bottom w:val="single" w:sz="8" w:color="CFF0FC"/>
            </w:tcBorders>
            <w:shd w:val="clear" w:color="auto" w:fill="CFF0FC"/>
          </w:tcPr>
          <w:p>
            <w:pPr>
              <w:ind w:left="160"/>
              <w:spacing w:after="0" w:line="168" w:lineRule="exact"/>
              <w:rPr>
                <w:sz w:val="20"/>
                <w:szCs w:val="20"/>
                <w:color w:val="auto"/>
              </w:rPr>
            </w:pPr>
            <w:r>
              <w:rPr>
                <w:rFonts w:ascii="Arial" w:cs="Arial" w:eastAsia="Arial" w:hAnsi="Arial"/>
                <w:sz w:val="15"/>
                <w:szCs w:val="15"/>
                <w:color w:val="auto"/>
              </w:rPr>
              <w:t>Accrued expenses and other current liabilities</w:t>
            </w:r>
          </w:p>
        </w:tc>
        <w:tc>
          <w:tcPr>
            <w:tcW w:w="3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581,931</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(2,235,878 )</w:t>
            </w: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7,105,829</w:t>
            </w:r>
          </w:p>
        </w:tc>
      </w:tr>
      <w:tr>
        <w:trPr>
          <w:trHeight w:val="159"/>
        </w:trPr>
        <w:tc>
          <w:tcPr>
            <w:tcW w:w="6500" w:type="dxa"/>
            <w:vAlign w:val="bottom"/>
          </w:tcPr>
          <w:p>
            <w:pPr>
              <w:ind w:left="20"/>
              <w:spacing w:after="0" w:line="159" w:lineRule="exact"/>
              <w:rPr>
                <w:sz w:val="20"/>
                <w:szCs w:val="20"/>
                <w:color w:val="auto"/>
              </w:rPr>
            </w:pPr>
            <w:r>
              <w:rPr>
                <w:rFonts w:ascii="Arial" w:cs="Arial" w:eastAsia="Arial" w:hAnsi="Arial"/>
                <w:sz w:val="15"/>
                <w:szCs w:val="15"/>
                <w:color w:val="auto"/>
              </w:rPr>
              <w:t>Net cash used in operating activities</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(108,225,764 )</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(78,456,569 )</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(46,375,059 )</w:t>
            </w:r>
          </w:p>
        </w:tc>
      </w:tr>
      <w:tr>
        <w:trPr>
          <w:trHeight w:val="159"/>
        </w:trPr>
        <w:tc>
          <w:tcPr>
            <w:tcW w:w="650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b w:val="1"/>
                <w:bCs w:val="1"/>
                <w:color w:val="auto"/>
              </w:rPr>
              <w:t>Cash flows from investing activities</w:t>
            </w: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Purchases of equipment</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(307,549 )</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(45,891 )</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(16,121 )</w:t>
            </w:r>
          </w:p>
        </w:tc>
      </w:tr>
      <w:tr>
        <w:trPr>
          <w:trHeight w:val="159"/>
        </w:trPr>
        <w:tc>
          <w:tcPr>
            <w:tcW w:w="650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Net cash used in investing activities</w:t>
            </w:r>
          </w:p>
        </w:tc>
        <w:tc>
          <w:tcPr>
            <w:tcW w:w="3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(307,549 )</w:t>
            </w:r>
          </w:p>
        </w:tc>
        <w:tc>
          <w:tcPr>
            <w:tcW w:w="1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(45,891 )</w:t>
            </w:r>
          </w:p>
        </w:tc>
        <w:tc>
          <w:tcPr>
            <w:tcW w:w="14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(16,121 )</w:t>
            </w:r>
          </w:p>
        </w:tc>
      </w:tr>
      <w:tr>
        <w:trPr>
          <w:trHeight w:val="159"/>
        </w:trPr>
        <w:tc>
          <w:tcPr>
            <w:tcW w:w="6500" w:type="dxa"/>
            <w:vAlign w:val="bottom"/>
          </w:tcPr>
          <w:p>
            <w:pPr>
              <w:ind w:left="20"/>
              <w:spacing w:after="0" w:line="159" w:lineRule="exact"/>
              <w:rPr>
                <w:sz w:val="20"/>
                <w:szCs w:val="20"/>
                <w:color w:val="auto"/>
              </w:rPr>
            </w:pPr>
            <w:r>
              <w:rPr>
                <w:rFonts w:ascii="Arial" w:cs="Arial" w:eastAsia="Arial" w:hAnsi="Arial"/>
                <w:sz w:val="15"/>
                <w:szCs w:val="15"/>
                <w:b w:val="1"/>
                <w:bCs w:val="1"/>
                <w:color w:val="auto"/>
              </w:rPr>
              <w:t>Cash flows from financing activities</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Proceeds from issuance of term loan</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50,000,000</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20,000,000</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Payment of debt issuance costs</w:t>
            </w:r>
          </w:p>
        </w:tc>
        <w:tc>
          <w:tcPr>
            <w:tcW w:w="3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Arial" w:cs="Arial" w:eastAsia="Arial" w:hAnsi="Arial"/>
                <w:sz w:val="15"/>
                <w:szCs w:val="15"/>
                <w:color w:val="auto"/>
              </w:rPr>
              <w:t>(309,340 )</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8" w:lineRule="exact"/>
              <w:rPr>
                <w:sz w:val="20"/>
                <w:szCs w:val="20"/>
                <w:color w:val="auto"/>
              </w:rPr>
            </w:pPr>
            <w:r>
              <w:rPr>
                <w:rFonts w:ascii="Arial" w:cs="Arial" w:eastAsia="Arial" w:hAnsi="Arial"/>
                <w:sz w:val="15"/>
                <w:szCs w:val="15"/>
                <w:color w:val="auto"/>
              </w:rPr>
              <w:t>(1,102,609 )</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Repayment of principal on term loan</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(21,660,000 )</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(7,238,889 )</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Proceeds from issuance of common stock upon financing, net</w:t>
            </w: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7,212,367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14,125,506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238,233,817</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Proceeds from issuance of common stock upon exercise of warrants</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249,836</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Proceeds from issuance of common stock upon exercise of options</w:t>
            </w: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4,402,400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1,049,849</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1,143,841</w:t>
            </w:r>
          </w:p>
        </w:tc>
      </w:tr>
      <w:tr>
        <w:trPr>
          <w:trHeight w:val="168"/>
        </w:trPr>
        <w:tc>
          <w:tcPr>
            <w:tcW w:w="650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Payments of tax withholdings on stock award</w:t>
            </w:r>
          </w:p>
        </w:tc>
        <w:tc>
          <w:tcPr>
            <w:tcW w:w="3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(175,713 )</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r>
      <w:tr>
        <w:trPr>
          <w:trHeight w:val="159"/>
        </w:trPr>
        <w:tc>
          <w:tcPr>
            <w:tcW w:w="6500" w:type="dxa"/>
            <w:vAlign w:val="bottom"/>
          </w:tcPr>
          <w:p>
            <w:pPr>
              <w:ind w:left="20"/>
              <w:spacing w:after="0" w:line="159" w:lineRule="exact"/>
              <w:rPr>
                <w:sz w:val="20"/>
                <w:szCs w:val="20"/>
                <w:color w:val="auto"/>
              </w:rPr>
            </w:pPr>
            <w:r>
              <w:rPr>
                <w:rFonts w:ascii="Arial" w:cs="Arial" w:eastAsia="Arial" w:hAnsi="Arial"/>
                <w:sz w:val="15"/>
                <w:szCs w:val="15"/>
                <w:color w:val="auto"/>
              </w:rPr>
              <w:t>Net cash provided by financing activities</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rPr>
              <w:t>11,129,714</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rPr>
              <w:t>42,412,746</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rPr>
              <w:t>252,388,605</w:t>
            </w:r>
          </w:p>
        </w:tc>
      </w:tr>
      <w:tr>
        <w:trPr>
          <w:trHeight w:val="159"/>
        </w:trPr>
        <w:tc>
          <w:tcPr>
            <w:tcW w:w="650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Net (decrease) increase in cash</w:t>
            </w:r>
          </w:p>
        </w:tc>
        <w:tc>
          <w:tcPr>
            <w:tcW w:w="3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(97,403,599 )</w:t>
            </w:r>
          </w:p>
        </w:tc>
        <w:tc>
          <w:tcPr>
            <w:tcW w:w="1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(36,089,714 )</w:t>
            </w:r>
          </w:p>
        </w:tc>
        <w:tc>
          <w:tcPr>
            <w:tcW w:w="14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26"/>
              <w:spacing w:after="0" w:line="159" w:lineRule="exact"/>
              <w:rPr>
                <w:sz w:val="20"/>
                <w:szCs w:val="20"/>
                <w:color w:val="auto"/>
              </w:rPr>
            </w:pPr>
            <w:r>
              <w:rPr>
                <w:rFonts w:ascii="Arial" w:cs="Arial" w:eastAsia="Arial" w:hAnsi="Arial"/>
                <w:sz w:val="15"/>
                <w:szCs w:val="15"/>
                <w:color w:val="auto"/>
              </w:rPr>
              <w:t>205,997,425</w:t>
            </w:r>
          </w:p>
        </w:tc>
      </w:tr>
      <w:tr>
        <w:trPr>
          <w:trHeight w:val="159"/>
        </w:trPr>
        <w:tc>
          <w:tcPr>
            <w:tcW w:w="6500" w:type="dxa"/>
            <w:vAlign w:val="bottom"/>
          </w:tcPr>
          <w:p>
            <w:pPr>
              <w:ind w:left="20"/>
              <w:spacing w:after="0" w:line="159" w:lineRule="exact"/>
              <w:rPr>
                <w:sz w:val="20"/>
                <w:szCs w:val="20"/>
                <w:color w:val="auto"/>
              </w:rPr>
            </w:pPr>
            <w:r>
              <w:rPr>
                <w:rFonts w:ascii="Arial" w:cs="Arial" w:eastAsia="Arial" w:hAnsi="Arial"/>
                <w:sz w:val="15"/>
                <w:szCs w:val="15"/>
                <w:color w:val="auto"/>
              </w:rPr>
              <w:t>Cash at beginning of period</w:t>
            </w:r>
          </w:p>
        </w:tc>
        <w:tc>
          <w:tcPr>
            <w:tcW w:w="340" w:type="dxa"/>
            <w:vAlign w:val="bottom"/>
          </w:tcPr>
          <w:p>
            <w:pPr>
              <w:spacing w:after="0"/>
              <w:rPr>
                <w:sz w:val="13"/>
                <w:szCs w:val="13"/>
                <w:color w:val="auto"/>
              </w:rPr>
            </w:pPr>
          </w:p>
        </w:tc>
        <w:tc>
          <w:tcPr>
            <w:tcW w:w="1160" w:type="dxa"/>
            <w:vAlign w:val="bottom"/>
          </w:tcPr>
          <w:p>
            <w:pPr>
              <w:jc w:val="right"/>
              <w:ind w:right="26"/>
              <w:spacing w:after="0" w:line="159" w:lineRule="exact"/>
              <w:rPr>
                <w:sz w:val="20"/>
                <w:szCs w:val="20"/>
                <w:color w:val="auto"/>
              </w:rPr>
            </w:pPr>
            <w:r>
              <w:rPr>
                <w:rFonts w:ascii="Arial" w:cs="Arial" w:eastAsia="Arial" w:hAnsi="Arial"/>
                <w:sz w:val="15"/>
                <w:szCs w:val="15"/>
                <w:color w:val="auto"/>
              </w:rPr>
              <w:t>183,876,453</w:t>
            </w:r>
          </w:p>
        </w:tc>
        <w:tc>
          <w:tcPr>
            <w:tcW w:w="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rPr>
              <w:t>219,966,167</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5"/>
                <w:szCs w:val="15"/>
                <w:color w:val="auto"/>
              </w:rPr>
              <w:t>13,968,742</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1"/>
        </w:trPr>
        <w:tc>
          <w:tcPr>
            <w:tcW w:w="6500" w:type="dxa"/>
            <w:vAlign w:val="bottom"/>
            <w:tcBorders>
              <w:bottom w:val="single" w:sz="8" w:color="CFF0FC"/>
            </w:tcBorders>
            <w:shd w:val="clear" w:color="auto" w:fill="CFF0FC"/>
          </w:tcPr>
          <w:p>
            <w:pPr>
              <w:ind w:left="20"/>
              <w:spacing w:after="0" w:line="141" w:lineRule="exact"/>
              <w:rPr>
                <w:sz w:val="20"/>
                <w:szCs w:val="20"/>
                <w:color w:val="auto"/>
              </w:rPr>
            </w:pPr>
            <w:r>
              <w:rPr>
                <w:rFonts w:ascii="Arial" w:cs="Arial" w:eastAsia="Arial" w:hAnsi="Arial"/>
                <w:sz w:val="15"/>
                <w:szCs w:val="15"/>
                <w:color w:val="auto"/>
              </w:rPr>
              <w:t>Cash at end of period</w:t>
            </w:r>
          </w:p>
        </w:tc>
        <w:tc>
          <w:tcPr>
            <w:tcW w:w="340" w:type="dxa"/>
            <w:vAlign w:val="bottom"/>
            <w:tcBorders>
              <w:bottom w:val="single" w:sz="8" w:color="auto"/>
            </w:tcBorders>
            <w:shd w:val="clear" w:color="auto" w:fill="CFF0FC"/>
          </w:tcPr>
          <w:p>
            <w:pPr>
              <w:jc w:val="right"/>
              <w:ind w:right="186"/>
              <w:spacing w:after="0" w:line="141"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26"/>
              <w:spacing w:after="0" w:line="141" w:lineRule="exact"/>
              <w:rPr>
                <w:sz w:val="20"/>
                <w:szCs w:val="20"/>
                <w:color w:val="auto"/>
              </w:rPr>
            </w:pPr>
            <w:r>
              <w:rPr>
                <w:rFonts w:ascii="Arial" w:cs="Arial" w:eastAsia="Arial" w:hAnsi="Arial"/>
                <w:sz w:val="15"/>
                <w:szCs w:val="15"/>
                <w:color w:val="auto"/>
              </w:rPr>
              <w:t>86,472,854</w:t>
            </w:r>
          </w:p>
        </w:tc>
        <w:tc>
          <w:tcPr>
            <w:tcW w:w="1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93"/>
              <w:spacing w:after="0" w:line="141"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26"/>
              <w:spacing w:after="0" w:line="141" w:lineRule="exact"/>
              <w:rPr>
                <w:sz w:val="20"/>
                <w:szCs w:val="20"/>
                <w:color w:val="auto"/>
              </w:rPr>
            </w:pPr>
            <w:r>
              <w:rPr>
                <w:rFonts w:ascii="Arial" w:cs="Arial" w:eastAsia="Arial" w:hAnsi="Arial"/>
                <w:sz w:val="15"/>
                <w:szCs w:val="15"/>
                <w:color w:val="auto"/>
              </w:rPr>
              <w:t>183,876,453</w:t>
            </w:r>
          </w:p>
        </w:tc>
        <w:tc>
          <w:tcPr>
            <w:tcW w:w="1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166"/>
              <w:spacing w:after="0" w:line="141" w:lineRule="exact"/>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FF0FC"/>
          </w:tcPr>
          <w:p>
            <w:pPr>
              <w:jc w:val="right"/>
              <w:ind w:right="26"/>
              <w:spacing w:after="0" w:line="141" w:lineRule="exact"/>
              <w:rPr>
                <w:sz w:val="20"/>
                <w:szCs w:val="20"/>
                <w:color w:val="auto"/>
              </w:rPr>
            </w:pPr>
            <w:r>
              <w:rPr>
                <w:rFonts w:ascii="Arial" w:cs="Arial" w:eastAsia="Arial" w:hAnsi="Arial"/>
                <w:sz w:val="15"/>
                <w:szCs w:val="15"/>
                <w:color w:val="auto"/>
              </w:rPr>
              <w:t>219,966,167</w:t>
            </w:r>
          </w:p>
        </w:tc>
      </w:tr>
      <w:tr>
        <w:trPr>
          <w:trHeight w:val="141"/>
        </w:trPr>
        <w:tc>
          <w:tcPr>
            <w:tcW w:w="6500" w:type="dxa"/>
            <w:vAlign w:val="bottom"/>
          </w:tcPr>
          <w:p>
            <w:pPr>
              <w:ind w:left="20"/>
              <w:spacing w:after="0" w:line="141"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Interest paid</w:t>
            </w:r>
          </w:p>
        </w:tc>
        <w:tc>
          <w:tcPr>
            <w:tcW w:w="340" w:type="dxa"/>
            <w:vAlign w:val="bottom"/>
            <w:shd w:val="clear" w:color="auto" w:fill="CFF0FC"/>
          </w:tcPr>
          <w:p>
            <w:pPr>
              <w:jc w:val="right"/>
              <w:ind w:right="186"/>
              <w:spacing w:after="0" w:line="168"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4,625,208</w:t>
            </w:r>
          </w:p>
        </w:tc>
        <w:tc>
          <w:tcPr>
            <w:tcW w:w="500" w:type="dxa"/>
            <w:vAlign w:val="bottom"/>
            <w:gridSpan w:val="2"/>
            <w:shd w:val="clear" w:color="auto" w:fill="CFF0FC"/>
          </w:tcPr>
          <w:p>
            <w:pPr>
              <w:jc w:val="right"/>
              <w:ind w:right="193"/>
              <w:spacing w:after="0" w:line="168" w:lineRule="exact"/>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2,097,292</w:t>
            </w:r>
          </w:p>
        </w:tc>
        <w:tc>
          <w:tcPr>
            <w:tcW w:w="480" w:type="dxa"/>
            <w:vAlign w:val="bottom"/>
            <w:gridSpan w:val="2"/>
            <w:shd w:val="clear" w:color="auto" w:fill="CFF0FC"/>
          </w:tcPr>
          <w:p>
            <w:pPr>
              <w:jc w:val="right"/>
              <w:ind w:right="166"/>
              <w:spacing w:after="0" w:line="168" w:lineRule="exact"/>
              <w:rPr>
                <w:sz w:val="20"/>
                <w:szCs w:val="20"/>
                <w:color w:val="auto"/>
              </w:rPr>
            </w:pPr>
            <w:r>
              <w:rPr>
                <w:rFonts w:ascii="Arial" w:cs="Arial" w:eastAsia="Arial" w:hAnsi="Arial"/>
                <w:sz w:val="15"/>
                <w:szCs w:val="15"/>
                <w:color w:val="auto"/>
              </w:rPr>
              <w:t>$</w:t>
            </w:r>
          </w:p>
        </w:tc>
        <w:tc>
          <w:tcPr>
            <w:tcW w:w="1140" w:type="dxa"/>
            <w:vAlign w:val="bottom"/>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1,287,506</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Operating lease right-of-use asset obtained in exchange for operating lease liability</w:t>
            </w:r>
          </w:p>
        </w:tc>
        <w:tc>
          <w:tcPr>
            <w:tcW w:w="340" w:type="dxa"/>
            <w:vAlign w:val="bottom"/>
          </w:tcPr>
          <w:p>
            <w:pPr>
              <w:jc w:val="right"/>
              <w:ind w:right="186"/>
              <w:spacing w:after="0" w:line="168" w:lineRule="exact"/>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26"/>
              <w:spacing w:after="0" w:line="168" w:lineRule="exact"/>
              <w:rPr>
                <w:sz w:val="20"/>
                <w:szCs w:val="20"/>
                <w:color w:val="auto"/>
              </w:rPr>
            </w:pPr>
            <w:r>
              <w:rPr>
                <w:rFonts w:ascii="Arial" w:cs="Arial" w:eastAsia="Arial" w:hAnsi="Arial"/>
                <w:sz w:val="15"/>
                <w:szCs w:val="15"/>
                <w:color w:val="auto"/>
              </w:rPr>
              <w:t>1,793,328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
              <w:spacing w:after="0" w:line="168" w:lineRule="exact"/>
              <w:rPr>
                <w:sz w:val="20"/>
                <w:szCs w:val="20"/>
                <w:color w:val="auto"/>
              </w:rPr>
            </w:pPr>
            <w:r>
              <w:rPr>
                <w:rFonts w:ascii="Arial" w:cs="Arial" w:eastAsia="Arial" w:hAnsi="Arial"/>
                <w:sz w:val="15"/>
                <w:szCs w:val="15"/>
                <w:color w:val="auto"/>
              </w:rPr>
              <w:t>—</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b w:val="1"/>
                <w:bCs w:val="1"/>
                <w:color w:val="auto"/>
              </w:rPr>
              <w:t>Supplemental disclosures of non-cash financing activity:</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89"/>
        </w:trPr>
        <w:tc>
          <w:tcPr>
            <w:tcW w:w="6500" w:type="dxa"/>
            <w:vAlign w:val="bottom"/>
          </w:tcPr>
          <w:p>
            <w:pPr>
              <w:ind w:left="20"/>
              <w:spacing w:after="0"/>
              <w:rPr>
                <w:sz w:val="20"/>
                <w:szCs w:val="20"/>
                <w:color w:val="auto"/>
              </w:rPr>
            </w:pPr>
            <w:r>
              <w:rPr>
                <w:rFonts w:ascii="Arial" w:cs="Arial" w:eastAsia="Arial" w:hAnsi="Arial"/>
                <w:sz w:val="15"/>
                <w:szCs w:val="15"/>
                <w:color w:val="auto"/>
              </w:rPr>
              <w:t>Issuance of warrants in connection with debt financing</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19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6"/>
              <w:spacing w:after="0"/>
              <w:rPr>
                <w:sz w:val="20"/>
                <w:szCs w:val="20"/>
                <w:color w:val="auto"/>
              </w:rPr>
            </w:pPr>
            <w:r>
              <w:rPr>
                <w:rFonts w:ascii="Arial" w:cs="Arial" w:eastAsia="Arial" w:hAnsi="Arial"/>
                <w:sz w:val="15"/>
                <w:szCs w:val="15"/>
                <w:color w:val="auto"/>
              </w:rPr>
              <w:t>884,216</w:t>
            </w:r>
          </w:p>
        </w:tc>
        <w:tc>
          <w:tcPr>
            <w:tcW w:w="480" w:type="dxa"/>
            <w:vAlign w:val="bottom"/>
            <w:gridSpan w:val="2"/>
          </w:tcPr>
          <w:p>
            <w:pPr>
              <w:jc w:val="right"/>
              <w:ind w:right="16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6"/>
              <w:spacing w:after="0"/>
              <w:rPr>
                <w:sz w:val="20"/>
                <w:szCs w:val="20"/>
                <w:color w:val="auto"/>
              </w:rPr>
            </w:pPr>
            <w:r>
              <w:rPr>
                <w:rFonts w:ascii="Arial" w:cs="Arial" w:eastAsia="Arial" w:hAnsi="Arial"/>
                <w:sz w:val="15"/>
                <w:szCs w:val="15"/>
                <w:color w:val="auto"/>
              </w:rPr>
              <w:t>387,000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5083810</wp:posOffset>
            </wp:positionH>
            <wp:positionV relativeFrom="paragraph">
              <wp:posOffset>-2336800</wp:posOffset>
            </wp:positionV>
            <wp:extent cx="99060" cy="4763"/>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9060" cy="4763"/>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-2336800</wp:posOffset>
            </wp:positionV>
            <wp:extent cx="92075" cy="4763"/>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2075" cy="4763"/>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-1889760</wp:posOffset>
            </wp:positionV>
            <wp:extent cx="99060" cy="4763"/>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9060" cy="4763"/>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-1889760</wp:posOffset>
            </wp:positionV>
            <wp:extent cx="92075" cy="4763"/>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2075" cy="4763"/>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-1031875</wp:posOffset>
            </wp:positionV>
            <wp:extent cx="99060" cy="4763"/>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9060" cy="4763"/>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-1031875</wp:posOffset>
            </wp:positionV>
            <wp:extent cx="92075" cy="4763"/>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2075" cy="4763"/>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-804545</wp:posOffset>
            </wp:positionV>
            <wp:extent cx="99060" cy="4763"/>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9060" cy="4763"/>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-804545</wp:posOffset>
            </wp:positionV>
            <wp:extent cx="92075" cy="4763"/>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2075" cy="4763"/>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-565785</wp:posOffset>
            </wp:positionV>
            <wp:extent cx="9906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5083810</wp:posOffset>
            </wp:positionH>
            <wp:positionV relativeFrom="paragraph">
              <wp:posOffset>-551815</wp:posOffset>
            </wp:positionV>
            <wp:extent cx="9906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-565785</wp:posOffset>
            </wp:positionV>
            <wp:extent cx="92075"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-551815</wp:posOffset>
            </wp:positionV>
            <wp:extent cx="92075"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2075" cy="6985"/>
                    </a:xfrm>
                    <a:prstGeom prst="rect">
                      <a:avLst/>
                    </a:prstGeom>
                    <a:noFill/>
                  </pic:spPr>
                </pic:pic>
              </a:graphicData>
            </a:graphic>
          </wp:anchor>
        </w:drawing>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3" w:name="page124"/>
    <w:bookmarkEnd w:id="12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Axsome Therapeutics,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1.</w:t>
      </w:r>
      <w:r>
        <w:rPr>
          <w:sz w:val="20"/>
          <w:szCs w:val="20"/>
          <w:color w:val="auto"/>
        </w:rPr>
        <w:tab/>
      </w:r>
      <w:r>
        <w:rPr>
          <w:rFonts w:ascii="Arial" w:cs="Arial" w:eastAsia="Arial" w:hAnsi="Arial"/>
          <w:sz w:val="13"/>
          <w:szCs w:val="13"/>
          <w:b w:val="1"/>
          <w:bCs w:val="1"/>
          <w:color w:val="auto"/>
        </w:rPr>
        <w:t>Nature of Business and Basis of Presentation</w:t>
      </w:r>
    </w:p>
    <w:p>
      <w:pPr>
        <w:spacing w:after="0" w:line="178" w:lineRule="exact"/>
        <w:rPr>
          <w:sz w:val="20"/>
          <w:szCs w:val="20"/>
          <w:color w:val="auto"/>
        </w:rPr>
      </w:pPr>
    </w:p>
    <w:p>
      <w:pPr>
        <w:ind w:right="20" w:firstLine="751"/>
        <w:spacing w:after="0" w:line="172" w:lineRule="exact"/>
        <w:rPr>
          <w:sz w:val="20"/>
          <w:szCs w:val="20"/>
          <w:color w:val="auto"/>
        </w:rPr>
      </w:pPr>
      <w:r>
        <w:rPr>
          <w:rFonts w:ascii="Arial" w:cs="Arial" w:eastAsia="Arial" w:hAnsi="Arial"/>
          <w:sz w:val="15"/>
          <w:szCs w:val="15"/>
          <w:color w:val="auto"/>
        </w:rPr>
        <w:t>Axsome Therapeutics, Inc. (“Axsome” or the “Company”) is a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four product candidates, AXS</w:t>
      </w:r>
      <w:r>
        <w:rPr>
          <w:rFonts w:ascii="MS PGothic" w:cs="MS PGothic" w:eastAsia="MS PGothic" w:hAnsi="MS PGothic"/>
          <w:sz w:val="15"/>
          <w:szCs w:val="15"/>
          <w:color w:val="auto"/>
        </w:rPr>
        <w:t>‑</w:t>
      </w:r>
      <w:r>
        <w:rPr>
          <w:rFonts w:ascii="Arial" w:cs="Arial" w:eastAsia="Arial" w:hAnsi="Arial"/>
          <w:sz w:val="15"/>
          <w:szCs w:val="15"/>
          <w:color w:val="auto"/>
        </w:rPr>
        <w:t>05, AXS-07,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158" w:lineRule="exact"/>
        <w:rPr>
          <w:sz w:val="20"/>
          <w:szCs w:val="20"/>
          <w:color w:val="auto"/>
        </w:rPr>
      </w:pPr>
    </w:p>
    <w:p>
      <w:pPr>
        <w:ind w:right="180" w:firstLine="751"/>
        <w:spacing w:after="0" w:line="300" w:lineRule="auto"/>
        <w:rPr>
          <w:sz w:val="20"/>
          <w:szCs w:val="20"/>
          <w:color w:val="auto"/>
        </w:rPr>
      </w:pPr>
      <w:r>
        <w:rPr>
          <w:rFonts w:ascii="Arial" w:cs="Arial" w:eastAsia="Arial" w:hAnsi="Arial"/>
          <w:sz w:val="13"/>
          <w:szCs w:val="13"/>
          <w:color w:val="auto"/>
        </w:rPr>
        <w:t>The accompanying consolidated financial statements have been prepared in conformity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wholly owned subsidiaries. All material intercompany accounts and transactions have been eliminated during the consolidation process.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78" w:lineRule="exact"/>
        <w:rPr>
          <w:sz w:val="20"/>
          <w:szCs w:val="20"/>
          <w:color w:val="auto"/>
        </w:rPr>
      </w:pPr>
    </w:p>
    <w:p>
      <w:pPr>
        <w:ind w:right="20" w:firstLine="751"/>
        <w:spacing w:after="0" w:line="255" w:lineRule="auto"/>
        <w:rPr>
          <w:sz w:val="20"/>
          <w:szCs w:val="20"/>
          <w:color w:val="auto"/>
        </w:rPr>
      </w:pPr>
      <w:r>
        <w:rPr>
          <w:rFonts w:ascii="Arial" w:cs="Arial" w:eastAsia="Arial" w:hAnsi="Arial"/>
          <w:sz w:val="15"/>
          <w:szCs w:val="15"/>
          <w:color w:val="auto"/>
        </w:rPr>
        <w:t>The Company has incurred operating losses since its inception and expects to continue to incur operating losses for the foreseeable future and may never become profitable. As of December 31, 2021, the Company had an accumulated deficit of $409.2 million.</w:t>
      </w:r>
    </w:p>
    <w:p>
      <w:pPr>
        <w:spacing w:after="0" w:line="147" w:lineRule="exact"/>
        <w:rPr>
          <w:sz w:val="20"/>
          <w:szCs w:val="20"/>
          <w:color w:val="auto"/>
        </w:rPr>
      </w:pPr>
    </w:p>
    <w:p>
      <w:pPr>
        <w:ind w:firstLine="751"/>
        <w:spacing w:after="0" w:line="263" w:lineRule="auto"/>
        <w:rPr>
          <w:sz w:val="20"/>
          <w:szCs w:val="20"/>
          <w:color w:val="auto"/>
        </w:rPr>
      </w:pPr>
      <w:r>
        <w:rPr>
          <w:rFonts w:ascii="Arial" w:cs="Arial" w:eastAsia="Arial" w:hAnsi="Arial"/>
          <w:sz w:val="14"/>
          <w:szCs w:val="14"/>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43" w:lineRule="exact"/>
        <w:rPr>
          <w:sz w:val="20"/>
          <w:szCs w:val="20"/>
          <w:color w:val="auto"/>
        </w:rPr>
      </w:pPr>
    </w:p>
    <w:p>
      <w:pPr>
        <w:ind w:right="80" w:firstLine="751"/>
        <w:spacing w:after="0" w:line="263" w:lineRule="auto"/>
        <w:rPr>
          <w:sz w:val="20"/>
          <w:szCs w:val="20"/>
          <w:color w:val="auto"/>
        </w:rPr>
      </w:pPr>
      <w:r>
        <w:rPr>
          <w:rFonts w:ascii="Arial" w:cs="Arial" w:eastAsia="Arial" w:hAnsi="Arial"/>
          <w:sz w:val="14"/>
          <w:szCs w:val="14"/>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in light of other strategic considerations to finance its future cash needs.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Company’s common stock is listed on the Nasdaq Global Market and trades under the symbol “AXSM”.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24" w:name="page125"/>
    <w:bookmarkEnd w:id="12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3"/>
          <w:szCs w:val="13"/>
          <w:b w:val="1"/>
          <w:bCs w:val="1"/>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COVID-19</w:t>
      </w:r>
    </w:p>
    <w:p>
      <w:pPr>
        <w:spacing w:after="0" w:line="178" w:lineRule="exact"/>
        <w:rPr>
          <w:sz w:val="20"/>
          <w:szCs w:val="20"/>
          <w:color w:val="auto"/>
        </w:rPr>
      </w:pPr>
    </w:p>
    <w:p>
      <w:pPr>
        <w:ind w:right="120" w:firstLine="751"/>
        <w:spacing w:after="0" w:line="255" w:lineRule="auto"/>
        <w:rPr>
          <w:sz w:val="20"/>
          <w:szCs w:val="20"/>
          <w:color w:val="auto"/>
        </w:rPr>
      </w:pPr>
      <w:r>
        <w:rPr>
          <w:rFonts w:ascii="Arial" w:cs="Arial" w:eastAsia="Arial" w:hAnsi="Arial"/>
          <w:sz w:val="14"/>
          <w:szCs w:val="14"/>
          <w:color w:val="auto"/>
        </w:rPr>
        <w:t>In December 2019, a novel (new) coronavirus known as SARS-CoV-2 was first detected in Wuhan, Hubei Province, People’s Republic of China, causing outbreaks of the coronavirus disease, known as COVID-19, which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 The full impact of the COVID-19 pandemic is unknown and constantly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a material impact on the Company’s current investment liquidity.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Significant Risks and Uncertainties</w:t>
      </w:r>
    </w:p>
    <w:p>
      <w:pPr>
        <w:spacing w:after="0" w:line="178" w:lineRule="exact"/>
        <w:rPr>
          <w:sz w:val="20"/>
          <w:szCs w:val="20"/>
          <w:color w:val="auto"/>
        </w:rPr>
      </w:pPr>
    </w:p>
    <w:p>
      <w:pPr>
        <w:ind w:right="60" w:firstLine="751"/>
        <w:spacing w:after="0" w:line="260" w:lineRule="auto"/>
        <w:rPr>
          <w:sz w:val="20"/>
          <w:szCs w:val="20"/>
          <w:color w:val="auto"/>
        </w:rPr>
      </w:pPr>
      <w:r>
        <w:rPr>
          <w:rFonts w:ascii="Arial" w:cs="Arial" w:eastAsia="Arial" w:hAnsi="Arial"/>
          <w:sz w:val="14"/>
          <w:szCs w:val="14"/>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the Company’s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Estimates</w:t>
      </w:r>
    </w:p>
    <w:p>
      <w:pPr>
        <w:spacing w:after="0" w:line="178" w:lineRule="exact"/>
        <w:rPr>
          <w:sz w:val="20"/>
          <w:szCs w:val="20"/>
          <w:color w:val="auto"/>
        </w:rPr>
      </w:pPr>
    </w:p>
    <w:p>
      <w:pPr>
        <w:ind w:firstLine="751"/>
        <w:spacing w:after="0" w:line="170" w:lineRule="exact"/>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Currency Translation</w:t>
      </w:r>
    </w:p>
    <w:p>
      <w:pPr>
        <w:spacing w:after="0" w:line="178" w:lineRule="exact"/>
        <w:rPr>
          <w:sz w:val="20"/>
          <w:szCs w:val="20"/>
          <w:color w:val="auto"/>
        </w:rPr>
      </w:pPr>
    </w:p>
    <w:p>
      <w:pPr>
        <w:jc w:val="both"/>
        <w:ind w:right="140" w:firstLine="751"/>
        <w:spacing w:after="0" w:line="244" w:lineRule="auto"/>
        <w:rPr>
          <w:sz w:val="20"/>
          <w:szCs w:val="20"/>
          <w:color w:val="auto"/>
        </w:rPr>
      </w:pPr>
      <w:r>
        <w:rPr>
          <w:rFonts w:ascii="Arial" w:cs="Arial" w:eastAsia="Arial" w:hAnsi="Arial"/>
          <w:sz w:val="15"/>
          <w:szCs w:val="15"/>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181215"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25" w:name="page126"/>
    <w:bookmarkEnd w:id="12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and Geographic Information</w:t>
      </w:r>
    </w:p>
    <w:p>
      <w:pPr>
        <w:spacing w:after="0" w:line="178" w:lineRule="exact"/>
        <w:rPr>
          <w:sz w:val="20"/>
          <w:szCs w:val="20"/>
          <w:color w:val="auto"/>
        </w:rPr>
      </w:pPr>
    </w:p>
    <w:p>
      <w:pPr>
        <w:ind w:right="40" w:firstLine="751"/>
        <w:spacing w:after="0" w:line="244" w:lineRule="auto"/>
        <w:rPr>
          <w:sz w:val="20"/>
          <w:szCs w:val="20"/>
          <w:color w:val="auto"/>
        </w:rPr>
      </w:pPr>
      <w:r>
        <w:rPr>
          <w:rFonts w:ascii="Arial" w:cs="Arial" w:eastAsia="Arial" w:hAnsi="Arial"/>
          <w:sz w:val="15"/>
          <w:szCs w:val="15"/>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Equivalents</w:t>
      </w:r>
    </w:p>
    <w:p>
      <w:pPr>
        <w:spacing w:after="0" w:line="178" w:lineRule="exact"/>
        <w:rPr>
          <w:sz w:val="20"/>
          <w:szCs w:val="20"/>
          <w:color w:val="auto"/>
        </w:rPr>
      </w:pPr>
    </w:p>
    <w:p>
      <w:pPr>
        <w:ind w:right="240" w:firstLine="751"/>
        <w:spacing w:after="0" w:line="289" w:lineRule="auto"/>
        <w:rPr>
          <w:sz w:val="20"/>
          <w:szCs w:val="20"/>
          <w:color w:val="auto"/>
        </w:rPr>
      </w:pPr>
      <w:r>
        <w:rPr>
          <w:rFonts w:ascii="Arial" w:cs="Arial" w:eastAsia="Arial" w:hAnsi="Arial"/>
          <w:sz w:val="13"/>
          <w:szCs w:val="13"/>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December 31, 2021, the balance of cash and cash equivalents was $86.5 million, which approximates fair value and was determined based upon Level 1 inputs. The sweep account is valued using quoted market prices with no valuation adjustments applied. Accordingly, these securities are categorized as Level 1.</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 of Credit Risk</w:t>
      </w:r>
    </w:p>
    <w:p>
      <w:pPr>
        <w:spacing w:after="0" w:line="178" w:lineRule="exact"/>
        <w:rPr>
          <w:sz w:val="20"/>
          <w:szCs w:val="20"/>
          <w:color w:val="auto"/>
        </w:rPr>
      </w:pPr>
    </w:p>
    <w:p>
      <w:pPr>
        <w:jc w:val="both"/>
        <w:ind w:right="120" w:firstLine="751"/>
        <w:spacing w:after="0"/>
        <w:rPr>
          <w:sz w:val="20"/>
          <w:szCs w:val="20"/>
          <w:color w:val="auto"/>
        </w:rPr>
      </w:pPr>
      <w:r>
        <w:rPr>
          <w:rFonts w:ascii="Arial" w:cs="Arial" w:eastAsia="Arial" w:hAnsi="Arial"/>
          <w:sz w:val="15"/>
          <w:szCs w:val="15"/>
          <w:color w:val="auto"/>
        </w:rPr>
        <w:t>Financial instruments that potentially subject the Company to a concentration of credit risk consist of cash. The Company maintains its cash at financial institutions, which at times, exceed federally insured limits. At December 31, 2021,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 of Financial Instruments</w:t>
      </w:r>
    </w:p>
    <w:p>
      <w:pPr>
        <w:spacing w:after="0" w:line="178" w:lineRule="exact"/>
        <w:rPr>
          <w:sz w:val="20"/>
          <w:szCs w:val="20"/>
          <w:color w:val="auto"/>
        </w:rPr>
      </w:pPr>
    </w:p>
    <w:p>
      <w:pPr>
        <w:ind w:firstLine="751"/>
        <w:spacing w:after="0" w:line="173" w:lineRule="exact"/>
        <w:rPr>
          <w:sz w:val="20"/>
          <w:szCs w:val="20"/>
          <w:color w:val="auto"/>
        </w:rPr>
      </w:pPr>
      <w:r>
        <w:rPr>
          <w:rFonts w:ascii="Arial" w:cs="Arial" w:eastAsia="Arial" w:hAnsi="Arial"/>
          <w:sz w:val="15"/>
          <w:szCs w:val="15"/>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5"/>
          <w:szCs w:val="15"/>
          <w:color w:val="auto"/>
        </w:rPr>
        <w:t>‑</w:t>
      </w:r>
      <w:r>
        <w:rPr>
          <w:rFonts w:ascii="Arial" w:cs="Arial" w:eastAsia="Arial" w:hAnsi="Arial"/>
          <w:sz w:val="15"/>
          <w:szCs w:val="15"/>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—Quoted prices in active markets for identical assets or liabilities that the Company has the ability to access at the measurement date.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—Inputs other than quoted prices in active markets that are observable for the asset or liability, either directly or indirectly.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—Inputs that are unobservable for the asset or liability.</w:t>
      </w:r>
    </w:p>
    <w:p>
      <w:pPr>
        <w:spacing w:after="0" w:line="174" w:lineRule="exact"/>
        <w:rPr>
          <w:sz w:val="20"/>
          <w:szCs w:val="20"/>
          <w:color w:val="auto"/>
        </w:rPr>
      </w:pPr>
    </w:p>
    <w:p>
      <w:pPr>
        <w:ind w:right="280" w:firstLine="751"/>
        <w:spacing w:after="0" w:line="244" w:lineRule="auto"/>
        <w:rPr>
          <w:sz w:val="20"/>
          <w:szCs w:val="20"/>
          <w:color w:val="auto"/>
        </w:rPr>
      </w:pPr>
      <w:r>
        <w:rPr>
          <w:rFonts w:ascii="Arial" w:cs="Arial" w:eastAsia="Arial" w:hAnsi="Arial"/>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5" w:lineRule="exact"/>
        <w:rPr>
          <w:sz w:val="20"/>
          <w:szCs w:val="20"/>
          <w:color w:val="auto"/>
        </w:rPr>
      </w:pPr>
    </w:p>
    <w:p>
      <w:pPr>
        <w:ind w:firstLine="751"/>
        <w:spacing w:after="0"/>
        <w:rPr>
          <w:sz w:val="20"/>
          <w:szCs w:val="20"/>
          <w:color w:val="auto"/>
        </w:rPr>
      </w:pPr>
      <w:r>
        <w:rPr>
          <w:rFonts w:ascii="Arial" w:cs="Arial" w:eastAsia="Arial" w:hAnsi="Arial"/>
          <w:sz w:val="15"/>
          <w:szCs w:val="15"/>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short-term maturities. The carrying value of debt on the Company’s balance sheet (see Note 5 – Loan and Security Agreement), is estimated to approximate its fair value as the interest rate approximates the market rate for loans with similar terms and risk characteristics.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181215"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6" w:name="page127"/>
    <w:bookmarkEnd w:id="12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 Issuance Costs</w:t>
      </w:r>
    </w:p>
    <w:p>
      <w:pPr>
        <w:spacing w:after="0" w:line="178" w:lineRule="exact"/>
        <w:rPr>
          <w:sz w:val="20"/>
          <w:szCs w:val="20"/>
          <w:color w:val="auto"/>
        </w:rPr>
      </w:pPr>
    </w:p>
    <w:p>
      <w:pPr>
        <w:ind w:firstLine="751"/>
        <w:spacing w:after="0" w:line="244" w:lineRule="auto"/>
        <w:rPr>
          <w:sz w:val="20"/>
          <w:szCs w:val="20"/>
          <w:color w:val="auto"/>
        </w:rPr>
      </w:pPr>
      <w:r>
        <w:rPr>
          <w:rFonts w:ascii="Arial" w:cs="Arial" w:eastAsia="Arial" w:hAnsi="Arial"/>
          <w:sz w:val="15"/>
          <w:szCs w:val="15"/>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Equipment</w:t>
      </w:r>
    </w:p>
    <w:p>
      <w:pPr>
        <w:spacing w:after="0" w:line="178" w:lineRule="exact"/>
        <w:rPr>
          <w:sz w:val="20"/>
          <w:szCs w:val="20"/>
          <w:color w:val="auto"/>
        </w:rPr>
      </w:pPr>
    </w:p>
    <w:p>
      <w:pPr>
        <w:ind w:firstLine="751"/>
        <w:spacing w:after="0" w:line="174" w:lineRule="exact"/>
        <w:rPr>
          <w:sz w:val="20"/>
          <w:szCs w:val="20"/>
          <w:color w:val="auto"/>
        </w:rPr>
      </w:pPr>
      <w:r>
        <w:rPr>
          <w:rFonts w:ascii="Arial" w:cs="Arial" w:eastAsia="Arial" w:hAnsi="Arial"/>
          <w:sz w:val="15"/>
          <w:szCs w:val="15"/>
          <w:color w:val="auto"/>
        </w:rPr>
        <w:t>Equipment consists primarily of computer equipment and is recorded at cost. Equipment is depreciated on a straight</w:t>
      </w:r>
      <w:r>
        <w:rPr>
          <w:rFonts w:ascii="MS PGothic" w:cs="MS PGothic" w:eastAsia="MS PGothic" w:hAnsi="MS PGothic"/>
          <w:sz w:val="15"/>
          <w:szCs w:val="15"/>
          <w:color w:val="auto"/>
        </w:rPr>
        <w:t>‑</w:t>
      </w:r>
      <w:r>
        <w:rPr>
          <w:rFonts w:ascii="Arial" w:cs="Arial" w:eastAsia="Arial" w:hAnsi="Arial"/>
          <w:sz w:val="15"/>
          <w:szCs w:val="15"/>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Costs</w:t>
      </w:r>
    </w:p>
    <w:p>
      <w:pPr>
        <w:spacing w:after="0" w:line="178" w:lineRule="exact"/>
        <w:rPr>
          <w:sz w:val="20"/>
          <w:szCs w:val="20"/>
          <w:color w:val="auto"/>
        </w:rPr>
      </w:pPr>
    </w:p>
    <w:p>
      <w:pPr>
        <w:ind w:firstLine="751"/>
        <w:spacing w:after="0" w:line="277" w:lineRule="auto"/>
        <w:rPr>
          <w:sz w:val="20"/>
          <w:szCs w:val="20"/>
          <w:color w:val="auto"/>
        </w:rPr>
      </w:pPr>
      <w:r>
        <w:rPr>
          <w:rFonts w:ascii="Arial" w:cs="Arial" w:eastAsia="Arial" w:hAnsi="Arial"/>
          <w:sz w:val="13"/>
          <w:szCs w:val="13"/>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78" w:lineRule="exact"/>
        <w:rPr>
          <w:sz w:val="20"/>
          <w:szCs w:val="20"/>
          <w:color w:val="auto"/>
        </w:rPr>
      </w:pPr>
    </w:p>
    <w:p>
      <w:pPr>
        <w:ind w:right="20" w:firstLine="751"/>
        <w:spacing w:after="0" w:line="260" w:lineRule="auto"/>
        <w:rPr>
          <w:sz w:val="20"/>
          <w:szCs w:val="20"/>
          <w:color w:val="auto"/>
        </w:rPr>
      </w:pPr>
      <w:r>
        <w:rPr>
          <w:rFonts w:ascii="Arial" w:cs="Arial" w:eastAsia="Arial" w:hAnsi="Arial"/>
          <w:sz w:val="14"/>
          <w:szCs w:val="14"/>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44" w:lineRule="exact"/>
        <w:rPr>
          <w:sz w:val="20"/>
          <w:szCs w:val="20"/>
          <w:color w:val="auto"/>
        </w:rPr>
      </w:pPr>
    </w:p>
    <w:p>
      <w:pPr>
        <w:ind w:right="220" w:firstLine="751"/>
        <w:spacing w:after="0" w:line="255" w:lineRule="auto"/>
        <w:rPr>
          <w:sz w:val="20"/>
          <w:szCs w:val="20"/>
          <w:color w:val="auto"/>
        </w:rPr>
      </w:pPr>
      <w:r>
        <w:rPr>
          <w:rFonts w:ascii="Arial" w:cs="Arial" w:eastAsia="Arial" w:hAnsi="Arial"/>
          <w:sz w:val="15"/>
          <w:szCs w:val="15"/>
          <w:color w:val="auto"/>
        </w:rPr>
        <w:t>The Company’s annual effective tax rate was 0% for the year ending December 31, 2021, and has not recorded an income tax benefit for the twelve months ended December 31, 2021 and 2020 since it determined that a full valuation allowance is required against the Company’s deferred tax assets.</w:t>
      </w:r>
    </w:p>
    <w:p>
      <w:pPr>
        <w:spacing w:after="0" w:line="147" w:lineRule="exact"/>
        <w:rPr>
          <w:sz w:val="20"/>
          <w:szCs w:val="20"/>
          <w:color w:val="auto"/>
        </w:rPr>
      </w:pPr>
    </w:p>
    <w:p>
      <w:pPr>
        <w:ind w:right="20" w:firstLine="751"/>
        <w:spacing w:after="0" w:line="263" w:lineRule="auto"/>
        <w:rPr>
          <w:sz w:val="20"/>
          <w:szCs w:val="20"/>
          <w:color w:val="auto"/>
        </w:rPr>
      </w:pPr>
      <w:r>
        <w:rPr>
          <w:rFonts w:ascii="Arial" w:cs="Arial" w:eastAsia="Arial" w:hAnsi="Arial"/>
          <w:sz w:val="14"/>
          <w:szCs w:val="14"/>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2021,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181215"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7" w:name="page128"/>
    <w:bookmarkEnd w:id="12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color w:val="auto"/>
        </w:rPr>
        <w:t>Stock</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Based Compensation</w:t>
      </w:r>
    </w:p>
    <w:p>
      <w:pPr>
        <w:spacing w:after="0" w:line="178" w:lineRule="exact"/>
        <w:rPr>
          <w:sz w:val="20"/>
          <w:szCs w:val="20"/>
          <w:color w:val="auto"/>
        </w:rPr>
      </w:pPr>
    </w:p>
    <w:p>
      <w:pPr>
        <w:ind w:firstLine="751"/>
        <w:spacing w:after="0" w:line="172" w:lineRule="exact"/>
        <w:rPr>
          <w:sz w:val="20"/>
          <w:szCs w:val="20"/>
          <w:color w:val="auto"/>
        </w:rPr>
      </w:pPr>
      <w:r>
        <w:rPr>
          <w:rFonts w:ascii="Arial" w:cs="Arial" w:eastAsia="Arial" w:hAnsi="Arial"/>
          <w:sz w:val="15"/>
          <w:szCs w:val="15"/>
          <w:color w:val="auto"/>
        </w:rPr>
        <w:t>For stock options issued, the Company estimates the grant date fair value of each option using the Black</w:t>
      </w:r>
      <w:r>
        <w:rPr>
          <w:rFonts w:ascii="MS PGothic" w:cs="MS PGothic" w:eastAsia="MS PGothic" w:hAnsi="MS PGothic"/>
          <w:sz w:val="15"/>
          <w:szCs w:val="15"/>
          <w:color w:val="auto"/>
        </w:rPr>
        <w:t>‑</w:t>
      </w:r>
      <w:r>
        <w:rPr>
          <w:rFonts w:ascii="Arial" w:cs="Arial" w:eastAsia="Arial" w:hAnsi="Arial"/>
          <w:sz w:val="15"/>
          <w:szCs w:val="15"/>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 For awards subject to service-based vesting conditions, the Company recognizes stock-based compensation expense on a straight-line basis over the requisite service period, which is generally the vesting term.</w:t>
      </w:r>
    </w:p>
    <w:p>
      <w:pPr>
        <w:spacing w:after="0" w:line="161" w:lineRule="exact"/>
        <w:rPr>
          <w:sz w:val="20"/>
          <w:szCs w:val="20"/>
          <w:color w:val="auto"/>
        </w:rPr>
      </w:pPr>
    </w:p>
    <w:p>
      <w:pPr>
        <w:ind w:right="260" w:firstLine="751"/>
        <w:spacing w:after="0" w:line="244" w:lineRule="auto"/>
        <w:rPr>
          <w:sz w:val="20"/>
          <w:szCs w:val="20"/>
          <w:color w:val="auto"/>
        </w:rPr>
      </w:pPr>
      <w:r>
        <w:rPr>
          <w:rFonts w:ascii="Arial" w:cs="Arial" w:eastAsia="Arial" w:hAnsi="Arial"/>
          <w:sz w:val="15"/>
          <w:szCs w:val="15"/>
          <w:color w:val="auto"/>
        </w:rPr>
        <w:t>For restricted stock units (“RSUs”), the Company issues them in the form of Company common stock. The fair market value of these awards is based on the market closing price per share on the grant date. Prior to January 1, 2020, the Company only granted stock options. Beginning in 2020, for grants to employees, the Company granted a mix of stock options and RSUs.</w:t>
      </w:r>
    </w:p>
    <w:p>
      <w:pPr>
        <w:spacing w:after="0" w:line="155" w:lineRule="exact"/>
        <w:rPr>
          <w:sz w:val="20"/>
          <w:szCs w:val="20"/>
          <w:color w:val="auto"/>
        </w:rPr>
      </w:pPr>
    </w:p>
    <w:p>
      <w:pPr>
        <w:ind w:right="20" w:firstLine="751"/>
        <w:spacing w:after="0"/>
        <w:rPr>
          <w:sz w:val="20"/>
          <w:szCs w:val="20"/>
          <w:color w:val="auto"/>
        </w:rPr>
      </w:pPr>
      <w:r>
        <w:rPr>
          <w:rFonts w:ascii="Arial" w:cs="Arial" w:eastAsia="Arial" w:hAnsi="Arial"/>
          <w:sz w:val="15"/>
          <w:szCs w:val="15"/>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59" w:lineRule="exact"/>
        <w:rPr>
          <w:sz w:val="20"/>
          <w:szCs w:val="20"/>
          <w:color w:val="auto"/>
        </w:rPr>
      </w:pPr>
    </w:p>
    <w:p>
      <w:pPr>
        <w:ind w:right="80" w:firstLine="751"/>
        <w:spacing w:after="0" w:line="255" w:lineRule="auto"/>
        <w:rPr>
          <w:sz w:val="20"/>
          <w:szCs w:val="20"/>
          <w:color w:val="auto"/>
        </w:rPr>
      </w:pPr>
      <w:r>
        <w:rPr>
          <w:rFonts w:ascii="Arial" w:cs="Arial" w:eastAsia="Arial" w:hAnsi="Arial"/>
          <w:sz w:val="15"/>
          <w:szCs w:val="15"/>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Credit</w:t>
      </w:r>
    </w:p>
    <w:p>
      <w:pPr>
        <w:spacing w:after="0" w:line="178" w:lineRule="exact"/>
        <w:rPr>
          <w:sz w:val="20"/>
          <w:szCs w:val="20"/>
          <w:color w:val="auto"/>
        </w:rPr>
      </w:pPr>
    </w:p>
    <w:p>
      <w:pPr>
        <w:jc w:val="both"/>
        <w:ind w:right="240" w:firstLine="751"/>
        <w:spacing w:after="0" w:line="244" w:lineRule="auto"/>
        <w:rPr>
          <w:sz w:val="20"/>
          <w:szCs w:val="20"/>
          <w:color w:val="auto"/>
        </w:rPr>
      </w:pPr>
      <w:r>
        <w:rPr>
          <w:rFonts w:ascii="Arial" w:cs="Arial" w:eastAsia="Arial" w:hAnsi="Arial"/>
          <w:sz w:val="15"/>
          <w:szCs w:val="15"/>
          <w:color w:val="auto"/>
        </w:rPr>
        <w:t>The tax credit represents the receipt by Axsome Therapeutics Australia PTY, LTD, the Company’s Australian subsidiary, of the Australia Tax Incentive Credit, related to the Company’s research and development expenses incurred for its product candidates. These expenses were incurred in prior periods and therefore the grant income was recorded when the funds were received.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Basic and Diluted Net Loss per Common Share</w:t>
      </w:r>
    </w:p>
    <w:p>
      <w:pPr>
        <w:spacing w:after="0" w:line="178" w:lineRule="exact"/>
        <w:rPr>
          <w:sz w:val="20"/>
          <w:szCs w:val="20"/>
          <w:color w:val="auto"/>
        </w:rPr>
      </w:pPr>
    </w:p>
    <w:p>
      <w:pPr>
        <w:ind w:right="40" w:firstLine="751"/>
        <w:spacing w:after="0"/>
        <w:rPr>
          <w:sz w:val="20"/>
          <w:szCs w:val="20"/>
          <w:color w:val="auto"/>
        </w:rPr>
      </w:pPr>
      <w:r>
        <w:rPr>
          <w:rFonts w:ascii="Arial" w:cs="Arial" w:eastAsia="Arial" w:hAnsi="Arial"/>
          <w:sz w:val="15"/>
          <w:szCs w:val="15"/>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years ended December 31, 2021, 2020, and 2019.</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w:t>
      </w:r>
    </w:p>
    <w:p>
      <w:pPr>
        <w:spacing w:after="0" w:line="178" w:lineRule="exact"/>
        <w:rPr>
          <w:sz w:val="20"/>
          <w:szCs w:val="20"/>
          <w:color w:val="auto"/>
        </w:rPr>
      </w:pPr>
    </w:p>
    <w:p>
      <w:pPr>
        <w:ind w:right="60" w:firstLine="751"/>
        <w:spacing w:after="0" w:line="263" w:lineRule="auto"/>
        <w:rPr>
          <w:sz w:val="20"/>
          <w:szCs w:val="20"/>
          <w:color w:val="auto"/>
        </w:rPr>
      </w:pPr>
      <w:r>
        <w:rPr>
          <w:rFonts w:ascii="Arial" w:cs="Arial" w:eastAsia="Arial" w:hAnsi="Arial"/>
          <w:sz w:val="14"/>
          <w:szCs w:val="14"/>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181215" cy="393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28" w:name="page129"/>
    <w:bookmarkEnd w:id="12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100" w:firstLine="751"/>
        <w:spacing w:after="0"/>
        <w:rPr>
          <w:sz w:val="20"/>
          <w:szCs w:val="20"/>
          <w:color w:val="auto"/>
        </w:rPr>
      </w:pPr>
      <w:r>
        <w:rPr>
          <w:rFonts w:ascii="Arial" w:cs="Arial" w:eastAsia="Arial" w:hAnsi="Arial"/>
          <w:sz w:val="15"/>
          <w:szCs w:val="15"/>
          <w:color w:val="auto"/>
        </w:rPr>
        <w:t>The Company’s lease agreement contains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 are primarily fixed, however variable payments, are expensed as incurred and not included in the operating lease asset and liability.</w:t>
      </w:r>
    </w:p>
    <w:p>
      <w:pPr>
        <w:spacing w:after="0" w:line="159" w:lineRule="exact"/>
        <w:rPr>
          <w:sz w:val="20"/>
          <w:szCs w:val="20"/>
          <w:color w:val="auto"/>
        </w:rPr>
      </w:pPr>
    </w:p>
    <w:p>
      <w:pPr>
        <w:ind w:right="100" w:firstLine="751"/>
        <w:spacing w:after="0"/>
        <w:rPr>
          <w:sz w:val="20"/>
          <w:szCs w:val="20"/>
          <w:color w:val="auto"/>
        </w:rPr>
      </w:pPr>
      <w:r>
        <w:rPr>
          <w:rFonts w:ascii="Arial" w:cs="Arial" w:eastAsia="Arial" w:hAnsi="Arial"/>
          <w:sz w:val="15"/>
          <w:szCs w:val="15"/>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59" w:lineRule="exact"/>
        <w:rPr>
          <w:sz w:val="20"/>
          <w:szCs w:val="20"/>
          <w:color w:val="auto"/>
        </w:rPr>
      </w:pPr>
    </w:p>
    <w:p>
      <w:pPr>
        <w:ind w:right="60" w:firstLine="751"/>
        <w:spacing w:after="0" w:line="263" w:lineRule="auto"/>
        <w:rPr>
          <w:sz w:val="20"/>
          <w:szCs w:val="20"/>
          <w:color w:val="auto"/>
        </w:rPr>
      </w:pPr>
      <w:r>
        <w:rPr>
          <w:rFonts w:ascii="Arial" w:cs="Arial" w:eastAsia="Arial" w:hAnsi="Arial"/>
          <w:sz w:val="14"/>
          <w:szCs w:val="14"/>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78"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In December 2019, the FASB issued ASU 2019-12, Income Taxes (Topic 740): Simplifying the Accounting for Income Taxes,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annual periods, and interim periods within those annual periods, beginning after December 15, 2020. Early adoption is permitted, including adoption in an interim period. The Company adopted this standard on January 1, 2021, and the standard did not have a significant impact on its consolidated financial statements.</w:t>
      </w:r>
    </w:p>
    <w:p>
      <w:pPr>
        <w:spacing w:after="0" w:line="329" w:lineRule="exact"/>
        <w:rPr>
          <w:sz w:val="20"/>
          <w:szCs w:val="20"/>
          <w:color w:val="auto"/>
        </w:rPr>
      </w:pPr>
    </w:p>
    <w:p>
      <w:pPr>
        <w:ind w:right="20" w:firstLine="751"/>
        <w:spacing w:after="0" w:line="238" w:lineRule="auto"/>
        <w:rPr>
          <w:sz w:val="20"/>
          <w:szCs w:val="20"/>
          <w:color w:val="auto"/>
        </w:rPr>
      </w:pPr>
      <w:r>
        <w:rPr>
          <w:rFonts w:ascii="Arial" w:cs="Arial" w:eastAsia="Arial" w:hAnsi="Arial"/>
          <w:sz w:val="15"/>
          <w:szCs w:val="15"/>
          <w:color w:val="auto"/>
        </w:rPr>
        <w:t>In October 2020, the FASB issued ASU 2020-10, Codification Improvements, which clarifies various topics in the Accounting Standards Codification, including the addition of existing disclosure requirements to the relevant disclosure sections. The amendments in ASU 2020-10 do not change GAAP and, therefore, are not expected to result in a significant change in practice. ASU 2020-10 should be applied retrospectively to the beginning of the period that includes the adoption date. ASU 2020-10 is effective for fiscal years, and interim periods within those fiscal years, beginning after December 15, 2020. The Company adopted this standard on January 1, 2021, and the standard did not have a significant impact on its consolidated financial statements.</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3.</w:t>
      </w:r>
      <w:r>
        <w:rPr>
          <w:sz w:val="20"/>
          <w:szCs w:val="20"/>
          <w:color w:val="auto"/>
        </w:rPr>
        <w:tab/>
      </w:r>
      <w:r>
        <w:rPr>
          <w:rFonts w:ascii="Arial" w:cs="Arial" w:eastAsia="Arial" w:hAnsi="Arial"/>
          <w:sz w:val="13"/>
          <w:szCs w:val="13"/>
          <w:b w:val="1"/>
          <w:bCs w:val="1"/>
          <w:color w:val="auto"/>
        </w:rPr>
        <w:t>Net Loss per Common Share</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sets forth the computation of basic and diluted net loss per common share: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7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9"/>
              </w:rPr>
              <w:t>Year ended December 31,</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36"/>
        </w:trPr>
        <w:tc>
          <w:tcPr>
            <w:tcW w:w="47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29"/>
              <w:spacing w:after="0" w:line="137" w:lineRule="exact"/>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09"/>
              <w:spacing w:after="0" w:line="137" w:lineRule="exact"/>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9"/>
              <w:spacing w:after="0" w:line="137" w:lineRule="exact"/>
              <w:rPr>
                <w:sz w:val="20"/>
                <w:szCs w:val="20"/>
                <w:color w:val="auto"/>
              </w:rPr>
            </w:pPr>
            <w:r>
              <w:rPr>
                <w:rFonts w:ascii="Arial" w:cs="Arial" w:eastAsia="Arial" w:hAnsi="Arial"/>
                <w:sz w:val="12"/>
                <w:szCs w:val="12"/>
                <w:b w:val="1"/>
                <w:bCs w:val="1"/>
                <w:color w:val="auto"/>
              </w:rPr>
              <w:t>2019</w:t>
            </w:r>
          </w:p>
        </w:tc>
      </w:tr>
      <w:tr>
        <w:trPr>
          <w:trHeight w:val="159"/>
        </w:trPr>
        <w:tc>
          <w:tcPr>
            <w:tcW w:w="472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Basic and diluted net loss per common share:</w:t>
            </w:r>
          </w:p>
        </w:tc>
        <w:tc>
          <w:tcPr>
            <w:tcW w:w="18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8"/>
        </w:trPr>
        <w:tc>
          <w:tcPr>
            <w:tcW w:w="4720" w:type="dxa"/>
            <w:vAlign w:val="bottom"/>
          </w:tcPr>
          <w:p>
            <w:pPr>
              <w:ind w:left="20"/>
              <w:spacing w:after="0" w:line="168" w:lineRule="exact"/>
              <w:rPr>
                <w:sz w:val="20"/>
                <w:szCs w:val="20"/>
                <w:color w:val="auto"/>
              </w:rPr>
            </w:pPr>
            <w:r>
              <w:rPr>
                <w:rFonts w:ascii="Arial" w:cs="Arial" w:eastAsia="Arial" w:hAnsi="Arial"/>
                <w:sz w:val="15"/>
                <w:szCs w:val="15"/>
                <w:color w:val="auto"/>
              </w:rPr>
              <w:t>Net loss</w:t>
            </w:r>
          </w:p>
        </w:tc>
        <w:tc>
          <w:tcPr>
            <w:tcW w:w="2160" w:type="dxa"/>
            <w:vAlign w:val="bottom"/>
            <w:gridSpan w:val="2"/>
          </w:tcPr>
          <w:p>
            <w:pPr>
              <w:jc w:val="right"/>
              <w:ind w:right="186"/>
              <w:spacing w:after="0" w:line="168"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8" w:lineRule="exact"/>
              <w:rPr>
                <w:sz w:val="20"/>
                <w:szCs w:val="20"/>
                <w:color w:val="auto"/>
              </w:rPr>
            </w:pPr>
            <w:r>
              <w:rPr>
                <w:rFonts w:ascii="Arial" w:cs="Arial" w:eastAsia="Arial" w:hAnsi="Arial"/>
                <w:sz w:val="15"/>
                <w:szCs w:val="15"/>
                <w:color w:val="auto"/>
              </w:rPr>
              <w:t>(130,402,992 )</w:t>
            </w:r>
          </w:p>
        </w:tc>
        <w:tc>
          <w:tcPr>
            <w:tcW w:w="460" w:type="dxa"/>
            <w:vAlign w:val="bottom"/>
            <w:gridSpan w:val="2"/>
          </w:tcPr>
          <w:p>
            <w:pPr>
              <w:ind w:left="140"/>
              <w:spacing w:after="0" w:line="168"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5"/>
                <w:szCs w:val="15"/>
                <w:color w:val="auto"/>
              </w:rPr>
              <w:t>(102,900,600 )</w:t>
            </w:r>
          </w:p>
        </w:tc>
        <w:tc>
          <w:tcPr>
            <w:tcW w:w="440" w:type="dxa"/>
            <w:vAlign w:val="bottom"/>
            <w:gridSpan w:val="2"/>
          </w:tcPr>
          <w:p>
            <w:pPr>
              <w:jc w:val="right"/>
              <w:ind w:right="146"/>
              <w:spacing w:after="0" w:line="168"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68" w:lineRule="exact"/>
              <w:rPr>
                <w:sz w:val="20"/>
                <w:szCs w:val="20"/>
                <w:color w:val="auto"/>
              </w:rPr>
            </w:pPr>
            <w:r>
              <w:rPr>
                <w:rFonts w:ascii="Arial" w:cs="Arial" w:eastAsia="Arial" w:hAnsi="Arial"/>
                <w:sz w:val="15"/>
                <w:szCs w:val="15"/>
                <w:color w:val="auto"/>
              </w:rPr>
              <w:t>(68,345,186 )</w:t>
            </w:r>
          </w:p>
        </w:tc>
      </w:tr>
      <w:tr>
        <w:trPr>
          <w:trHeight w:val="168"/>
        </w:trPr>
        <w:tc>
          <w:tcPr>
            <w:tcW w:w="472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Weighted average common shares outstanding—basic and diluted</w:t>
            </w:r>
          </w:p>
        </w:tc>
        <w:tc>
          <w:tcPr>
            <w:tcW w:w="18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49"/>
              <w:spacing w:after="0" w:line="168" w:lineRule="exact"/>
              <w:rPr>
                <w:sz w:val="20"/>
                <w:szCs w:val="20"/>
                <w:color w:val="auto"/>
              </w:rPr>
            </w:pPr>
            <w:r>
              <w:rPr>
                <w:rFonts w:ascii="Arial" w:cs="Arial" w:eastAsia="Arial" w:hAnsi="Arial"/>
                <w:sz w:val="15"/>
                <w:szCs w:val="15"/>
                <w:color w:val="auto"/>
              </w:rPr>
              <w:t>37,618,599</w:t>
            </w:r>
          </w:p>
        </w:tc>
        <w:tc>
          <w:tcPr>
            <w:tcW w:w="1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ind w:right="49"/>
              <w:spacing w:after="0" w:line="168" w:lineRule="exact"/>
              <w:rPr>
                <w:sz w:val="20"/>
                <w:szCs w:val="20"/>
                <w:color w:val="auto"/>
              </w:rPr>
            </w:pPr>
            <w:r>
              <w:rPr>
                <w:rFonts w:ascii="Arial" w:cs="Arial" w:eastAsia="Arial" w:hAnsi="Arial"/>
                <w:sz w:val="15"/>
                <w:szCs w:val="15"/>
                <w:color w:val="auto"/>
              </w:rPr>
              <w:t>37,206,928</w:t>
            </w: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9"/>
              <w:spacing w:after="0" w:line="168" w:lineRule="exact"/>
              <w:rPr>
                <w:sz w:val="20"/>
                <w:szCs w:val="20"/>
                <w:color w:val="auto"/>
              </w:rPr>
            </w:pPr>
            <w:r>
              <w:rPr>
                <w:rFonts w:ascii="Arial" w:cs="Arial" w:eastAsia="Arial" w:hAnsi="Arial"/>
                <w:sz w:val="15"/>
                <w:szCs w:val="15"/>
                <w:color w:val="auto"/>
              </w:rPr>
              <w:t>34,020,257</w:t>
            </w:r>
          </w:p>
        </w:tc>
      </w:tr>
      <w:tr>
        <w:trPr>
          <w:trHeight w:val="159"/>
        </w:trPr>
        <w:tc>
          <w:tcPr>
            <w:tcW w:w="4720" w:type="dxa"/>
            <w:vAlign w:val="bottom"/>
          </w:tcPr>
          <w:p>
            <w:pPr>
              <w:ind w:left="20"/>
              <w:spacing w:after="0" w:line="159" w:lineRule="exact"/>
              <w:rPr>
                <w:sz w:val="20"/>
                <w:szCs w:val="20"/>
                <w:color w:val="auto"/>
              </w:rPr>
            </w:pPr>
            <w:r>
              <w:rPr>
                <w:rFonts w:ascii="Arial" w:cs="Arial" w:eastAsia="Arial" w:hAnsi="Arial"/>
                <w:sz w:val="15"/>
                <w:szCs w:val="15"/>
                <w:color w:val="auto"/>
              </w:rPr>
              <w:t>Net loss per common share—basic and diluted</w:t>
            </w:r>
          </w:p>
        </w:tc>
        <w:tc>
          <w:tcPr>
            <w:tcW w:w="1820" w:type="dxa"/>
            <w:vAlign w:val="bottom"/>
          </w:tcPr>
          <w:p>
            <w:pPr>
              <w:spacing w:after="0"/>
              <w:rPr>
                <w:sz w:val="13"/>
                <w:szCs w:val="13"/>
                <w:color w:val="auto"/>
              </w:rPr>
            </w:pPr>
          </w:p>
        </w:tc>
        <w:tc>
          <w:tcPr>
            <w:tcW w:w="340" w:type="dxa"/>
            <w:vAlign w:val="bottom"/>
            <w:tcBorders>
              <w:bottom w:val="single" w:sz="8" w:color="auto"/>
            </w:tcBorders>
          </w:tcPr>
          <w:p>
            <w:pPr>
              <w:jc w:val="right"/>
              <w:ind w:right="186"/>
              <w:spacing w:after="0" w:line="15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(3.47 )</w:t>
            </w:r>
          </w:p>
        </w:tc>
        <w:tc>
          <w:tcPr>
            <w:tcW w:w="120" w:type="dxa"/>
            <w:vAlign w:val="bottom"/>
          </w:tcPr>
          <w:p>
            <w:pPr>
              <w:spacing w:after="0"/>
              <w:rPr>
                <w:sz w:val="13"/>
                <w:szCs w:val="13"/>
                <w:color w:val="auto"/>
              </w:rPr>
            </w:pPr>
          </w:p>
        </w:tc>
        <w:tc>
          <w:tcPr>
            <w:tcW w:w="34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(2.77 )</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146"/>
              <w:spacing w:after="0" w:line="159" w:lineRule="exact"/>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rPr>
              <w:t>(2.01 )</w:t>
            </w:r>
          </w:p>
        </w:tc>
      </w:tr>
      <w:tr>
        <w:trPr>
          <w:trHeight w:val="20"/>
        </w:trPr>
        <w:tc>
          <w:tcPr>
            <w:tcW w:w="47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98"/>
        </w:trPr>
        <w:tc>
          <w:tcPr>
            <w:tcW w:w="4720" w:type="dxa"/>
            <w:vAlign w:val="bottom"/>
          </w:tcPr>
          <w:p>
            <w:pPr>
              <w:spacing w:after="0"/>
              <w:rPr>
                <w:sz w:val="24"/>
                <w:szCs w:val="24"/>
                <w:color w:val="auto"/>
              </w:rPr>
            </w:pPr>
          </w:p>
        </w:tc>
        <w:tc>
          <w:tcPr>
            <w:tcW w:w="2160" w:type="dxa"/>
            <w:vAlign w:val="bottom"/>
            <w:gridSpan w:val="2"/>
          </w:tcPr>
          <w:p>
            <w:pPr>
              <w:jc w:val="right"/>
              <w:ind w:right="1026"/>
              <w:spacing w:after="0"/>
              <w:rPr>
                <w:sz w:val="20"/>
                <w:szCs w:val="20"/>
                <w:color w:val="auto"/>
              </w:rPr>
            </w:pPr>
            <w:r>
              <w:rPr>
                <w:rFonts w:ascii="Arial" w:cs="Arial" w:eastAsia="Arial" w:hAnsi="Arial"/>
                <w:sz w:val="15"/>
                <w:szCs w:val="15"/>
                <w:color w:val="auto"/>
              </w:rPr>
              <w:t>F-14</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0"/>
        </w:trPr>
        <w:tc>
          <w:tcPr>
            <w:tcW w:w="4720" w:type="dxa"/>
            <w:vAlign w:val="bottom"/>
            <w:tcBorders>
              <w:bottom w:val="single" w:sz="8" w:color="9A9A9A"/>
            </w:tcBorders>
          </w:tcPr>
          <w:p>
            <w:pPr>
              <w:spacing w:after="0"/>
              <w:rPr>
                <w:sz w:val="6"/>
                <w:szCs w:val="6"/>
                <w:color w:val="auto"/>
              </w:rPr>
            </w:pPr>
          </w:p>
        </w:tc>
        <w:tc>
          <w:tcPr>
            <w:tcW w:w="18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5126355</wp:posOffset>
            </wp:positionH>
            <wp:positionV relativeFrom="paragraph">
              <wp:posOffset>-521970</wp:posOffset>
            </wp:positionV>
            <wp:extent cx="85090" cy="4763"/>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090" cy="4763"/>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-521970</wp:posOffset>
            </wp:positionV>
            <wp:extent cx="85090" cy="4763"/>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090" cy="4763"/>
                    </a:xfrm>
                    <a:prstGeom prst="rect">
                      <a:avLst/>
                    </a:prstGeom>
                    <a:noFill/>
                  </pic:spPr>
                </pic:pic>
              </a:graphicData>
            </a:graphic>
          </wp:anchor>
        </w:drawing>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29" w:name="page130"/>
    <w:bookmarkEnd w:id="12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ind w:right="180" w:firstLine="751"/>
        <w:spacing w:after="0" w:line="178" w:lineRule="exact"/>
        <w:rPr>
          <w:sz w:val="20"/>
          <w:szCs w:val="20"/>
          <w:color w:val="auto"/>
        </w:rPr>
      </w:pPr>
      <w:r>
        <w:rPr>
          <w:rFonts w:ascii="Arial" w:cs="Arial" w:eastAsia="Arial" w:hAnsi="Arial"/>
          <w:sz w:val="15"/>
          <w:szCs w:val="15"/>
          <w:color w:val="auto"/>
        </w:rPr>
        <w:t>The following potentially dilutive securities outstanding at December 31, 2021, 2020, and 2019 have been excluded from the computation of diluted weighted average shares outstanding, as they would be anti</w:t>
      </w:r>
      <w:r>
        <w:rPr>
          <w:rFonts w:ascii="MS PGothic" w:cs="MS PGothic" w:eastAsia="MS PGothic" w:hAnsi="MS PGothic"/>
          <w:sz w:val="15"/>
          <w:szCs w:val="15"/>
          <w:color w:val="auto"/>
        </w:rPr>
        <w:t>‑</w:t>
      </w:r>
      <w:r>
        <w:rPr>
          <w:rFonts w:ascii="Arial" w:cs="Arial" w:eastAsia="Arial" w:hAnsi="Arial"/>
          <w:sz w:val="15"/>
          <w:szCs w:val="15"/>
          <w:color w:val="auto"/>
        </w:rPr>
        <w:t>dilutive: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66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71"/>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36"/>
        </w:trPr>
        <w:tc>
          <w:tcPr>
            <w:tcW w:w="6660" w:type="dxa"/>
            <w:vAlign w:val="bottom"/>
          </w:tcPr>
          <w:p>
            <w:pPr>
              <w:spacing w:after="0"/>
              <w:rPr>
                <w:sz w:val="11"/>
                <w:szCs w:val="11"/>
                <w:color w:val="auto"/>
              </w:rPr>
            </w:pPr>
          </w:p>
        </w:tc>
        <w:tc>
          <w:tcPr>
            <w:tcW w:w="1460" w:type="dxa"/>
            <w:vAlign w:val="bottom"/>
          </w:tcPr>
          <w:p>
            <w:pPr>
              <w:jc w:val="right"/>
              <w:ind w:right="609"/>
              <w:spacing w:after="0" w:line="137" w:lineRule="exact"/>
              <w:rPr>
                <w:sz w:val="20"/>
                <w:szCs w:val="20"/>
                <w:color w:val="auto"/>
              </w:rPr>
            </w:pPr>
            <w:r>
              <w:rPr>
                <w:rFonts w:ascii="Arial" w:cs="Arial" w:eastAsia="Arial" w:hAnsi="Arial"/>
                <w:sz w:val="12"/>
                <w:szCs w:val="12"/>
                <w:b w:val="1"/>
                <w:bCs w:val="1"/>
                <w:color w:val="auto"/>
              </w:rPr>
              <w:t>2021</w:t>
            </w:r>
          </w:p>
        </w:tc>
        <w:tc>
          <w:tcPr>
            <w:tcW w:w="1580" w:type="dxa"/>
            <w:vAlign w:val="bottom"/>
            <w:gridSpan w:val="2"/>
          </w:tcPr>
          <w:p>
            <w:pPr>
              <w:jc w:val="right"/>
              <w:ind w:right="591"/>
              <w:spacing w:after="0" w:line="137" w:lineRule="exact"/>
              <w:rPr>
                <w:sz w:val="20"/>
                <w:szCs w:val="20"/>
                <w:color w:val="auto"/>
              </w:rPr>
            </w:pPr>
            <w:r>
              <w:rPr>
                <w:rFonts w:ascii="Arial" w:cs="Arial" w:eastAsia="Arial" w:hAnsi="Arial"/>
                <w:sz w:val="12"/>
                <w:szCs w:val="12"/>
                <w:b w:val="1"/>
                <w:bCs w:val="1"/>
                <w:color w:val="auto"/>
              </w:rPr>
              <w:t>2020</w:t>
            </w:r>
          </w:p>
        </w:tc>
        <w:tc>
          <w:tcPr>
            <w:tcW w:w="1580" w:type="dxa"/>
            <w:vAlign w:val="bottom"/>
            <w:gridSpan w:val="2"/>
          </w:tcPr>
          <w:p>
            <w:pPr>
              <w:jc w:val="right"/>
              <w:ind w:right="586"/>
              <w:spacing w:after="0" w:line="137" w:lineRule="exact"/>
              <w:rPr>
                <w:sz w:val="20"/>
                <w:szCs w:val="20"/>
                <w:color w:val="auto"/>
              </w:rPr>
            </w:pPr>
            <w:r>
              <w:rPr>
                <w:rFonts w:ascii="Arial" w:cs="Arial" w:eastAsia="Arial" w:hAnsi="Arial"/>
                <w:sz w:val="12"/>
                <w:szCs w:val="12"/>
                <w:b w:val="1"/>
                <w:bCs w:val="1"/>
                <w:color w:val="auto"/>
              </w:rPr>
              <w:t>2019</w:t>
            </w:r>
          </w:p>
        </w:tc>
      </w:tr>
      <w:tr>
        <w:trPr>
          <w:trHeight w:val="159"/>
        </w:trPr>
        <w:tc>
          <w:tcPr>
            <w:tcW w:w="66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Stock options</w:t>
            </w:r>
          </w:p>
        </w:tc>
        <w:tc>
          <w:tcPr>
            <w:tcW w:w="1460" w:type="dxa"/>
            <w:vAlign w:val="bottom"/>
            <w:tcBorders>
              <w:top w:val="single" w:sz="8" w:color="auto"/>
            </w:tcBorders>
            <w:shd w:val="clear" w:color="auto" w:fill="CFF0FC"/>
          </w:tcPr>
          <w:p>
            <w:pPr>
              <w:jc w:val="right"/>
              <w:ind w:right="69"/>
              <w:spacing w:after="0" w:line="159" w:lineRule="exact"/>
              <w:rPr>
                <w:sz w:val="20"/>
                <w:szCs w:val="20"/>
                <w:color w:val="auto"/>
              </w:rPr>
            </w:pPr>
            <w:r>
              <w:rPr>
                <w:rFonts w:ascii="Arial" w:cs="Arial" w:eastAsia="Arial" w:hAnsi="Arial"/>
                <w:sz w:val="15"/>
                <w:szCs w:val="15"/>
                <w:color w:val="auto"/>
              </w:rPr>
              <w:t>5,090,377</w:t>
            </w:r>
          </w:p>
        </w:tc>
        <w:tc>
          <w:tcPr>
            <w:tcW w:w="140" w:type="dxa"/>
            <w:vAlign w:val="bottom"/>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ind w:right="71"/>
              <w:spacing w:after="0" w:line="159" w:lineRule="exact"/>
              <w:rPr>
                <w:sz w:val="20"/>
                <w:szCs w:val="20"/>
                <w:color w:val="auto"/>
              </w:rPr>
            </w:pPr>
            <w:r>
              <w:rPr>
                <w:rFonts w:ascii="Arial" w:cs="Arial" w:eastAsia="Arial" w:hAnsi="Arial"/>
                <w:sz w:val="15"/>
                <w:szCs w:val="15"/>
                <w:color w:val="auto"/>
              </w:rPr>
              <w:t>3,733,916</w:t>
            </w:r>
          </w:p>
        </w:tc>
        <w:tc>
          <w:tcPr>
            <w:tcW w:w="140" w:type="dxa"/>
            <w:vAlign w:val="bottom"/>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jc w:val="right"/>
              <w:ind w:right="46"/>
              <w:spacing w:after="0" w:line="159" w:lineRule="exact"/>
              <w:rPr>
                <w:sz w:val="20"/>
                <w:szCs w:val="20"/>
                <w:color w:val="auto"/>
              </w:rPr>
            </w:pPr>
            <w:r>
              <w:rPr>
                <w:rFonts w:ascii="Arial" w:cs="Arial" w:eastAsia="Arial" w:hAnsi="Arial"/>
                <w:sz w:val="15"/>
                <w:szCs w:val="15"/>
                <w:color w:val="auto"/>
              </w:rPr>
              <w:t>3,458,447</w:t>
            </w:r>
          </w:p>
        </w:tc>
      </w:tr>
      <w:tr>
        <w:trPr>
          <w:trHeight w:val="168"/>
        </w:trPr>
        <w:tc>
          <w:tcPr>
            <w:tcW w:w="6660" w:type="dxa"/>
            <w:vAlign w:val="bottom"/>
          </w:tcPr>
          <w:p>
            <w:pPr>
              <w:ind w:left="20"/>
              <w:spacing w:after="0" w:line="168" w:lineRule="exact"/>
              <w:rPr>
                <w:sz w:val="20"/>
                <w:szCs w:val="20"/>
                <w:color w:val="auto"/>
              </w:rPr>
            </w:pPr>
            <w:r>
              <w:rPr>
                <w:rFonts w:ascii="Arial" w:cs="Arial" w:eastAsia="Arial" w:hAnsi="Arial"/>
                <w:sz w:val="15"/>
                <w:szCs w:val="15"/>
                <w:color w:val="auto"/>
              </w:rPr>
              <w:t>Restricted stock units</w:t>
            </w:r>
          </w:p>
        </w:tc>
        <w:tc>
          <w:tcPr>
            <w:tcW w:w="1460" w:type="dxa"/>
            <w:vAlign w:val="bottom"/>
          </w:tcPr>
          <w:p>
            <w:pPr>
              <w:jc w:val="right"/>
              <w:ind w:right="69"/>
              <w:spacing w:after="0" w:line="168" w:lineRule="exact"/>
              <w:rPr>
                <w:sz w:val="20"/>
                <w:szCs w:val="20"/>
                <w:color w:val="auto"/>
              </w:rPr>
            </w:pPr>
            <w:r>
              <w:rPr>
                <w:rFonts w:ascii="Arial" w:cs="Arial" w:eastAsia="Arial" w:hAnsi="Arial"/>
                <w:sz w:val="15"/>
                <w:szCs w:val="15"/>
                <w:color w:val="auto"/>
              </w:rPr>
              <w:t>326,625</w:t>
            </w:r>
          </w:p>
        </w:tc>
        <w:tc>
          <w:tcPr>
            <w:tcW w:w="1580" w:type="dxa"/>
            <w:vAlign w:val="bottom"/>
            <w:gridSpan w:val="2"/>
          </w:tcPr>
          <w:p>
            <w:pPr>
              <w:jc w:val="right"/>
              <w:ind w:right="71"/>
              <w:spacing w:after="0" w:line="168" w:lineRule="exact"/>
              <w:rPr>
                <w:sz w:val="20"/>
                <w:szCs w:val="20"/>
                <w:color w:val="auto"/>
              </w:rPr>
            </w:pPr>
            <w:r>
              <w:rPr>
                <w:rFonts w:ascii="Arial" w:cs="Arial" w:eastAsia="Arial" w:hAnsi="Arial"/>
                <w:sz w:val="15"/>
                <w:szCs w:val="15"/>
                <w:color w:val="auto"/>
              </w:rPr>
              <w:t>136,067</w:t>
            </w:r>
          </w:p>
        </w:tc>
        <w:tc>
          <w:tcPr>
            <w:tcW w:w="140" w:type="dxa"/>
            <w:vAlign w:val="bottom"/>
          </w:tcPr>
          <w:p>
            <w:pPr>
              <w:spacing w:after="0"/>
              <w:rPr>
                <w:sz w:val="14"/>
                <w:szCs w:val="14"/>
                <w:color w:val="auto"/>
              </w:rPr>
            </w:pPr>
          </w:p>
        </w:tc>
        <w:tc>
          <w:tcPr>
            <w:tcW w:w="1440" w:type="dxa"/>
            <w:vAlign w:val="bottom"/>
          </w:tcPr>
          <w:p>
            <w:pPr>
              <w:jc w:val="right"/>
              <w:ind w:right="46"/>
              <w:spacing w:after="0" w:line="168" w:lineRule="exact"/>
              <w:rPr>
                <w:sz w:val="20"/>
                <w:szCs w:val="20"/>
                <w:color w:val="auto"/>
              </w:rPr>
            </w:pPr>
            <w:r>
              <w:rPr>
                <w:rFonts w:ascii="Arial" w:cs="Arial" w:eastAsia="Arial" w:hAnsi="Arial"/>
                <w:sz w:val="15"/>
                <w:szCs w:val="15"/>
                <w:color w:val="auto"/>
              </w:rPr>
              <w:t>—</w:t>
            </w:r>
          </w:p>
        </w:tc>
      </w:tr>
      <w:tr>
        <w:trPr>
          <w:trHeight w:val="168"/>
        </w:trPr>
        <w:tc>
          <w:tcPr>
            <w:tcW w:w="666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Warrants</w:t>
            </w:r>
          </w:p>
        </w:tc>
        <w:tc>
          <w:tcPr>
            <w:tcW w:w="1460" w:type="dxa"/>
            <w:vAlign w:val="bottom"/>
            <w:tcBorders>
              <w:bottom w:val="single" w:sz="8" w:color="auto"/>
            </w:tcBorders>
            <w:shd w:val="clear" w:color="auto" w:fill="CFF0FC"/>
          </w:tcPr>
          <w:p>
            <w:pPr>
              <w:jc w:val="right"/>
              <w:ind w:right="69"/>
              <w:spacing w:after="0" w:line="168" w:lineRule="exact"/>
              <w:rPr>
                <w:sz w:val="20"/>
                <w:szCs w:val="20"/>
                <w:color w:val="auto"/>
              </w:rPr>
            </w:pPr>
            <w:r>
              <w:rPr>
                <w:rFonts w:ascii="Arial" w:cs="Arial" w:eastAsia="Arial" w:hAnsi="Arial"/>
                <w:sz w:val="15"/>
                <w:szCs w:val="15"/>
                <w:color w:val="auto"/>
              </w:rPr>
              <w:t>15,541</w:t>
            </w:r>
          </w:p>
        </w:tc>
        <w:tc>
          <w:tcPr>
            <w:tcW w:w="140" w:type="dxa"/>
            <w:vAlign w:val="bottom"/>
            <w:tcBorders>
              <w:bottom w:val="single" w:sz="8" w:color="CFF0FC"/>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51"/>
              <w:spacing w:after="0" w:line="168" w:lineRule="exact"/>
              <w:rPr>
                <w:sz w:val="20"/>
                <w:szCs w:val="20"/>
                <w:color w:val="auto"/>
              </w:rPr>
            </w:pPr>
            <w:r>
              <w:rPr>
                <w:rFonts w:ascii="Arial" w:cs="Arial" w:eastAsia="Arial" w:hAnsi="Arial"/>
                <w:sz w:val="15"/>
                <w:szCs w:val="15"/>
                <w:color w:val="auto"/>
              </w:rPr>
              <w:t>15,541</w:t>
            </w:r>
          </w:p>
        </w:tc>
        <w:tc>
          <w:tcPr>
            <w:tcW w:w="140" w:type="dxa"/>
            <w:vAlign w:val="bottom"/>
            <w:tcBorders>
              <w:bottom w:val="single" w:sz="8" w:color="CFF0FC"/>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69,656</w:t>
            </w:r>
          </w:p>
        </w:tc>
      </w:tr>
      <w:tr>
        <w:trPr>
          <w:trHeight w:val="159"/>
        </w:trPr>
        <w:tc>
          <w:tcPr>
            <w:tcW w:w="6660" w:type="dxa"/>
            <w:vAlign w:val="bottom"/>
          </w:tcPr>
          <w:p>
            <w:pPr>
              <w:ind w:left="20"/>
              <w:spacing w:after="0" w:line="159" w:lineRule="exact"/>
              <w:rPr>
                <w:sz w:val="20"/>
                <w:szCs w:val="20"/>
                <w:color w:val="auto"/>
              </w:rPr>
            </w:pPr>
            <w:r>
              <w:rPr>
                <w:rFonts w:ascii="Arial" w:cs="Arial" w:eastAsia="Arial" w:hAnsi="Arial"/>
                <w:sz w:val="15"/>
                <w:szCs w:val="15"/>
                <w:color w:val="auto"/>
              </w:rPr>
              <w:t>Total</w:t>
            </w:r>
          </w:p>
        </w:tc>
        <w:tc>
          <w:tcPr>
            <w:tcW w:w="1460" w:type="dxa"/>
            <w:vAlign w:val="bottom"/>
          </w:tcPr>
          <w:p>
            <w:pPr>
              <w:jc w:val="right"/>
              <w:ind w:right="69"/>
              <w:spacing w:after="0" w:line="159" w:lineRule="exact"/>
              <w:rPr>
                <w:sz w:val="20"/>
                <w:szCs w:val="20"/>
                <w:color w:val="auto"/>
              </w:rPr>
            </w:pPr>
            <w:r>
              <w:rPr>
                <w:rFonts w:ascii="Arial" w:cs="Arial" w:eastAsia="Arial" w:hAnsi="Arial"/>
                <w:sz w:val="15"/>
                <w:szCs w:val="15"/>
                <w:color w:val="auto"/>
              </w:rPr>
              <w:t>5,432,543</w:t>
            </w:r>
          </w:p>
        </w:tc>
        <w:tc>
          <w:tcPr>
            <w:tcW w:w="1580" w:type="dxa"/>
            <w:vAlign w:val="bottom"/>
            <w:gridSpan w:val="2"/>
          </w:tcPr>
          <w:p>
            <w:pPr>
              <w:jc w:val="right"/>
              <w:ind w:right="71"/>
              <w:spacing w:after="0" w:line="159" w:lineRule="exact"/>
              <w:rPr>
                <w:sz w:val="20"/>
                <w:szCs w:val="20"/>
                <w:color w:val="auto"/>
              </w:rPr>
            </w:pPr>
            <w:r>
              <w:rPr>
                <w:rFonts w:ascii="Arial" w:cs="Arial" w:eastAsia="Arial" w:hAnsi="Arial"/>
                <w:sz w:val="15"/>
                <w:szCs w:val="15"/>
                <w:color w:val="auto"/>
              </w:rPr>
              <w:t>3,885,524</w:t>
            </w:r>
          </w:p>
        </w:tc>
        <w:tc>
          <w:tcPr>
            <w:tcW w:w="1580" w:type="dxa"/>
            <w:vAlign w:val="bottom"/>
            <w:gridSpan w:val="2"/>
          </w:tcPr>
          <w:p>
            <w:pPr>
              <w:jc w:val="right"/>
              <w:ind w:right="46"/>
              <w:spacing w:after="0" w:line="159" w:lineRule="exact"/>
              <w:rPr>
                <w:sz w:val="20"/>
                <w:szCs w:val="20"/>
                <w:color w:val="auto"/>
              </w:rPr>
            </w:pPr>
            <w:r>
              <w:rPr>
                <w:rFonts w:ascii="Arial" w:cs="Arial" w:eastAsia="Arial" w:hAnsi="Arial"/>
                <w:sz w:val="15"/>
                <w:szCs w:val="15"/>
                <w:color w:val="auto"/>
              </w:rPr>
              <w:t>3,528,103</w:t>
            </w:r>
          </w:p>
        </w:tc>
      </w:tr>
      <w:tr>
        <w:trPr>
          <w:trHeight w:val="20"/>
        </w:trPr>
        <w:tc>
          <w:tcPr>
            <w:tcW w:w="66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-131445</wp:posOffset>
            </wp:positionV>
            <wp:extent cx="92075" cy="4763"/>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2075" cy="4763"/>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-131445</wp:posOffset>
            </wp:positionV>
            <wp:extent cx="92075" cy="4763"/>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2075" cy="4763"/>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4. Accrued Expenses and Other Current Liabilities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At December 31, 2021 and 2020, accrued expenses consisted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8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2"/>
                <w:szCs w:val="12"/>
                <w:b w:val="1"/>
                <w:bCs w:val="1"/>
                <w:color w:val="auto"/>
              </w:rPr>
              <w:t>December 31,</w:t>
            </w:r>
          </w:p>
        </w:tc>
        <w:tc>
          <w:tcPr>
            <w:tcW w:w="1240" w:type="dxa"/>
            <w:vAlign w:val="bottom"/>
            <w:tcBorders>
              <w:bottom w:val="single" w:sz="8" w:color="auto"/>
            </w:tcBorders>
          </w:tcPr>
          <w:p>
            <w:pPr>
              <w:spacing w:after="0"/>
              <w:rPr>
                <w:sz w:val="13"/>
                <w:szCs w:val="13"/>
                <w:color w:val="auto"/>
              </w:rPr>
            </w:pPr>
          </w:p>
        </w:tc>
      </w:tr>
      <w:tr>
        <w:trPr>
          <w:trHeight w:val="136"/>
        </w:trPr>
        <w:tc>
          <w:tcPr>
            <w:tcW w:w="38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2021</w:t>
            </w:r>
          </w:p>
        </w:tc>
        <w:tc>
          <w:tcPr>
            <w:tcW w:w="7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08"/>
              <w:spacing w:after="0" w:line="137" w:lineRule="exact"/>
              <w:rPr>
                <w:sz w:val="20"/>
                <w:szCs w:val="20"/>
                <w:color w:val="auto"/>
              </w:rPr>
            </w:pPr>
            <w:r>
              <w:rPr>
                <w:rFonts w:ascii="Arial" w:cs="Arial" w:eastAsia="Arial" w:hAnsi="Arial"/>
                <w:sz w:val="12"/>
                <w:szCs w:val="12"/>
                <w:b w:val="1"/>
                <w:bCs w:val="1"/>
                <w:color w:val="auto"/>
              </w:rPr>
              <w:t>2020</w:t>
            </w:r>
          </w:p>
        </w:tc>
      </w:tr>
      <w:tr>
        <w:trPr>
          <w:trHeight w:val="159"/>
        </w:trPr>
        <w:tc>
          <w:tcPr>
            <w:tcW w:w="382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Accrued research and development</w:t>
            </w:r>
          </w:p>
        </w:tc>
        <w:tc>
          <w:tcPr>
            <w:tcW w:w="390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811"/>
              <w:spacing w:after="0" w:line="15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28"/>
              <w:spacing w:after="0" w:line="159" w:lineRule="exact"/>
              <w:rPr>
                <w:sz w:val="20"/>
                <w:szCs w:val="20"/>
                <w:color w:val="auto"/>
              </w:rPr>
            </w:pPr>
            <w:r>
              <w:rPr>
                <w:rFonts w:ascii="Arial" w:cs="Arial" w:eastAsia="Arial" w:hAnsi="Arial"/>
                <w:sz w:val="15"/>
                <w:szCs w:val="15"/>
                <w:color w:val="auto"/>
                <w:w w:val="92"/>
              </w:rPr>
              <w:t>2,416,897</w:t>
            </w: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286"/>
              <w:spacing w:after="0" w:line="159" w:lineRule="exact"/>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48"/>
              <w:spacing w:after="0" w:line="159" w:lineRule="exact"/>
              <w:rPr>
                <w:sz w:val="20"/>
                <w:szCs w:val="20"/>
                <w:color w:val="auto"/>
              </w:rPr>
            </w:pPr>
            <w:r>
              <w:rPr>
                <w:rFonts w:ascii="Arial" w:cs="Arial" w:eastAsia="Arial" w:hAnsi="Arial"/>
                <w:sz w:val="15"/>
                <w:szCs w:val="15"/>
                <w:color w:val="auto"/>
              </w:rPr>
              <w:t>4,293,522</w:t>
            </w:r>
          </w:p>
        </w:tc>
      </w:tr>
      <w:tr>
        <w:trPr>
          <w:trHeight w:val="168"/>
        </w:trPr>
        <w:tc>
          <w:tcPr>
            <w:tcW w:w="3820" w:type="dxa"/>
            <w:vAlign w:val="bottom"/>
          </w:tcPr>
          <w:p>
            <w:pPr>
              <w:ind w:left="20"/>
              <w:spacing w:after="0" w:line="168" w:lineRule="exact"/>
              <w:rPr>
                <w:sz w:val="20"/>
                <w:szCs w:val="20"/>
                <w:color w:val="auto"/>
              </w:rPr>
            </w:pPr>
            <w:r>
              <w:rPr>
                <w:rFonts w:ascii="Arial" w:cs="Arial" w:eastAsia="Arial" w:hAnsi="Arial"/>
                <w:sz w:val="15"/>
                <w:szCs w:val="15"/>
                <w:color w:val="auto"/>
              </w:rPr>
              <w:t>Accrued compensation</w:t>
            </w:r>
          </w:p>
        </w:tc>
        <w:tc>
          <w:tcPr>
            <w:tcW w:w="3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jc w:val="right"/>
              <w:ind w:right="28"/>
              <w:spacing w:after="0" w:line="168" w:lineRule="exact"/>
              <w:rPr>
                <w:sz w:val="20"/>
                <w:szCs w:val="20"/>
                <w:color w:val="auto"/>
              </w:rPr>
            </w:pPr>
            <w:r>
              <w:rPr>
                <w:rFonts w:ascii="Arial" w:cs="Arial" w:eastAsia="Arial" w:hAnsi="Arial"/>
                <w:sz w:val="15"/>
                <w:szCs w:val="15"/>
                <w:color w:val="auto"/>
                <w:w w:val="92"/>
              </w:rPr>
              <w:t>4,050,236</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ind w:right="48"/>
              <w:spacing w:after="0" w:line="168" w:lineRule="exact"/>
              <w:rPr>
                <w:sz w:val="20"/>
                <w:szCs w:val="20"/>
                <w:color w:val="auto"/>
              </w:rPr>
            </w:pPr>
            <w:r>
              <w:rPr>
                <w:rFonts w:ascii="Arial" w:cs="Arial" w:eastAsia="Arial" w:hAnsi="Arial"/>
                <w:sz w:val="15"/>
                <w:szCs w:val="15"/>
                <w:color w:val="auto"/>
              </w:rPr>
              <w:t>2,870,261</w:t>
            </w:r>
          </w:p>
        </w:tc>
      </w:tr>
      <w:tr>
        <w:trPr>
          <w:trHeight w:val="168"/>
        </w:trPr>
        <w:tc>
          <w:tcPr>
            <w:tcW w:w="382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Accrued general and administrative</w:t>
            </w:r>
          </w:p>
        </w:tc>
        <w:tc>
          <w:tcPr>
            <w:tcW w:w="39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line="168" w:lineRule="exact"/>
              <w:rPr>
                <w:sz w:val="20"/>
                <w:szCs w:val="20"/>
                <w:color w:val="auto"/>
              </w:rPr>
            </w:pPr>
            <w:r>
              <w:rPr>
                <w:rFonts w:ascii="Arial" w:cs="Arial" w:eastAsia="Arial" w:hAnsi="Arial"/>
                <w:sz w:val="15"/>
                <w:szCs w:val="15"/>
                <w:color w:val="auto"/>
                <w:w w:val="92"/>
              </w:rPr>
              <w:t>2,442,700</w:t>
            </w: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48"/>
              <w:spacing w:after="0" w:line="168" w:lineRule="exact"/>
              <w:rPr>
                <w:sz w:val="20"/>
                <w:szCs w:val="20"/>
                <w:color w:val="auto"/>
              </w:rPr>
            </w:pPr>
            <w:r>
              <w:rPr>
                <w:rFonts w:ascii="Arial" w:cs="Arial" w:eastAsia="Arial" w:hAnsi="Arial"/>
                <w:sz w:val="15"/>
                <w:szCs w:val="15"/>
                <w:color w:val="auto"/>
              </w:rPr>
              <w:t>1,155,508</w:t>
            </w:r>
          </w:p>
        </w:tc>
      </w:tr>
      <w:tr>
        <w:trPr>
          <w:trHeight w:val="168"/>
        </w:trPr>
        <w:tc>
          <w:tcPr>
            <w:tcW w:w="3820" w:type="dxa"/>
            <w:vAlign w:val="bottom"/>
          </w:tcPr>
          <w:p>
            <w:pPr>
              <w:ind w:left="20"/>
              <w:spacing w:after="0" w:line="168" w:lineRule="exact"/>
              <w:rPr>
                <w:sz w:val="20"/>
                <w:szCs w:val="20"/>
                <w:color w:val="auto"/>
              </w:rPr>
            </w:pPr>
            <w:r>
              <w:rPr>
                <w:rFonts w:ascii="Arial" w:cs="Arial" w:eastAsia="Arial" w:hAnsi="Arial"/>
                <w:sz w:val="15"/>
                <w:szCs w:val="15"/>
                <w:color w:val="auto"/>
              </w:rPr>
              <w:t>Accrued Interest</w:t>
            </w:r>
          </w:p>
        </w:tc>
        <w:tc>
          <w:tcPr>
            <w:tcW w:w="39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line="168" w:lineRule="exact"/>
              <w:rPr>
                <w:sz w:val="20"/>
                <w:szCs w:val="20"/>
                <w:color w:val="auto"/>
              </w:rPr>
            </w:pPr>
            <w:r>
              <w:rPr>
                <w:rFonts w:ascii="Arial" w:cs="Arial" w:eastAsia="Arial" w:hAnsi="Arial"/>
                <w:sz w:val="15"/>
                <w:szCs w:val="15"/>
                <w:color w:val="auto"/>
              </w:rPr>
              <w:t>385,347</w:t>
            </w: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
              <w:spacing w:after="0" w:line="168" w:lineRule="exact"/>
              <w:rPr>
                <w:sz w:val="20"/>
                <w:szCs w:val="20"/>
                <w:color w:val="auto"/>
              </w:rPr>
            </w:pPr>
            <w:r>
              <w:rPr>
                <w:rFonts w:ascii="Arial" w:cs="Arial" w:eastAsia="Arial" w:hAnsi="Arial"/>
                <w:sz w:val="15"/>
                <w:szCs w:val="15"/>
                <w:color w:val="auto"/>
              </w:rPr>
              <w:t>393,958</w:t>
            </w:r>
          </w:p>
        </w:tc>
      </w:tr>
      <w:tr>
        <w:trPr>
          <w:trHeight w:val="199"/>
        </w:trPr>
        <w:tc>
          <w:tcPr>
            <w:tcW w:w="382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Total</w:t>
            </w:r>
          </w:p>
        </w:tc>
        <w:tc>
          <w:tcPr>
            <w:tcW w:w="390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811"/>
              <w:spacing w:after="0" w:line="15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ind w:right="28"/>
              <w:spacing w:after="0" w:line="159" w:lineRule="exact"/>
              <w:rPr>
                <w:sz w:val="20"/>
                <w:szCs w:val="20"/>
                <w:color w:val="auto"/>
              </w:rPr>
            </w:pPr>
            <w:r>
              <w:rPr>
                <w:rFonts w:ascii="Arial" w:cs="Arial" w:eastAsia="Arial" w:hAnsi="Arial"/>
                <w:sz w:val="15"/>
                <w:szCs w:val="15"/>
                <w:color w:val="auto"/>
                <w:w w:val="92"/>
              </w:rPr>
              <w:t>9,295,180</w:t>
            </w:r>
          </w:p>
        </w:tc>
        <w:tc>
          <w:tcPr>
            <w:tcW w:w="1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6"/>
              <w:spacing w:after="0" w:line="15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ind w:right="48"/>
              <w:spacing w:after="0" w:line="159" w:lineRule="exact"/>
              <w:rPr>
                <w:sz w:val="20"/>
                <w:szCs w:val="20"/>
                <w:color w:val="auto"/>
              </w:rPr>
            </w:pPr>
            <w:r>
              <w:rPr>
                <w:rFonts w:ascii="Arial" w:cs="Arial" w:eastAsia="Arial" w:hAnsi="Arial"/>
                <w:sz w:val="15"/>
                <w:szCs w:val="15"/>
                <w:color w:val="auto"/>
              </w:rPr>
              <w:t>8,713,249</w:t>
            </w:r>
          </w:p>
        </w:tc>
      </w:tr>
      <w:tr>
        <w:trPr>
          <w:trHeight w:val="498"/>
        </w:trPr>
        <w:tc>
          <w:tcPr>
            <w:tcW w:w="3820" w:type="dxa"/>
            <w:vAlign w:val="bottom"/>
          </w:tcPr>
          <w:p>
            <w:pPr>
              <w:spacing w:after="0"/>
              <w:rPr>
                <w:sz w:val="24"/>
                <w:szCs w:val="24"/>
                <w:color w:val="auto"/>
              </w:rPr>
            </w:pPr>
          </w:p>
        </w:tc>
        <w:tc>
          <w:tcPr>
            <w:tcW w:w="4860" w:type="dxa"/>
            <w:vAlign w:val="bottom"/>
            <w:gridSpan w:val="2"/>
          </w:tcPr>
          <w:p>
            <w:pPr>
              <w:jc w:val="right"/>
              <w:ind w:right="2831"/>
              <w:spacing w:after="0"/>
              <w:rPr>
                <w:sz w:val="20"/>
                <w:szCs w:val="20"/>
                <w:color w:val="auto"/>
              </w:rPr>
            </w:pPr>
            <w:r>
              <w:rPr>
                <w:rFonts w:ascii="Arial" w:cs="Arial" w:eastAsia="Arial" w:hAnsi="Arial"/>
                <w:sz w:val="15"/>
                <w:szCs w:val="15"/>
                <w:color w:val="auto"/>
              </w:rPr>
              <w:t>F-15</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81"/>
        </w:trPr>
        <w:tc>
          <w:tcPr>
            <w:tcW w:w="382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5984875</wp:posOffset>
            </wp:positionH>
            <wp:positionV relativeFrom="paragraph">
              <wp:posOffset>-417830</wp:posOffset>
            </wp:positionV>
            <wp:extent cx="10668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5984875</wp:posOffset>
            </wp:positionH>
            <wp:positionV relativeFrom="paragraph">
              <wp:posOffset>-403860</wp:posOffset>
            </wp:positionV>
            <wp:extent cx="10668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6680" cy="6985"/>
                    </a:xfrm>
                    <a:prstGeom prst="rect">
                      <a:avLst/>
                    </a:prstGeom>
                    <a:noFill/>
                  </pic:spPr>
                </pic:pic>
              </a:graphicData>
            </a:graphic>
          </wp:anchor>
        </w:drawing>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30" w:name="page131"/>
    <w:bookmarkEnd w:id="13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5.</w:t>
      </w:r>
      <w:r>
        <w:rPr>
          <w:sz w:val="20"/>
          <w:szCs w:val="20"/>
          <w:color w:val="auto"/>
        </w:rPr>
        <w:tab/>
      </w:r>
      <w:r>
        <w:rPr>
          <w:rFonts w:ascii="Arial" w:cs="Arial" w:eastAsia="Arial" w:hAnsi="Arial"/>
          <w:sz w:val="13"/>
          <w:szCs w:val="13"/>
          <w:b w:val="1"/>
          <w:bCs w:val="1"/>
          <w:color w:val="auto"/>
        </w:rPr>
        <w:t>Loan and Security Agreement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Hercules Capital, Inc.</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2020 Term Loan</w:t>
      </w:r>
    </w:p>
    <w:p>
      <w:pPr>
        <w:spacing w:after="0" w:line="174" w:lineRule="exact"/>
        <w:rPr>
          <w:sz w:val="20"/>
          <w:szCs w:val="20"/>
          <w:color w:val="auto"/>
        </w:rPr>
      </w:pPr>
    </w:p>
    <w:p>
      <w:pPr>
        <w:ind w:firstLine="751"/>
        <w:spacing w:after="0" w:line="271" w:lineRule="auto"/>
        <w:rPr>
          <w:sz w:val="20"/>
          <w:szCs w:val="20"/>
          <w:color w:val="auto"/>
        </w:rPr>
      </w:pPr>
      <w:r>
        <w:rPr>
          <w:rFonts w:ascii="Arial" w:cs="Arial" w:eastAsia="Arial" w:hAnsi="Arial"/>
          <w:sz w:val="13"/>
          <w:szCs w:val="13"/>
          <w:color w:val="auto"/>
        </w:rPr>
        <w:t>In September 2020, the Company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 The Loan Agreement provides for term loans in an aggregate principal amount of up to $225.0 million under multiple tranches (the “2020 Term Loan”). The tranches consist of (i) a first tranche consisting of term loans in an aggregate principal amount of $60.0 million, of which $50.0 million was funded to the Company on the Closing Date (the “First Advance”), and of which the remaining $10.0 million is available at the Company’s option at any time through September 15, 2021; (ii) subject to the approval of the Company’s AXS-05 product candidate for the treatment of major depressive disorder (the “First Milestone”), a second tranche consisting of additional term loans in an aggregate principal amount of up to $35.0 million, available at the Company’s option beginning on the date that the First Milestone is achieved through the earlier of (A) 181 days following such date and (B) June 30, 2022;</w:t>
      </w:r>
    </w:p>
    <w:p>
      <w:pPr>
        <w:spacing w:after="0" w:line="3" w:lineRule="exact"/>
        <w:rPr>
          <w:sz w:val="20"/>
          <w:szCs w:val="20"/>
          <w:color w:val="auto"/>
        </w:rPr>
      </w:pPr>
    </w:p>
    <w:p>
      <w:pPr>
        <w:ind w:right="60" w:firstLine="9"/>
        <w:spacing w:after="0" w:line="274" w:lineRule="auto"/>
        <w:tabs>
          <w:tab w:leader="none" w:pos="2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subject to the approval of the Company’s AXS-07 product candidate for the treatment of migraine (the “Second Milestone”), a third tranche consisting of additional term loans in an aggregate principal amount of up to $20.0 million, available at the Company’s option beginning on the date that the Second Milestone is achieved through the earlier of (A) 181 days following such date and (B) June 30, 2022; (iv) subject to the achievement of either the First Milestone or the Second Milestone and so long as the Company is in compliance with a required ratio of Lender indebtedness to net product revenue, a fourth tranche consisting of additional term loans in an aggregate principal amount of up to $60.0 million, available at the Company’s option beginning on January 1, 2022 and continuing through March 31, 2023; and (v) subject to approval by the Lenders’ in their discretion, a fifth tranche of additional term loans in an aggregate principal amount of up to $50.0 million, available through December 31, 2023. The remaining $10.0 million on the first tranche was not utilized and such tranche and future tranches were amended upon the execution of the First Amendment to the Loan and Security Agreement. See "First Amendment to the Loan and Security Agreement" below for further information. The Company intends to use the proceeds of the Term Loan Advances for working capital and general corporate purposes. In addition, approximately $21.7 million of the proceeds from the First Advance was used to satisfy in full and retire the Company’s indebtedness under the 2019 Term Loan, as amended.</w:t>
      </w:r>
    </w:p>
    <w:p>
      <w:pPr>
        <w:spacing w:after="0" w:line="138" w:lineRule="exact"/>
        <w:rPr>
          <w:sz w:val="20"/>
          <w:szCs w:val="20"/>
          <w:color w:val="auto"/>
        </w:rPr>
      </w:pPr>
    </w:p>
    <w:p>
      <w:pPr>
        <w:ind w:right="80" w:firstLine="751"/>
        <w:spacing w:after="0" w:line="278" w:lineRule="auto"/>
        <w:rPr>
          <w:sz w:val="20"/>
          <w:szCs w:val="20"/>
          <w:color w:val="auto"/>
        </w:rPr>
      </w:pPr>
      <w:r>
        <w:rPr>
          <w:rFonts w:ascii="Arial" w:cs="Arial" w:eastAsia="Arial" w:hAnsi="Arial"/>
          <w:sz w:val="13"/>
          <w:szCs w:val="13"/>
          <w:color w:val="auto"/>
        </w:rPr>
        <w:t>The outstanding principal balance of the term loans bears interest at an annual rate equal to the greater of either (i) the prime rate as reported in The Wall Street Journal plus 5.90% or (ii) 9.15%, subject to an ability by the Company, during certain periods (each, a “PIK Deferral Period”), to request a reduction of the then-effective cash-pay interest rate by up to</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4"/>
          <w:szCs w:val="14"/>
          <w:color w:val="auto"/>
        </w:rPr>
        <w:t>1.00% per annum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w:t>
      </w:r>
    </w:p>
    <w:p>
      <w:pPr>
        <w:spacing w:after="0" w:line="144" w:lineRule="exact"/>
        <w:rPr>
          <w:sz w:val="20"/>
          <w:szCs w:val="20"/>
          <w:color w:val="auto"/>
        </w:rPr>
      </w:pPr>
    </w:p>
    <w:p>
      <w:pPr>
        <w:ind w:right="160" w:firstLine="751"/>
        <w:spacing w:after="0" w:line="284" w:lineRule="auto"/>
        <w:rPr>
          <w:sz w:val="20"/>
          <w:szCs w:val="20"/>
          <w:color w:val="auto"/>
        </w:rPr>
      </w:pPr>
      <w:r>
        <w:rPr>
          <w:rFonts w:ascii="Arial" w:cs="Arial" w:eastAsia="Arial" w:hAnsi="Arial"/>
          <w:sz w:val="13"/>
          <w:szCs w:val="13"/>
          <w:color w:val="auto"/>
        </w:rPr>
        <w:t>The Company is required to repay the term loans in equal installments of principal and interest commencing on May 1, 2023, through October 1, 2025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32" w:lineRule="exact"/>
        <w:rPr>
          <w:sz w:val="20"/>
          <w:szCs w:val="20"/>
          <w:color w:val="auto"/>
        </w:rPr>
      </w:pPr>
    </w:p>
    <w:p>
      <w:pPr>
        <w:ind w:right="60" w:firstLine="751"/>
        <w:spacing w:after="0" w:line="263" w:lineRule="auto"/>
        <w:rPr>
          <w:sz w:val="20"/>
          <w:szCs w:val="20"/>
          <w:color w:val="auto"/>
        </w:rPr>
      </w:pPr>
      <w:r>
        <w:rPr>
          <w:rFonts w:ascii="Arial" w:cs="Arial" w:eastAsia="Arial" w:hAnsi="Arial"/>
          <w:sz w:val="14"/>
          <w:szCs w:val="14"/>
          <w:color w:val="auto"/>
        </w:rPr>
        <w:t>As collateral for the obligations, the Company has granted to Hercules a senior security interest in all of Company’s right, title, and interest in, to and under all of 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and Hercules.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181215"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31" w:name="page132"/>
    <w:bookmarkEnd w:id="13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20" w:firstLine="751"/>
        <w:spacing w:after="0" w:line="289" w:lineRule="auto"/>
        <w:rPr>
          <w:sz w:val="20"/>
          <w:szCs w:val="20"/>
          <w:color w:val="auto"/>
        </w:rPr>
      </w:pPr>
      <w:r>
        <w:rPr>
          <w:rFonts w:ascii="Arial" w:cs="Arial" w:eastAsia="Arial" w:hAnsi="Arial"/>
          <w:sz w:val="13"/>
          <w:szCs w:val="13"/>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29" w:lineRule="exact"/>
        <w:rPr>
          <w:sz w:val="20"/>
          <w:szCs w:val="20"/>
          <w:color w:val="auto"/>
        </w:rPr>
      </w:pPr>
    </w:p>
    <w:p>
      <w:pPr>
        <w:ind w:left="1140" w:right="80" w:hanging="379"/>
        <w:spacing w:after="0"/>
        <w:tabs>
          <w:tab w:leader="none" w:pos="11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Effective upon the date the outstanding principal amount of the advances under the Loan Agreement equals or exceeds $55.0 million, which has not yet occurred, the Company at all times thereafter must maintain cash in an account or accounts in which Hercules has a first priority security interest, in an aggregate amount greater than or equal to $15.0 million, plus the amount of the Company’s accounts payable under U.S. GAAP not paid after the 180th day following the invoice for such account payable (such amount, the “Qualified Cash A/P Amount”).</w:t>
      </w:r>
    </w:p>
    <w:p>
      <w:pPr>
        <w:spacing w:after="0" w:line="158" w:lineRule="exact"/>
        <w:rPr>
          <w:rFonts w:ascii="Arial" w:cs="Arial" w:eastAsia="Arial" w:hAnsi="Arial"/>
          <w:sz w:val="15"/>
          <w:szCs w:val="15"/>
          <w:color w:val="auto"/>
        </w:rPr>
      </w:pPr>
    </w:p>
    <w:p>
      <w:pPr>
        <w:ind w:left="1140" w:hanging="379"/>
        <w:spacing w:after="0" w:line="276" w:lineRule="auto"/>
        <w:tabs>
          <w:tab w:leader="none" w:pos="11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the Company is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plus the Qualified Cash A/P Amount, (B) ensure that at all times that it maintains cash in an account which Hercules has a first priority security interest in an amount not less than 100% of the sum of the outstanding principal amount of the term loan advances plus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128" w:lineRule="exact"/>
        <w:rPr>
          <w:rFonts w:ascii="Arial" w:cs="Arial" w:eastAsia="Arial" w:hAnsi="Arial"/>
          <w:sz w:val="13"/>
          <w:szCs w:val="13"/>
          <w:color w:val="auto"/>
        </w:rPr>
      </w:pPr>
    </w:p>
    <w:p>
      <w:pPr>
        <w:ind w:left="1140" w:right="360" w:hanging="379"/>
        <w:spacing w:after="0" w:line="232" w:lineRule="auto"/>
        <w:tabs>
          <w:tab w:leader="none" w:pos="11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36" w:lineRule="exact"/>
        <w:rPr>
          <w:sz w:val="20"/>
          <w:szCs w:val="20"/>
          <w:color w:val="auto"/>
        </w:rPr>
      </w:pPr>
    </w:p>
    <w:p>
      <w:pPr>
        <w:ind w:firstLine="751"/>
        <w:spacing w:after="0" w:line="232" w:lineRule="auto"/>
        <w:rPr>
          <w:sz w:val="20"/>
          <w:szCs w:val="20"/>
          <w:color w:val="auto"/>
        </w:rPr>
      </w:pPr>
      <w:r>
        <w:rPr>
          <w:rFonts w:ascii="Arial" w:cs="Arial" w:eastAsia="Arial" w:hAnsi="Arial"/>
          <w:sz w:val="15"/>
          <w:szCs w:val="15"/>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3"/>
          <w:szCs w:val="13"/>
          <w:color w:val="auto"/>
        </w:rPr>
        <w:t>In addition, the Company is required to pay a final payment fee equal to the greater of (A) $2,910,000 and (B) 4.85% of the aggregate amount of all future term loan advances.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The final payment fee is being accreted and amortized into interest expense using the effective interest rate method over the term of the loan.</w:t>
      </w:r>
    </w:p>
    <w:p>
      <w:pPr>
        <w:spacing w:after="0" w:line="139" w:lineRule="exact"/>
        <w:rPr>
          <w:sz w:val="20"/>
          <w:szCs w:val="20"/>
          <w:color w:val="auto"/>
        </w:rPr>
      </w:pPr>
    </w:p>
    <w:p>
      <w:pPr>
        <w:ind w:right="80" w:firstLine="751"/>
        <w:spacing w:after="0" w:line="217" w:lineRule="auto"/>
        <w:rPr>
          <w:sz w:val="20"/>
          <w:szCs w:val="20"/>
          <w:color w:val="auto"/>
        </w:rPr>
      </w:pPr>
      <w:r>
        <w:rPr>
          <w:rFonts w:ascii="Arial" w:cs="Arial" w:eastAsia="Arial" w:hAnsi="Arial"/>
          <w:sz w:val="15"/>
          <w:szCs w:val="15"/>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1.0% of the principal amount prepaid if the prepayment occurs on or after the second anniversary and prior to the third anniversary of the Closing Date.</w:t>
      </w:r>
    </w:p>
    <w:p>
      <w:pPr>
        <w:spacing w:after="0" w:line="136" w:lineRule="exact"/>
        <w:rPr>
          <w:sz w:val="20"/>
          <w:szCs w:val="20"/>
          <w:color w:val="auto"/>
        </w:rPr>
      </w:pPr>
    </w:p>
    <w:p>
      <w:pPr>
        <w:ind w:right="60" w:firstLine="751"/>
        <w:spacing w:after="0" w:line="254" w:lineRule="auto"/>
        <w:rPr>
          <w:sz w:val="20"/>
          <w:szCs w:val="20"/>
          <w:color w:val="auto"/>
        </w:rPr>
      </w:pPr>
      <w:r>
        <w:rPr>
          <w:rFonts w:ascii="Arial" w:cs="Arial" w:eastAsia="Arial" w:hAnsi="Arial"/>
          <w:sz w:val="13"/>
          <w:szCs w:val="13"/>
          <w:color w:val="auto"/>
        </w:rPr>
        <w:t>The Company evaluated whether the Hercules Term Loan entered into in September 2020 represented a debt modification or extinguishment of the SVB Loan in accordance with ASC 470-50, Debt – Modifications and Extinguishments. As a result of the repayment and retirement of the SVB Loan, the SVB Loan was accounted for by the Company under the extinguishment accounting model. The Company recorded a loss on extinguishment of debt of approximately $1.2 million on the Company’s statement of operations for the twelve months ended December 31, 2020, representing a prepayment premium, the unamortized discount of the SVB Loan and the write-off of deferred financing costs.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181215"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32" w:name="page133"/>
    <w:bookmarkEnd w:id="13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First Amendment to the Loan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On October 14, 2021 ("First Amendment Closing Date"), the Company entered into the first amendment to the Loan Agreement (the “First Amendment to the Loan Agreement”).</w:t>
      </w:r>
    </w:p>
    <w:p>
      <w:pPr>
        <w:spacing w:after="0" w:line="174" w:lineRule="exact"/>
        <w:rPr>
          <w:sz w:val="20"/>
          <w:szCs w:val="20"/>
          <w:color w:val="auto"/>
        </w:rPr>
      </w:pPr>
    </w:p>
    <w:p>
      <w:pPr>
        <w:ind w:right="40" w:firstLine="751"/>
        <w:spacing w:after="0" w:line="239" w:lineRule="auto"/>
        <w:rPr>
          <w:sz w:val="20"/>
          <w:szCs w:val="20"/>
          <w:color w:val="auto"/>
        </w:rPr>
      </w:pPr>
      <w:r>
        <w:rPr>
          <w:rFonts w:ascii="Arial" w:cs="Arial" w:eastAsia="Arial" w:hAnsi="Arial"/>
          <w:sz w:val="13"/>
          <w:szCs w:val="13"/>
          <w:color w:val="auto"/>
        </w:rPr>
        <w:t>Under the First Amendment to the Loan Agreement, the First Amendment amended the terms of that certain Loan and Security Agreement, dated as of September 25, 2020, by and among the Company, Hercules and the Lenders (the “Loan Agreement”) to, among other things, (i) increase the aggregate principal amount of the loan, available at the Company’s option, from $225,000,000 to $300,000,000, (ii) change the draw amounts and dates available in Tranche 2 through Tranche 5 including increasing the amount available under Tranche 2 subject to FDA approval of the Company’s AXS-05 product candidate for the treatment of major depressive disorder from $35,000,000 to $100,000,000, maintaining the amount available under Tranche 3 subject to FDA approval of the Company’s AXS-07 product candidate for the acute treatment of migraine of $20,000,000, reducing the amount under Tranche 4 available upon achievement of certain combined sales and outstanding debt criteria from $60,000,000 to $55,000,000, and increasing the amount available under Tranche 5 to support future strategic initiatives, including further pipeline advancement or expansion from $50,000,000 to $75,000,000 subject to the approval from Hercules, (iii) extend the maturity date of the facility from the original October 2025 to October 2026, and optionally to October 2027, subject to certain conditions, (iv) reset and extend the interest only period from the initial 30 months from the original loan closing to 48 months from the First Amendment and extendable up to 60 months subject to FDA approval of the Company’s AXS-05 product candidate for the treatment of major depressive disorder and subject to FDA approval of AXS-07 in the acute treatment of migraine, and (v) decrease the interest rate from 9.15% (floating rate based on the greater of (a) 9.15% or (b) US WSJ Prime + 5.90%) to 8.95% (floating rate based on the greater of (a) 8.95% or (b) US WSJ Prime + 5.70%).</w:t>
      </w:r>
    </w:p>
    <w:p>
      <w:pPr>
        <w:spacing w:after="0" w:line="138" w:lineRule="exact"/>
        <w:rPr>
          <w:sz w:val="20"/>
          <w:szCs w:val="20"/>
          <w:color w:val="auto"/>
        </w:rPr>
      </w:pPr>
    </w:p>
    <w:p>
      <w:pPr>
        <w:ind w:right="360" w:firstLine="751"/>
        <w:spacing w:after="0" w:line="232" w:lineRule="auto"/>
        <w:rPr>
          <w:sz w:val="20"/>
          <w:szCs w:val="20"/>
          <w:color w:val="auto"/>
        </w:rPr>
      </w:pPr>
      <w:r>
        <w:rPr>
          <w:rFonts w:ascii="Arial" w:cs="Arial" w:eastAsia="Arial" w:hAnsi="Arial"/>
          <w:sz w:val="15"/>
          <w:szCs w:val="15"/>
          <w:color w:val="auto"/>
        </w:rPr>
        <w:t>In addition, the Company is required to pay a final payment fee equal to (A) $2,910,000 plus (B) 4.5% of the aggregate amount of all term future loan advances. The final payment fee is being accreted and amortized into interest expense using the effective interest rate method over the term of the loan.</w:t>
      </w:r>
    </w:p>
    <w:p>
      <w:pPr>
        <w:spacing w:after="0" w:line="136" w:lineRule="exact"/>
        <w:rPr>
          <w:sz w:val="20"/>
          <w:szCs w:val="20"/>
          <w:color w:val="auto"/>
        </w:rPr>
      </w:pPr>
    </w:p>
    <w:p>
      <w:pPr>
        <w:ind w:firstLine="751"/>
        <w:spacing w:after="0" w:line="217" w:lineRule="auto"/>
        <w:rPr>
          <w:sz w:val="20"/>
          <w:szCs w:val="20"/>
          <w:color w:val="auto"/>
        </w:rPr>
      </w:pPr>
      <w:r>
        <w:rPr>
          <w:rFonts w:ascii="Arial" w:cs="Arial" w:eastAsia="Arial" w:hAnsi="Arial"/>
          <w:sz w:val="15"/>
          <w:szCs w:val="15"/>
          <w:color w:val="auto"/>
        </w:rPr>
        <w:t>The Company may, at its option prepay the term loans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 These percentages are unchanged from the Loan Agreement.</w:t>
      </w:r>
    </w:p>
    <w:p>
      <w:pPr>
        <w:spacing w:after="0" w:line="147" w:lineRule="exact"/>
        <w:rPr>
          <w:sz w:val="20"/>
          <w:szCs w:val="20"/>
          <w:color w:val="auto"/>
        </w:rPr>
      </w:pPr>
    </w:p>
    <w:p>
      <w:pPr>
        <w:ind w:firstLine="751"/>
        <w:spacing w:after="0" w:line="238" w:lineRule="auto"/>
        <w:rPr>
          <w:sz w:val="20"/>
          <w:szCs w:val="20"/>
          <w:color w:val="auto"/>
        </w:rPr>
      </w:pPr>
      <w:r>
        <w:rPr>
          <w:rFonts w:ascii="Arial" w:cs="Arial" w:eastAsia="Arial" w:hAnsi="Arial"/>
          <w:sz w:val="15"/>
          <w:szCs w:val="15"/>
          <w:color w:val="auto"/>
        </w:rPr>
        <w:t>The First Amendment to 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As of the amendment effective date, there were no applicable financial covenants contained in the First Amendment to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61" w:lineRule="exact"/>
        <w:rPr>
          <w:sz w:val="20"/>
          <w:szCs w:val="20"/>
          <w:color w:val="auto"/>
        </w:rPr>
      </w:pPr>
    </w:p>
    <w:p>
      <w:pPr>
        <w:ind w:left="1140" w:right="100" w:hanging="379"/>
        <w:spacing w:after="0"/>
        <w:tabs>
          <w:tab w:leader="none" w:pos="11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Effective upon the date the outstanding principal amount of the advances under the Loan Agreement equals or exceeds $55.0 million, which has not yet occurred, the Company at all times thereafter must maintain cash in an account or accounts in which Hercules has a first priority security interest, in an aggregate amount greater than or equal to $15.0 million, plus the amount of the Company’s accounts payable under U.S. GAAP not paid after the 180th day following the invoice for such account payable (such amount, the “Qualified Cash A/P Amount”).</w:t>
      </w:r>
    </w:p>
    <w:p>
      <w:pPr>
        <w:spacing w:after="0" w:line="158" w:lineRule="exact"/>
        <w:rPr>
          <w:rFonts w:ascii="Arial" w:cs="Arial" w:eastAsia="Arial" w:hAnsi="Arial"/>
          <w:sz w:val="15"/>
          <w:szCs w:val="15"/>
          <w:color w:val="auto"/>
        </w:rPr>
      </w:pPr>
    </w:p>
    <w:p>
      <w:pPr>
        <w:ind w:left="1140" w:right="20" w:hanging="379"/>
        <w:spacing w:after="0" w:line="279" w:lineRule="auto"/>
        <w:tabs>
          <w:tab w:leader="none" w:pos="11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the Company is required to (A) ensure that at all times its market capitalization exceeds $1.0 billion, and that it maintains cash in an account which Hercules has a first priority security interest in an amount not less than 50% of the sum of the outstanding principal amount of the term loan advances plus the Qualified Cash A/P Amount, (B) ensure that at all times that it maintains cash in an account which Hercules has a first priority security interest in an amount not less than 85% of the sum of the outstanding principal amount of the term loan advances plus the Qualified Cash A/P Amount, or (C) achieve at least 60% of the net product revenue solely from the sale of AXS-05 and AXS-07 (which may include royalty, profit sharing, or sales-based milestone revenue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7181215"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33" w:name="page134"/>
    <w:bookmarkEnd w:id="13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left="1140" w:right="280"/>
        <w:spacing w:after="0" w:line="331" w:lineRule="auto"/>
        <w:rPr>
          <w:sz w:val="20"/>
          <w:szCs w:val="20"/>
          <w:color w:val="auto"/>
        </w:rPr>
      </w:pPr>
      <w:r>
        <w:rPr>
          <w:rFonts w:ascii="Arial" w:cs="Arial" w:eastAsia="Arial" w:hAnsi="Arial"/>
          <w:sz w:val="13"/>
          <w:szCs w:val="13"/>
          <w:color w:val="auto"/>
        </w:rPr>
        <w:t>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90" w:lineRule="exact"/>
        <w:rPr>
          <w:sz w:val="20"/>
          <w:szCs w:val="20"/>
          <w:color w:val="auto"/>
        </w:rPr>
      </w:pPr>
    </w:p>
    <w:p>
      <w:pPr>
        <w:ind w:left="1140" w:right="400" w:hanging="379"/>
        <w:spacing w:after="0" w:line="232" w:lineRule="auto"/>
        <w:tabs>
          <w:tab w:leader="none" w:pos="11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36" w:lineRule="exact"/>
        <w:rPr>
          <w:sz w:val="20"/>
          <w:szCs w:val="20"/>
          <w:color w:val="auto"/>
        </w:rPr>
      </w:pPr>
    </w:p>
    <w:p>
      <w:pPr>
        <w:ind w:right="100" w:firstLine="751"/>
        <w:spacing w:after="0" w:line="227" w:lineRule="auto"/>
        <w:rPr>
          <w:sz w:val="20"/>
          <w:szCs w:val="20"/>
          <w:color w:val="auto"/>
        </w:rPr>
      </w:pPr>
      <w:r>
        <w:rPr>
          <w:rFonts w:ascii="Arial" w:cs="Arial" w:eastAsia="Arial" w:hAnsi="Arial"/>
          <w:sz w:val="14"/>
          <w:szCs w:val="14"/>
          <w:color w:val="auto"/>
        </w:rPr>
        <w:t>The Company evaluated whether the Hercules First Amendment to the Loan Agreement entered into in October 2021 represented a debt modification or extinguishment of the Hercules 2020 Term Loan in accordance with ASC 470-50, Debt – Modifications and Extinguishments. As the present value of the cash flows under the terms of the First Amendment to the Hercules Agreement is less than 10% different from the remaining cash flows under the terms of the Hercules 2020 Term Loan, the amendment was accounted for as a debt modification. Since the borrowing capacity of the Hercules First Amendment to the Loan Agreement is greater than the borrowing capacity from the Hercules 2020 Term Loan, the unamortized balance of debt discount costs incurred in connection with those loans and additional debt discount costs incurred in connection with entry into the Hercules First Amendment to the Loan Agreement, are being amortized through maturity in October 2026 utilizing the effective interest rate method.</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Silicon Valley Bank</w:t>
      </w:r>
    </w:p>
    <w:p>
      <w:pPr>
        <w:spacing w:after="0" w:line="163" w:lineRule="exact"/>
        <w:rPr>
          <w:sz w:val="20"/>
          <w:szCs w:val="20"/>
          <w:color w:val="auto"/>
        </w:rPr>
      </w:pPr>
    </w:p>
    <w:p>
      <w:pPr>
        <w:ind w:right="160" w:firstLine="751"/>
        <w:spacing w:after="0" w:line="222" w:lineRule="auto"/>
        <w:rPr>
          <w:sz w:val="20"/>
          <w:szCs w:val="20"/>
          <w:color w:val="auto"/>
        </w:rPr>
      </w:pPr>
      <w:r>
        <w:rPr>
          <w:rFonts w:ascii="Arial" w:cs="Arial" w:eastAsia="Arial" w:hAnsi="Arial"/>
          <w:sz w:val="15"/>
          <w:szCs w:val="15"/>
          <w:color w:val="auto"/>
        </w:rPr>
        <w:t>In March 2019, the Company entered into a $24.0 million growth capital term loan facility (the “2019 Term Loan”) with Silicon Valley Bank, or SVB and West River Innovation Lending Fund VIII, L.P., or WestRiver. In September 2020, the Company used a portion of the 2020 Term Loan to terminate and repay all amounts outstanding under the 2019 Term Loan and recorded a loss on extinguishment of the 2019 Term Loan.</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Further information on warrants issued related to the debt financings and amendments are disclosed in Note 8 - Warrants.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Long-term debt and unamortized debt discount balances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jc w:val="right"/>
              <w:ind w:right="511"/>
              <w:spacing w:after="0"/>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jc w:val="right"/>
              <w:ind w:right="491"/>
              <w:spacing w:after="0"/>
              <w:rPr>
                <w:sz w:val="20"/>
                <w:szCs w:val="20"/>
                <w:color w:val="auto"/>
              </w:rPr>
            </w:pPr>
            <w:r>
              <w:rPr>
                <w:rFonts w:ascii="Arial" w:cs="Arial" w:eastAsia="Arial" w:hAnsi="Arial"/>
                <w:sz w:val="12"/>
                <w:szCs w:val="12"/>
                <w:b w:val="1"/>
                <w:bCs w:val="1"/>
                <w:color w:val="auto"/>
              </w:rPr>
              <w:t>December 31,</w:t>
            </w:r>
          </w:p>
        </w:tc>
      </w:tr>
      <w:tr>
        <w:trPr>
          <w:trHeight w:val="152"/>
        </w:trPr>
        <w:tc>
          <w:tcPr>
            <w:tcW w:w="7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2"/>
                <w:szCs w:val="12"/>
                <w:b w:val="1"/>
                <w:bCs w:val="1"/>
                <w:color w:val="auto"/>
              </w:rPr>
              <w:t>2020</w:t>
            </w:r>
          </w:p>
        </w:tc>
      </w:tr>
      <w:tr>
        <w:trPr>
          <w:trHeight w:val="159"/>
        </w:trPr>
        <w:tc>
          <w:tcPr>
            <w:tcW w:w="76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Outstanding principal amount</w:t>
            </w:r>
          </w:p>
        </w:tc>
        <w:tc>
          <w:tcPr>
            <w:tcW w:w="280" w:type="dxa"/>
            <w:vAlign w:val="bottom"/>
            <w:shd w:val="clear" w:color="auto" w:fill="CFF0FC"/>
          </w:tcPr>
          <w:p>
            <w:pPr>
              <w:jc w:val="right"/>
              <w:ind w:right="126"/>
              <w:spacing w:after="0" w:line="159" w:lineRule="exact"/>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51"/>
              <w:spacing w:after="0" w:line="159" w:lineRule="exact"/>
              <w:rPr>
                <w:sz w:val="20"/>
                <w:szCs w:val="20"/>
                <w:color w:val="auto"/>
              </w:rPr>
            </w:pPr>
            <w:r>
              <w:rPr>
                <w:rFonts w:ascii="Arial" w:cs="Arial" w:eastAsia="Arial" w:hAnsi="Arial"/>
                <w:sz w:val="15"/>
                <w:szCs w:val="15"/>
                <w:color w:val="auto"/>
              </w:rPr>
              <w:t>50,000,000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06"/>
              <w:spacing w:after="0" w:line="159" w:lineRule="exact"/>
              <w:rPr>
                <w:sz w:val="20"/>
                <w:szCs w:val="20"/>
                <w:color w:val="auto"/>
              </w:rPr>
            </w:pPr>
            <w:r>
              <w:rPr>
                <w:rFonts w:ascii="Arial" w:cs="Arial" w:eastAsia="Arial" w:hAnsi="Arial"/>
                <w:sz w:val="15"/>
                <w:szCs w:val="15"/>
                <w:color w:val="auto"/>
                <w:w w:val="95"/>
              </w:rPr>
              <w:t>$</w:t>
            </w:r>
          </w:p>
        </w:tc>
        <w:tc>
          <w:tcPr>
            <w:tcW w:w="1440" w:type="dxa"/>
            <w:vAlign w:val="bottom"/>
            <w:shd w:val="clear" w:color="auto" w:fill="CFF0FC"/>
          </w:tcPr>
          <w:p>
            <w:pPr>
              <w:jc w:val="right"/>
              <w:ind w:right="51"/>
              <w:spacing w:after="0" w:line="159" w:lineRule="exact"/>
              <w:rPr>
                <w:sz w:val="20"/>
                <w:szCs w:val="20"/>
                <w:color w:val="auto"/>
              </w:rPr>
            </w:pPr>
            <w:r>
              <w:rPr>
                <w:rFonts w:ascii="Arial" w:cs="Arial" w:eastAsia="Arial" w:hAnsi="Arial"/>
                <w:sz w:val="15"/>
                <w:szCs w:val="15"/>
                <w:color w:val="auto"/>
              </w:rPr>
              <w:t>50,000,000</w:t>
            </w:r>
          </w:p>
        </w:tc>
      </w:tr>
      <w:tr>
        <w:trPr>
          <w:trHeight w:val="168"/>
        </w:trPr>
        <w:tc>
          <w:tcPr>
            <w:tcW w:w="7660" w:type="dxa"/>
            <w:vAlign w:val="bottom"/>
          </w:tcPr>
          <w:p>
            <w:pPr>
              <w:ind w:left="160"/>
              <w:spacing w:after="0" w:line="168" w:lineRule="exact"/>
              <w:rPr>
                <w:sz w:val="20"/>
                <w:szCs w:val="20"/>
                <w:color w:val="auto"/>
              </w:rPr>
            </w:pPr>
            <w:r>
              <w:rPr>
                <w:rFonts w:ascii="Arial" w:cs="Arial" w:eastAsia="Arial" w:hAnsi="Arial"/>
                <w:sz w:val="15"/>
                <w:szCs w:val="15"/>
                <w:color w:val="auto"/>
              </w:rPr>
              <w:t>Add: accreted liability of final payment fee</w:t>
            </w:r>
          </w:p>
        </w:tc>
        <w:tc>
          <w:tcPr>
            <w:tcW w:w="280" w:type="dxa"/>
            <w:vAlign w:val="bottom"/>
          </w:tcPr>
          <w:p>
            <w:pPr>
              <w:spacing w:after="0"/>
              <w:rPr>
                <w:sz w:val="14"/>
                <w:szCs w:val="14"/>
                <w:color w:val="auto"/>
              </w:rPr>
            </w:pPr>
          </w:p>
        </w:tc>
        <w:tc>
          <w:tcPr>
            <w:tcW w:w="1460" w:type="dxa"/>
            <w:vAlign w:val="bottom"/>
          </w:tcPr>
          <w:p>
            <w:pPr>
              <w:jc w:val="right"/>
              <w:ind w:right="51"/>
              <w:spacing w:after="0" w:line="168" w:lineRule="exact"/>
              <w:rPr>
                <w:sz w:val="20"/>
                <w:szCs w:val="20"/>
                <w:color w:val="auto"/>
              </w:rPr>
            </w:pPr>
            <w:r>
              <w:rPr>
                <w:rFonts w:ascii="Arial" w:cs="Arial" w:eastAsia="Arial" w:hAnsi="Arial"/>
                <w:sz w:val="15"/>
                <w:szCs w:val="15"/>
                <w:color w:val="auto"/>
              </w:rPr>
              <w:t>706,407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ind w:right="51"/>
              <w:spacing w:after="0" w:line="168" w:lineRule="exact"/>
              <w:rPr>
                <w:sz w:val="20"/>
                <w:szCs w:val="20"/>
                <w:color w:val="auto"/>
              </w:rPr>
            </w:pPr>
            <w:r>
              <w:rPr>
                <w:rFonts w:ascii="Arial" w:cs="Arial" w:eastAsia="Arial" w:hAnsi="Arial"/>
                <w:sz w:val="15"/>
                <w:szCs w:val="15"/>
                <w:color w:val="auto"/>
              </w:rPr>
              <w:t>151,912</w:t>
            </w:r>
          </w:p>
        </w:tc>
      </w:tr>
      <w:tr>
        <w:trPr>
          <w:trHeight w:val="168"/>
        </w:trPr>
        <w:tc>
          <w:tcPr>
            <w:tcW w:w="766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Less: unamortized debt discount, long term</w:t>
            </w:r>
          </w:p>
        </w:tc>
        <w:tc>
          <w:tcPr>
            <w:tcW w:w="28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(1,616,885 )</w:t>
            </w:r>
          </w:p>
        </w:tc>
        <w:tc>
          <w:tcPr>
            <w:tcW w:w="16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(1,830,064 )</w:t>
            </w:r>
          </w:p>
        </w:tc>
      </w:tr>
      <w:tr>
        <w:trPr>
          <w:trHeight w:val="159"/>
        </w:trPr>
        <w:tc>
          <w:tcPr>
            <w:tcW w:w="7660" w:type="dxa"/>
            <w:vAlign w:val="bottom"/>
          </w:tcPr>
          <w:p>
            <w:pPr>
              <w:ind w:left="20"/>
              <w:spacing w:after="0" w:line="159" w:lineRule="exact"/>
              <w:rPr>
                <w:sz w:val="20"/>
                <w:szCs w:val="20"/>
                <w:color w:val="auto"/>
              </w:rPr>
            </w:pPr>
            <w:r>
              <w:rPr>
                <w:rFonts w:ascii="Arial" w:cs="Arial" w:eastAsia="Arial" w:hAnsi="Arial"/>
                <w:sz w:val="15"/>
                <w:szCs w:val="15"/>
                <w:color w:val="auto"/>
              </w:rPr>
              <w:t>Loan payable, long-term</w:t>
            </w:r>
          </w:p>
        </w:tc>
        <w:tc>
          <w:tcPr>
            <w:tcW w:w="280" w:type="dxa"/>
            <w:vAlign w:val="bottom"/>
            <w:tcBorders>
              <w:bottom w:val="single" w:sz="8" w:color="auto"/>
            </w:tcBorders>
          </w:tcPr>
          <w:p>
            <w:pPr>
              <w:jc w:val="right"/>
              <w:ind w:right="126"/>
              <w:spacing w:after="0" w:line="159" w:lineRule="exact"/>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51"/>
              <w:spacing w:after="0" w:line="159" w:lineRule="exact"/>
              <w:rPr>
                <w:sz w:val="20"/>
                <w:szCs w:val="20"/>
                <w:color w:val="auto"/>
              </w:rPr>
            </w:pPr>
            <w:r>
              <w:rPr>
                <w:rFonts w:ascii="Arial" w:cs="Arial" w:eastAsia="Arial" w:hAnsi="Arial"/>
                <w:sz w:val="15"/>
                <w:szCs w:val="15"/>
                <w:color w:val="auto"/>
              </w:rPr>
              <w:t>49,089,522</w:t>
            </w:r>
          </w:p>
        </w:tc>
        <w:tc>
          <w:tcPr>
            <w:tcW w:w="160" w:type="dxa"/>
            <w:vAlign w:val="bottom"/>
          </w:tcPr>
          <w:p>
            <w:pPr>
              <w:spacing w:after="0"/>
              <w:rPr>
                <w:sz w:val="13"/>
                <w:szCs w:val="13"/>
                <w:color w:val="auto"/>
              </w:rPr>
            </w:pPr>
          </w:p>
        </w:tc>
        <w:tc>
          <w:tcPr>
            <w:tcW w:w="280" w:type="dxa"/>
            <w:vAlign w:val="bottom"/>
            <w:tcBorders>
              <w:bottom w:val="single" w:sz="8" w:color="auto"/>
            </w:tcBorders>
          </w:tcPr>
          <w:p>
            <w:pPr>
              <w:jc w:val="right"/>
              <w:ind w:right="106"/>
              <w:spacing w:after="0" w:line="159" w:lineRule="exact"/>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ind w:right="51"/>
              <w:spacing w:after="0" w:line="159" w:lineRule="exact"/>
              <w:rPr>
                <w:sz w:val="20"/>
                <w:szCs w:val="20"/>
                <w:color w:val="auto"/>
              </w:rPr>
            </w:pPr>
            <w:r>
              <w:rPr>
                <w:rFonts w:ascii="Arial" w:cs="Arial" w:eastAsia="Arial" w:hAnsi="Arial"/>
                <w:sz w:val="15"/>
                <w:szCs w:val="15"/>
                <w:color w:val="auto"/>
              </w:rPr>
              <w:t>48,321,848</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firstLine="751"/>
        <w:spacing w:after="0" w:line="270" w:lineRule="auto"/>
        <w:rPr>
          <w:sz w:val="20"/>
          <w:szCs w:val="20"/>
          <w:color w:val="auto"/>
        </w:rPr>
      </w:pPr>
      <w:r>
        <w:rPr>
          <w:rFonts w:ascii="Arial" w:cs="Arial" w:eastAsia="Arial" w:hAnsi="Arial"/>
          <w:sz w:val="14"/>
          <w:szCs w:val="14"/>
          <w:color w:val="auto"/>
        </w:rPr>
        <w:t>The book value of debt approximates its fair value given its short-term maturity and variable interest rate. Interest expense was $4,616,597, $2,362,083, and $1,362,500 and amortization of the final payment was $554,493, $469,676, and $436,567 for the years ended December 31, 2021, 2020, and 2019, respectively. Amortization of the debt discount in relation to warrants and debt issuance costs was $522,522, $317,074, and $213,426 for the year ended December 31, 2021, 2020, and 2019,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60" w:type="dxa"/>
            <w:vAlign w:val="bottom"/>
          </w:tcPr>
          <w:p>
            <w:pPr>
              <w:ind w:left="760"/>
              <w:spacing w:after="0"/>
              <w:rPr>
                <w:sz w:val="20"/>
                <w:szCs w:val="20"/>
                <w:color w:val="auto"/>
              </w:rPr>
            </w:pPr>
            <w:r>
              <w:rPr>
                <w:rFonts w:ascii="Arial" w:cs="Arial" w:eastAsia="Arial" w:hAnsi="Arial"/>
                <w:sz w:val="15"/>
                <w:szCs w:val="15"/>
                <w:color w:val="auto"/>
              </w:rPr>
              <w:t>Scheduled Principal Payments on Outstanding Debt, as of December 31, 2021, are as follows:</w:t>
            </w: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1"/>
        </w:trPr>
        <w:tc>
          <w:tcPr>
            <w:tcW w:w="9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68"/>
        </w:trPr>
        <w:tc>
          <w:tcPr>
            <w:tcW w:w="92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2022</w:t>
            </w:r>
          </w:p>
        </w:tc>
        <w:tc>
          <w:tcPr>
            <w:tcW w:w="660" w:type="dxa"/>
            <w:vAlign w:val="bottom"/>
            <w:shd w:val="clear" w:color="auto" w:fill="CFF0FC"/>
          </w:tcPr>
          <w:p>
            <w:pPr>
              <w:jc w:val="right"/>
              <w:ind w:right="506"/>
              <w:spacing w:after="0" w:line="168" w:lineRule="exact"/>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w:t>
            </w:r>
          </w:p>
        </w:tc>
      </w:tr>
      <w:tr>
        <w:trPr>
          <w:trHeight w:val="168"/>
        </w:trPr>
        <w:tc>
          <w:tcPr>
            <w:tcW w:w="9260" w:type="dxa"/>
            <w:vAlign w:val="bottom"/>
          </w:tcPr>
          <w:p>
            <w:pPr>
              <w:ind w:left="20"/>
              <w:spacing w:after="0" w:line="168" w:lineRule="exact"/>
              <w:rPr>
                <w:sz w:val="20"/>
                <w:szCs w:val="20"/>
                <w:color w:val="auto"/>
              </w:rPr>
            </w:pPr>
            <w:r>
              <w:rPr>
                <w:rFonts w:ascii="Arial" w:cs="Arial" w:eastAsia="Arial" w:hAnsi="Arial"/>
                <w:sz w:val="15"/>
                <w:szCs w:val="15"/>
                <w:color w:val="auto"/>
              </w:rPr>
              <w:t>2023</w:t>
            </w:r>
          </w:p>
        </w:tc>
        <w:tc>
          <w:tcPr>
            <w:tcW w:w="660" w:type="dxa"/>
            <w:vAlign w:val="bottom"/>
          </w:tcPr>
          <w:p>
            <w:pPr>
              <w:spacing w:after="0"/>
              <w:rPr>
                <w:sz w:val="14"/>
                <w:szCs w:val="14"/>
                <w:color w:val="auto"/>
              </w:rPr>
            </w:pPr>
          </w:p>
        </w:tc>
        <w:tc>
          <w:tcPr>
            <w:tcW w:w="1360" w:type="dxa"/>
            <w:vAlign w:val="bottom"/>
          </w:tcPr>
          <w:p>
            <w:pPr>
              <w:jc w:val="right"/>
              <w:ind w:right="46"/>
              <w:spacing w:after="0" w:line="168" w:lineRule="exact"/>
              <w:rPr>
                <w:sz w:val="20"/>
                <w:szCs w:val="20"/>
                <w:color w:val="auto"/>
              </w:rPr>
            </w:pPr>
            <w:r>
              <w:rPr>
                <w:rFonts w:ascii="Arial" w:cs="Arial" w:eastAsia="Arial" w:hAnsi="Arial"/>
                <w:sz w:val="15"/>
                <w:szCs w:val="15"/>
                <w:color w:val="auto"/>
              </w:rPr>
              <w:t>—</w:t>
            </w:r>
          </w:p>
        </w:tc>
      </w:tr>
      <w:tr>
        <w:trPr>
          <w:trHeight w:val="168"/>
        </w:trPr>
        <w:tc>
          <w:tcPr>
            <w:tcW w:w="92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2024</w:t>
            </w:r>
          </w:p>
        </w:tc>
        <w:tc>
          <w:tcPr>
            <w:tcW w:w="660" w:type="dxa"/>
            <w:vAlign w:val="bottom"/>
            <w:shd w:val="clear" w:color="auto" w:fill="CFF0FC"/>
          </w:tcPr>
          <w:p>
            <w:pPr>
              <w:spacing w:after="0"/>
              <w:rPr>
                <w:sz w:val="14"/>
                <w:szCs w:val="14"/>
                <w:color w:val="auto"/>
              </w:rPr>
            </w:pPr>
          </w:p>
        </w:tc>
        <w:tc>
          <w:tcPr>
            <w:tcW w:w="136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w:t>
            </w:r>
          </w:p>
        </w:tc>
      </w:tr>
      <w:tr>
        <w:trPr>
          <w:trHeight w:val="168"/>
        </w:trPr>
        <w:tc>
          <w:tcPr>
            <w:tcW w:w="9260" w:type="dxa"/>
            <w:vAlign w:val="bottom"/>
          </w:tcPr>
          <w:p>
            <w:pPr>
              <w:ind w:left="20"/>
              <w:spacing w:after="0" w:line="168" w:lineRule="exact"/>
              <w:rPr>
                <w:sz w:val="20"/>
                <w:szCs w:val="20"/>
                <w:color w:val="auto"/>
              </w:rPr>
            </w:pPr>
            <w:r>
              <w:rPr>
                <w:rFonts w:ascii="Arial" w:cs="Arial" w:eastAsia="Arial" w:hAnsi="Arial"/>
                <w:sz w:val="15"/>
                <w:szCs w:val="15"/>
                <w:color w:val="auto"/>
              </w:rPr>
              <w:t>2025</w:t>
            </w:r>
          </w:p>
        </w:tc>
        <w:tc>
          <w:tcPr>
            <w:tcW w:w="660" w:type="dxa"/>
            <w:vAlign w:val="bottom"/>
          </w:tcPr>
          <w:p>
            <w:pPr>
              <w:spacing w:after="0"/>
              <w:rPr>
                <w:sz w:val="14"/>
                <w:szCs w:val="14"/>
                <w:color w:val="auto"/>
              </w:rPr>
            </w:pPr>
          </w:p>
        </w:tc>
        <w:tc>
          <w:tcPr>
            <w:tcW w:w="1360" w:type="dxa"/>
            <w:vAlign w:val="bottom"/>
          </w:tcPr>
          <w:p>
            <w:pPr>
              <w:jc w:val="right"/>
              <w:ind w:right="46"/>
              <w:spacing w:after="0" w:line="168" w:lineRule="exact"/>
              <w:rPr>
                <w:sz w:val="20"/>
                <w:szCs w:val="20"/>
                <w:color w:val="auto"/>
              </w:rPr>
            </w:pPr>
            <w:r>
              <w:rPr>
                <w:rFonts w:ascii="Arial" w:cs="Arial" w:eastAsia="Arial" w:hAnsi="Arial"/>
                <w:sz w:val="15"/>
                <w:szCs w:val="15"/>
                <w:color w:val="auto"/>
              </w:rPr>
              <w:t>8,026,818</w:t>
            </w:r>
          </w:p>
        </w:tc>
      </w:tr>
      <w:tr>
        <w:trPr>
          <w:trHeight w:val="168"/>
        </w:trPr>
        <w:tc>
          <w:tcPr>
            <w:tcW w:w="926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2026</w:t>
            </w:r>
          </w:p>
        </w:tc>
        <w:tc>
          <w:tcPr>
            <w:tcW w:w="6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41,973,182</w:t>
            </w:r>
          </w:p>
        </w:tc>
      </w:tr>
      <w:tr>
        <w:trPr>
          <w:trHeight w:val="159"/>
        </w:trPr>
        <w:tc>
          <w:tcPr>
            <w:tcW w:w="9260" w:type="dxa"/>
            <w:vAlign w:val="bottom"/>
          </w:tcPr>
          <w:p>
            <w:pPr>
              <w:ind w:left="20"/>
              <w:spacing w:after="0" w:line="159" w:lineRule="exact"/>
              <w:rPr>
                <w:sz w:val="20"/>
                <w:szCs w:val="20"/>
                <w:color w:val="auto"/>
              </w:rPr>
            </w:pPr>
            <w:r>
              <w:rPr>
                <w:rFonts w:ascii="Arial" w:cs="Arial" w:eastAsia="Arial" w:hAnsi="Arial"/>
                <w:sz w:val="15"/>
                <w:szCs w:val="15"/>
                <w:color w:val="auto"/>
              </w:rPr>
              <w:t>Total principal payments outstanding</w:t>
            </w:r>
          </w:p>
        </w:tc>
        <w:tc>
          <w:tcPr>
            <w:tcW w:w="660" w:type="dxa"/>
            <w:vAlign w:val="bottom"/>
            <w:tcBorders>
              <w:bottom w:val="single" w:sz="8" w:color="auto"/>
            </w:tcBorders>
          </w:tcPr>
          <w:p>
            <w:pPr>
              <w:jc w:val="right"/>
              <w:ind w:right="506"/>
              <w:spacing w:after="0" w:line="159" w:lineRule="exact"/>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46"/>
              <w:spacing w:after="0" w:line="159" w:lineRule="exact"/>
              <w:rPr>
                <w:sz w:val="20"/>
                <w:szCs w:val="20"/>
                <w:color w:val="auto"/>
              </w:rPr>
            </w:pPr>
            <w:r>
              <w:rPr>
                <w:rFonts w:ascii="Arial" w:cs="Arial" w:eastAsia="Arial" w:hAnsi="Arial"/>
                <w:sz w:val="15"/>
                <w:szCs w:val="15"/>
                <w:color w:val="auto"/>
              </w:rPr>
              <w:t>50,000,000</w:t>
            </w:r>
          </w:p>
        </w:tc>
      </w:tr>
      <w:tr>
        <w:trPr>
          <w:trHeight w:val="20"/>
        </w:trPr>
        <w:tc>
          <w:tcPr>
            <w:tcW w:w="9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Commitments and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Leases</w:t>
      </w:r>
    </w:p>
    <w:p>
      <w:pPr>
        <w:spacing w:after="0" w:line="178" w:lineRule="exact"/>
        <w:rPr>
          <w:sz w:val="20"/>
          <w:szCs w:val="20"/>
          <w:color w:val="auto"/>
        </w:rPr>
      </w:pPr>
    </w:p>
    <w:p>
      <w:pPr>
        <w:jc w:val="both"/>
        <w:ind w:right="20" w:firstLine="751"/>
        <w:spacing w:after="0" w:line="255" w:lineRule="auto"/>
        <w:rPr>
          <w:sz w:val="20"/>
          <w:szCs w:val="20"/>
          <w:color w:val="auto"/>
        </w:rPr>
      </w:pPr>
      <w:r>
        <w:rPr>
          <w:rFonts w:ascii="Arial" w:cs="Arial" w:eastAsia="Arial" w:hAnsi="Arial"/>
          <w:sz w:val="15"/>
          <w:szCs w:val="15"/>
          <w:color w:val="auto"/>
        </w:rPr>
        <w:t>Leases are accounted for under ASC Topic 842. The Company made an accounting policy election not to apply the recognition requirements to short-term leases. The Company recognizes the lease payments for short-term leases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7181215" cy="393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34" w:name="page135"/>
    <w:bookmarkEnd w:id="13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right="120"/>
        <w:spacing w:after="0" w:line="284" w:lineRule="auto"/>
        <w:rPr>
          <w:sz w:val="20"/>
          <w:szCs w:val="20"/>
          <w:color w:val="auto"/>
        </w:rPr>
      </w:pPr>
      <w:r>
        <w:rPr>
          <w:rFonts w:ascii="Arial" w:cs="Arial" w:eastAsia="Arial" w:hAnsi="Arial"/>
          <w:sz w:val="13"/>
          <w:szCs w:val="13"/>
          <w:color w:val="auto"/>
        </w:rPr>
        <w:t>the consolidated statements of operations and comprehensive loss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that the Company is reasonably certain to exercise. The Company’s lease terms may include options to extend or terminate the lease when it is reasonably certain that the Company will exercise that option. The Company has entered into a lease agreement for the Company’s principal executive offices located in New York, New York. The lease does not include any restrictions or covenants that had to be accounted for under the lease guidance.</w:t>
      </w:r>
    </w:p>
    <w:p>
      <w:pPr>
        <w:spacing w:after="0" w:line="132" w:lineRule="exact"/>
        <w:rPr>
          <w:sz w:val="20"/>
          <w:szCs w:val="20"/>
          <w:color w:val="auto"/>
        </w:rPr>
      </w:pPr>
    </w:p>
    <w:p>
      <w:pPr>
        <w:ind w:right="100" w:firstLine="751"/>
        <w:spacing w:after="0" w:line="223" w:lineRule="auto"/>
        <w:rPr>
          <w:sz w:val="20"/>
          <w:szCs w:val="20"/>
          <w:color w:val="auto"/>
        </w:rPr>
      </w:pPr>
      <w:r>
        <w:rPr>
          <w:rFonts w:ascii="Arial" w:cs="Arial" w:eastAsia="Arial" w:hAnsi="Arial"/>
          <w:sz w:val="15"/>
          <w:szCs w:val="15"/>
          <w:color w:val="auto"/>
        </w:rPr>
        <w:t>The Company entered into a lease for office space at 22 Cortlandt St, New York, NY consisting of the 16</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effective August 1, 2020. The term for this lease was to expire on July 31, 2021. At lease inception, the lease arrangement was deemed to be a short-term lease due to its term not exceeding one year, and as such was accounted for on a straight-line basis until December 2020.</w:t>
      </w:r>
    </w:p>
    <w:p>
      <w:pPr>
        <w:spacing w:after="0" w:line="158" w:lineRule="exact"/>
        <w:rPr>
          <w:sz w:val="20"/>
          <w:szCs w:val="20"/>
          <w:color w:val="auto"/>
        </w:rPr>
      </w:pPr>
    </w:p>
    <w:p>
      <w:pPr>
        <w:ind w:right="140" w:firstLine="751"/>
        <w:spacing w:after="0" w:line="255" w:lineRule="auto"/>
        <w:rPr>
          <w:sz w:val="20"/>
          <w:szCs w:val="20"/>
          <w:color w:val="auto"/>
        </w:rPr>
      </w:pPr>
      <w:r>
        <w:rPr>
          <w:rFonts w:ascii="Arial" w:cs="Arial" w:eastAsia="Arial" w:hAnsi="Arial"/>
          <w:sz w:val="15"/>
          <w:szCs w:val="15"/>
          <w:color w:val="auto"/>
        </w:rPr>
        <w:t>In December 2020, the Company modified the lease agreement and extended the lease through July 31, 2022. Due to the extension of term, the lease was no longer deemed to be a short-term lease, and thus the guidance per ASC Topic 842 was applied.</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5"/>
          <w:szCs w:val="15"/>
          <w:color w:val="auto"/>
        </w:rPr>
        <w:t>Rent expense incurred during the years ended December 31, 2021, 2020 and 2019 was $1,175,139, $870,275, and $485,548.</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summarizes the presentation of operating leases in the Company’s consolidated balance sheet: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660" w:type="dxa"/>
            <w:vAlign w:val="bottom"/>
          </w:tcPr>
          <w:p>
            <w:pPr>
              <w:spacing w:after="0"/>
              <w:rPr>
                <w:sz w:val="13"/>
                <w:szCs w:val="13"/>
                <w:color w:val="auto"/>
              </w:rPr>
            </w:pPr>
          </w:p>
        </w:tc>
        <w:tc>
          <w:tcPr>
            <w:tcW w:w="3440" w:type="dxa"/>
            <w:vAlign w:val="bottom"/>
            <w:tcBorders>
              <w:bottom w:val="single" w:sz="8" w:color="auto"/>
            </w:tcBorders>
          </w:tcPr>
          <w:p>
            <w:pPr>
              <w:ind w:left="1160"/>
              <w:spacing w:after="0"/>
              <w:rPr>
                <w:sz w:val="20"/>
                <w:szCs w:val="20"/>
                <w:color w:val="auto"/>
              </w:rPr>
            </w:pPr>
            <w:r>
              <w:rPr>
                <w:rFonts w:ascii="Arial" w:cs="Arial" w:eastAsia="Arial" w:hAnsi="Arial"/>
                <w:sz w:val="12"/>
                <w:szCs w:val="12"/>
                <w:b w:val="1"/>
                <w:bCs w:val="1"/>
                <w:color w:val="auto"/>
              </w:rPr>
              <w:t>Balance sheet location</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w w:val="93"/>
              </w:rPr>
              <w:t>As of December 31, 2021</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w w:val="91"/>
              </w:rPr>
              <w:t>As of December 31, 2020</w:t>
            </w:r>
          </w:p>
        </w:tc>
        <w:tc>
          <w:tcPr>
            <w:tcW w:w="260" w:type="dxa"/>
            <w:vAlign w:val="bottom"/>
          </w:tcPr>
          <w:p>
            <w:pPr>
              <w:spacing w:after="0"/>
              <w:rPr>
                <w:sz w:val="13"/>
                <w:szCs w:val="13"/>
                <w:color w:val="auto"/>
              </w:rPr>
            </w:pPr>
          </w:p>
        </w:tc>
      </w:tr>
      <w:tr>
        <w:trPr>
          <w:trHeight w:val="159"/>
        </w:trPr>
        <w:tc>
          <w:tcPr>
            <w:tcW w:w="36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i w:val="1"/>
                <w:iCs w:val="1"/>
                <w:color w:val="auto"/>
              </w:rPr>
              <w:t>Assets</w:t>
            </w:r>
          </w:p>
        </w:tc>
        <w:tc>
          <w:tcPr>
            <w:tcW w:w="3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r>
      <w:tr>
        <w:trPr>
          <w:trHeight w:val="168"/>
        </w:trPr>
        <w:tc>
          <w:tcPr>
            <w:tcW w:w="3660" w:type="dxa"/>
            <w:vAlign w:val="bottom"/>
          </w:tcPr>
          <w:p>
            <w:pPr>
              <w:ind w:left="160"/>
              <w:spacing w:after="0" w:line="168" w:lineRule="exact"/>
              <w:rPr>
                <w:sz w:val="20"/>
                <w:szCs w:val="20"/>
                <w:color w:val="auto"/>
              </w:rPr>
            </w:pPr>
            <w:r>
              <w:rPr>
                <w:rFonts w:ascii="Arial" w:cs="Arial" w:eastAsia="Arial" w:hAnsi="Arial"/>
                <w:sz w:val="15"/>
                <w:szCs w:val="15"/>
                <w:color w:val="auto"/>
              </w:rPr>
              <w:t>Right-of-use operating asset</w:t>
            </w:r>
          </w:p>
        </w:tc>
        <w:tc>
          <w:tcPr>
            <w:tcW w:w="3440" w:type="dxa"/>
            <w:vAlign w:val="bottom"/>
          </w:tcPr>
          <w:p>
            <w:pPr>
              <w:ind w:left="20"/>
              <w:spacing w:after="0" w:line="168" w:lineRule="exact"/>
              <w:rPr>
                <w:sz w:val="20"/>
                <w:szCs w:val="20"/>
                <w:color w:val="auto"/>
              </w:rPr>
            </w:pPr>
            <w:r>
              <w:rPr>
                <w:rFonts w:ascii="Arial" w:cs="Arial" w:eastAsia="Arial" w:hAnsi="Arial"/>
                <w:sz w:val="15"/>
                <w:szCs w:val="15"/>
                <w:color w:val="auto"/>
              </w:rPr>
              <w:t>Right-of-use asset - operating lease</w:t>
            </w:r>
          </w:p>
        </w:tc>
        <w:tc>
          <w:tcPr>
            <w:tcW w:w="360" w:type="dxa"/>
            <w:vAlign w:val="bottom"/>
            <w:gridSpan w:val="2"/>
          </w:tcPr>
          <w:p>
            <w:pPr>
              <w:jc w:val="right"/>
              <w:ind w:right="80"/>
              <w:spacing w:after="0" w:line="168" w:lineRule="exact"/>
              <w:rPr>
                <w:sz w:val="20"/>
                <w:szCs w:val="20"/>
                <w:color w:val="auto"/>
              </w:rPr>
            </w:pPr>
            <w:r>
              <w:rPr>
                <w:rFonts w:ascii="Arial" w:cs="Arial" w:eastAsia="Arial" w:hAnsi="Arial"/>
                <w:sz w:val="15"/>
                <w:szCs w:val="15"/>
                <w:color w:val="auto"/>
              </w:rPr>
              <w:t>$</w:t>
            </w:r>
          </w:p>
        </w:tc>
        <w:tc>
          <w:tcPr>
            <w:tcW w:w="1580" w:type="dxa"/>
            <w:vAlign w:val="bottom"/>
          </w:tcPr>
          <w:p>
            <w:pPr>
              <w:jc w:val="right"/>
              <w:spacing w:after="0" w:line="168" w:lineRule="exact"/>
              <w:rPr>
                <w:sz w:val="20"/>
                <w:szCs w:val="20"/>
                <w:color w:val="auto"/>
              </w:rPr>
            </w:pPr>
            <w:r>
              <w:rPr>
                <w:rFonts w:ascii="Arial" w:cs="Arial" w:eastAsia="Arial" w:hAnsi="Arial"/>
                <w:sz w:val="15"/>
                <w:szCs w:val="15"/>
                <w:color w:val="auto"/>
              </w:rPr>
              <w:t>660,162</w:t>
            </w:r>
          </w:p>
        </w:tc>
        <w:tc>
          <w:tcPr>
            <w:tcW w:w="420" w:type="dxa"/>
            <w:vAlign w:val="bottom"/>
            <w:gridSpan w:val="2"/>
          </w:tcPr>
          <w:p>
            <w:pPr>
              <w:jc w:val="right"/>
              <w:ind w:right="80"/>
              <w:spacing w:after="0" w:line="168" w:lineRule="exact"/>
              <w:rPr>
                <w:sz w:val="20"/>
                <w:szCs w:val="20"/>
                <w:color w:val="auto"/>
              </w:rPr>
            </w:pPr>
            <w:r>
              <w:rPr>
                <w:rFonts w:ascii="Arial" w:cs="Arial" w:eastAsia="Arial" w:hAnsi="Arial"/>
                <w:sz w:val="15"/>
                <w:szCs w:val="15"/>
                <w:color w:val="auto"/>
              </w:rPr>
              <w:t>$</w:t>
            </w:r>
          </w:p>
        </w:tc>
        <w:tc>
          <w:tcPr>
            <w:tcW w:w="1560" w:type="dxa"/>
            <w:vAlign w:val="bottom"/>
          </w:tcPr>
          <w:p>
            <w:pPr>
              <w:jc w:val="right"/>
              <w:spacing w:after="0" w:line="168" w:lineRule="exact"/>
              <w:rPr>
                <w:sz w:val="20"/>
                <w:szCs w:val="20"/>
                <w:color w:val="auto"/>
              </w:rPr>
            </w:pPr>
            <w:r>
              <w:rPr>
                <w:rFonts w:ascii="Arial" w:cs="Arial" w:eastAsia="Arial" w:hAnsi="Arial"/>
                <w:sz w:val="15"/>
                <w:szCs w:val="15"/>
                <w:color w:val="auto"/>
              </w:rPr>
              <w:t>1,739,475</w:t>
            </w:r>
          </w:p>
        </w:tc>
        <w:tc>
          <w:tcPr>
            <w:tcW w:w="260" w:type="dxa"/>
            <w:vAlign w:val="bottom"/>
          </w:tcPr>
          <w:p>
            <w:pPr>
              <w:spacing w:after="0"/>
              <w:rPr>
                <w:sz w:val="14"/>
                <w:szCs w:val="14"/>
                <w:color w:val="auto"/>
              </w:rPr>
            </w:pPr>
          </w:p>
        </w:tc>
      </w:tr>
      <w:tr>
        <w:trPr>
          <w:trHeight w:val="168"/>
        </w:trPr>
        <w:tc>
          <w:tcPr>
            <w:tcW w:w="36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i w:val="1"/>
                <w:iCs w:val="1"/>
                <w:color w:val="auto"/>
              </w:rPr>
              <w:t>Liabilities</w:t>
            </w:r>
          </w:p>
        </w:tc>
        <w:tc>
          <w:tcPr>
            <w:tcW w:w="34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r>
      <w:tr>
        <w:trPr>
          <w:trHeight w:val="168"/>
        </w:trPr>
        <w:tc>
          <w:tcPr>
            <w:tcW w:w="3660" w:type="dxa"/>
            <w:vAlign w:val="bottom"/>
          </w:tcPr>
          <w:p>
            <w:pPr>
              <w:ind w:left="160"/>
              <w:spacing w:after="0" w:line="168" w:lineRule="exact"/>
              <w:rPr>
                <w:sz w:val="20"/>
                <w:szCs w:val="20"/>
                <w:color w:val="auto"/>
              </w:rPr>
            </w:pPr>
            <w:r>
              <w:rPr>
                <w:rFonts w:ascii="Arial" w:cs="Arial" w:eastAsia="Arial" w:hAnsi="Arial"/>
                <w:sz w:val="15"/>
                <w:szCs w:val="15"/>
                <w:color w:val="auto"/>
              </w:rPr>
              <w:t>Current operating lease liabilities</w:t>
            </w:r>
          </w:p>
        </w:tc>
        <w:tc>
          <w:tcPr>
            <w:tcW w:w="3440" w:type="dxa"/>
            <w:vAlign w:val="bottom"/>
          </w:tcPr>
          <w:p>
            <w:pPr>
              <w:ind w:left="20"/>
              <w:spacing w:after="0" w:line="168" w:lineRule="exact"/>
              <w:rPr>
                <w:sz w:val="20"/>
                <w:szCs w:val="20"/>
                <w:color w:val="auto"/>
              </w:rPr>
            </w:pPr>
            <w:r>
              <w:rPr>
                <w:rFonts w:ascii="Arial" w:cs="Arial" w:eastAsia="Arial" w:hAnsi="Arial"/>
                <w:sz w:val="15"/>
                <w:szCs w:val="15"/>
                <w:color w:val="auto"/>
              </w:rPr>
              <w:t>Operating lease liability, current portion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Arial" w:cs="Arial" w:eastAsia="Arial" w:hAnsi="Arial"/>
                <w:sz w:val="15"/>
                <w:szCs w:val="15"/>
                <w:color w:val="auto"/>
              </w:rPr>
              <w:t>620,675</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right"/>
              <w:spacing w:after="0" w:line="168" w:lineRule="exact"/>
              <w:rPr>
                <w:sz w:val="20"/>
                <w:szCs w:val="20"/>
                <w:color w:val="auto"/>
              </w:rPr>
            </w:pPr>
            <w:r>
              <w:rPr>
                <w:rFonts w:ascii="Arial" w:cs="Arial" w:eastAsia="Arial" w:hAnsi="Arial"/>
                <w:sz w:val="15"/>
                <w:szCs w:val="15"/>
                <w:color w:val="auto"/>
              </w:rPr>
              <w:t>1,220,587</w:t>
            </w:r>
          </w:p>
        </w:tc>
        <w:tc>
          <w:tcPr>
            <w:tcW w:w="260" w:type="dxa"/>
            <w:vAlign w:val="bottom"/>
          </w:tcPr>
          <w:p>
            <w:pPr>
              <w:spacing w:after="0"/>
              <w:rPr>
                <w:sz w:val="14"/>
                <w:szCs w:val="14"/>
                <w:color w:val="auto"/>
              </w:rPr>
            </w:pPr>
          </w:p>
        </w:tc>
      </w:tr>
      <w:tr>
        <w:trPr>
          <w:trHeight w:val="168"/>
        </w:trPr>
        <w:tc>
          <w:tcPr>
            <w:tcW w:w="3660" w:type="dxa"/>
            <w:vAlign w:val="bottom"/>
            <w:tcBorders>
              <w:bottom w:val="single" w:sz="8" w:color="CFF0FC"/>
            </w:tcBorders>
            <w:shd w:val="clear" w:color="auto" w:fill="CFF0FC"/>
          </w:tcPr>
          <w:p>
            <w:pPr>
              <w:ind w:left="160"/>
              <w:spacing w:after="0" w:line="168" w:lineRule="exact"/>
              <w:rPr>
                <w:sz w:val="20"/>
                <w:szCs w:val="20"/>
                <w:color w:val="auto"/>
              </w:rPr>
            </w:pPr>
            <w:r>
              <w:rPr>
                <w:rFonts w:ascii="Arial" w:cs="Arial" w:eastAsia="Arial" w:hAnsi="Arial"/>
                <w:sz w:val="15"/>
                <w:szCs w:val="15"/>
                <w:color w:val="auto"/>
              </w:rPr>
              <w:t>Long-term operating lease liabilities</w:t>
            </w:r>
          </w:p>
        </w:tc>
        <w:tc>
          <w:tcPr>
            <w:tcW w:w="344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Operating lease liability, long-term</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581,708</w:t>
            </w:r>
          </w:p>
        </w:tc>
        <w:tc>
          <w:tcPr>
            <w:tcW w:w="260" w:type="dxa"/>
            <w:vAlign w:val="bottom"/>
            <w:tcBorders>
              <w:bottom w:val="single" w:sz="8" w:color="CFF0FC"/>
            </w:tcBorders>
            <w:shd w:val="clear" w:color="auto" w:fill="CFF0FC"/>
          </w:tcPr>
          <w:p>
            <w:pPr>
              <w:spacing w:after="0"/>
              <w:rPr>
                <w:sz w:val="14"/>
                <w:szCs w:val="14"/>
                <w:color w:val="auto"/>
              </w:rPr>
            </w:pPr>
          </w:p>
        </w:tc>
      </w:tr>
      <w:tr>
        <w:trPr>
          <w:trHeight w:val="159"/>
        </w:trPr>
        <w:tc>
          <w:tcPr>
            <w:tcW w:w="3660" w:type="dxa"/>
            <w:vAlign w:val="bottom"/>
          </w:tcPr>
          <w:p>
            <w:pPr>
              <w:ind w:left="20"/>
              <w:spacing w:after="0" w:line="159" w:lineRule="exact"/>
              <w:rPr>
                <w:sz w:val="20"/>
                <w:szCs w:val="20"/>
                <w:color w:val="auto"/>
              </w:rPr>
            </w:pPr>
            <w:r>
              <w:rPr>
                <w:rFonts w:ascii="Arial" w:cs="Arial" w:eastAsia="Arial" w:hAnsi="Arial"/>
                <w:sz w:val="15"/>
                <w:szCs w:val="15"/>
                <w:color w:val="auto"/>
              </w:rPr>
              <w:t>Total operating lease liabilities</w:t>
            </w:r>
          </w:p>
        </w:tc>
        <w:tc>
          <w:tcPr>
            <w:tcW w:w="3440" w:type="dxa"/>
            <w:vAlign w:val="bottom"/>
          </w:tcPr>
          <w:p>
            <w:pPr>
              <w:spacing w:after="0"/>
              <w:rPr>
                <w:sz w:val="13"/>
                <w:szCs w:val="13"/>
                <w:color w:val="auto"/>
              </w:rPr>
            </w:pPr>
          </w:p>
        </w:tc>
        <w:tc>
          <w:tcPr>
            <w:tcW w:w="360" w:type="dxa"/>
            <w:vAlign w:val="bottom"/>
            <w:gridSpan w:val="2"/>
          </w:tcPr>
          <w:p>
            <w:pPr>
              <w:jc w:val="right"/>
              <w:ind w:right="80"/>
              <w:spacing w:after="0" w:line="159" w:lineRule="exact"/>
              <w:rPr>
                <w:sz w:val="20"/>
                <w:szCs w:val="20"/>
                <w:color w:val="auto"/>
              </w:rPr>
            </w:pPr>
            <w:r>
              <w:rPr>
                <w:rFonts w:ascii="Arial" w:cs="Arial" w:eastAsia="Arial" w:hAnsi="Arial"/>
                <w:sz w:val="15"/>
                <w:szCs w:val="15"/>
                <w:color w:val="auto"/>
              </w:rPr>
              <w:t>$</w:t>
            </w:r>
          </w:p>
        </w:tc>
        <w:tc>
          <w:tcPr>
            <w:tcW w:w="1580" w:type="dxa"/>
            <w:vAlign w:val="bottom"/>
          </w:tcPr>
          <w:p>
            <w:pPr>
              <w:jc w:val="right"/>
              <w:spacing w:after="0" w:line="159" w:lineRule="exact"/>
              <w:rPr>
                <w:sz w:val="20"/>
                <w:szCs w:val="20"/>
                <w:color w:val="auto"/>
              </w:rPr>
            </w:pPr>
            <w:r>
              <w:rPr>
                <w:rFonts w:ascii="Arial" w:cs="Arial" w:eastAsia="Arial" w:hAnsi="Arial"/>
                <w:sz w:val="15"/>
                <w:szCs w:val="15"/>
                <w:color w:val="auto"/>
              </w:rPr>
              <w:t>620,675</w:t>
            </w:r>
          </w:p>
        </w:tc>
        <w:tc>
          <w:tcPr>
            <w:tcW w:w="420" w:type="dxa"/>
            <w:vAlign w:val="bottom"/>
            <w:gridSpan w:val="2"/>
          </w:tcPr>
          <w:p>
            <w:pPr>
              <w:jc w:val="right"/>
              <w:ind w:right="80"/>
              <w:spacing w:after="0" w:line="159" w:lineRule="exact"/>
              <w:rPr>
                <w:sz w:val="20"/>
                <w:szCs w:val="20"/>
                <w:color w:val="auto"/>
              </w:rPr>
            </w:pPr>
            <w:r>
              <w:rPr>
                <w:rFonts w:ascii="Arial" w:cs="Arial" w:eastAsia="Arial" w:hAnsi="Arial"/>
                <w:sz w:val="15"/>
                <w:szCs w:val="15"/>
                <w:color w:val="auto"/>
              </w:rPr>
              <w:t>$</w:t>
            </w:r>
          </w:p>
        </w:tc>
        <w:tc>
          <w:tcPr>
            <w:tcW w:w="1560" w:type="dxa"/>
            <w:vAlign w:val="bottom"/>
          </w:tcPr>
          <w:p>
            <w:pPr>
              <w:jc w:val="right"/>
              <w:spacing w:after="0" w:line="159" w:lineRule="exact"/>
              <w:rPr>
                <w:sz w:val="20"/>
                <w:szCs w:val="20"/>
                <w:color w:val="auto"/>
              </w:rPr>
            </w:pPr>
            <w:r>
              <w:rPr>
                <w:rFonts w:ascii="Arial" w:cs="Arial" w:eastAsia="Arial" w:hAnsi="Arial"/>
                <w:sz w:val="15"/>
                <w:szCs w:val="15"/>
                <w:color w:val="auto"/>
              </w:rPr>
              <w:t>1,802,295</w:t>
            </w:r>
          </w:p>
        </w:tc>
        <w:tc>
          <w:tcPr>
            <w:tcW w:w="260" w:type="dxa"/>
            <w:vAlign w:val="bottom"/>
          </w:tcPr>
          <w:p>
            <w:pPr>
              <w:spacing w:after="0"/>
              <w:rPr>
                <w:sz w:val="13"/>
                <w:szCs w:val="13"/>
                <w:color w:val="auto"/>
              </w:rPr>
            </w:pPr>
          </w:p>
        </w:tc>
      </w:tr>
      <w:tr>
        <w:trPr>
          <w:trHeight w:val="20"/>
        </w:trPr>
        <w:tc>
          <w:tcPr>
            <w:tcW w:w="36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5736590</wp:posOffset>
            </wp:positionH>
            <wp:positionV relativeFrom="paragraph">
              <wp:posOffset>-131445</wp:posOffset>
            </wp:positionV>
            <wp:extent cx="42545" cy="4763"/>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2545" cy="4763"/>
                    </a:xfrm>
                    <a:prstGeom prst="rect">
                      <a:avLst/>
                    </a:prstGeom>
                    <a:noFill/>
                  </pic:spPr>
                </pic:pic>
              </a:graphicData>
            </a:graphic>
          </wp:anchor>
        </w:drawing>
        <w:drawing>
          <wp:anchor simplePos="0" relativeHeight="251657728" behindDoc="1" locked="0" layoutInCell="0" allowOverlap="1">
            <wp:simplePos x="0" y="0"/>
            <wp:positionH relativeFrom="column">
              <wp:posOffset>6998970</wp:posOffset>
            </wp:positionH>
            <wp:positionV relativeFrom="paragraph">
              <wp:posOffset>-131445</wp:posOffset>
            </wp:positionV>
            <wp:extent cx="42545" cy="4763"/>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2545" cy="4763"/>
                    </a:xfrm>
                    <a:prstGeom prst="rect">
                      <a:avLst/>
                    </a:prstGeom>
                    <a:noFill/>
                  </pic:spPr>
                </pic:pic>
              </a:graphicData>
            </a:graphic>
          </wp:anchor>
        </w:drawing>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For the year ended December 31, 2021, the Company noted the following lease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right"/>
              <w:ind w:right="453"/>
              <w:spacing w:after="0"/>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433"/>
              <w:spacing w:after="0"/>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73"/>
              <w:spacing w:after="0"/>
              <w:rPr>
                <w:sz w:val="20"/>
                <w:szCs w:val="20"/>
                <w:color w:val="auto"/>
              </w:rPr>
            </w:pPr>
            <w:r>
              <w:rPr>
                <w:rFonts w:ascii="Arial" w:cs="Arial" w:eastAsia="Arial" w:hAnsi="Arial"/>
                <w:sz w:val="12"/>
                <w:szCs w:val="12"/>
                <w:b w:val="1"/>
                <w:bCs w:val="1"/>
                <w:color w:val="auto"/>
                <w:w w:val="90"/>
              </w:rPr>
              <w:t>Year Ended</w:t>
            </w:r>
          </w:p>
        </w:tc>
        <w:tc>
          <w:tcPr>
            <w:tcW w:w="160" w:type="dxa"/>
            <w:vAlign w:val="bottom"/>
          </w:tcPr>
          <w:p>
            <w:pPr>
              <w:spacing w:after="0"/>
              <w:rPr>
                <w:sz w:val="12"/>
                <w:szCs w:val="12"/>
                <w:color w:val="auto"/>
              </w:rPr>
            </w:pPr>
          </w:p>
        </w:tc>
      </w:tr>
      <w:tr>
        <w:trPr>
          <w:trHeight w:val="152"/>
        </w:trPr>
        <w:tc>
          <w:tcPr>
            <w:tcW w:w="3100" w:type="dxa"/>
            <w:vAlign w:val="bottom"/>
          </w:tcPr>
          <w:p>
            <w:pPr>
              <w:spacing w:after="0"/>
              <w:rPr>
                <w:sz w:val="13"/>
                <w:szCs w:val="13"/>
                <w:color w:val="auto"/>
              </w:rPr>
            </w:pPr>
          </w:p>
        </w:tc>
        <w:tc>
          <w:tcPr>
            <w:tcW w:w="2920" w:type="dxa"/>
            <w:vAlign w:val="bottom"/>
            <w:tcBorders>
              <w:bottom w:val="single" w:sz="8" w:color="auto"/>
            </w:tcBorders>
          </w:tcPr>
          <w:p>
            <w:pPr>
              <w:ind w:left="600"/>
              <w:spacing w:after="0"/>
              <w:rPr>
                <w:sz w:val="20"/>
                <w:szCs w:val="20"/>
                <w:color w:val="auto"/>
              </w:rPr>
            </w:pPr>
            <w:r>
              <w:rPr>
                <w:rFonts w:ascii="Arial" w:cs="Arial" w:eastAsia="Arial" w:hAnsi="Arial"/>
                <w:sz w:val="12"/>
                <w:szCs w:val="12"/>
                <w:b w:val="1"/>
                <w:bCs w:val="1"/>
                <w:color w:val="auto"/>
              </w:rPr>
              <w:t>Statement of Operations Location</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73"/>
              <w:spacing w:after="0"/>
              <w:rPr>
                <w:sz w:val="20"/>
                <w:szCs w:val="20"/>
                <w:color w:val="auto"/>
              </w:rPr>
            </w:pPr>
            <w:r>
              <w:rPr>
                <w:rFonts w:ascii="Arial" w:cs="Arial" w:eastAsia="Arial" w:hAnsi="Arial"/>
                <w:sz w:val="12"/>
                <w:szCs w:val="12"/>
                <w:b w:val="1"/>
                <w:bCs w:val="1"/>
                <w:color w:val="auto"/>
                <w:w w:val="94"/>
              </w:rPr>
              <w:t>December 31, 2021</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2"/>
                <w:szCs w:val="12"/>
                <w:b w:val="1"/>
                <w:bCs w:val="1"/>
                <w:color w:val="auto"/>
                <w:w w:val="94"/>
              </w:rPr>
              <w:t>December 31, 2020</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73"/>
              <w:spacing w:after="0"/>
              <w:rPr>
                <w:sz w:val="20"/>
                <w:szCs w:val="20"/>
                <w:color w:val="auto"/>
              </w:rPr>
            </w:pPr>
            <w:r>
              <w:rPr>
                <w:rFonts w:ascii="Arial" w:cs="Arial" w:eastAsia="Arial" w:hAnsi="Arial"/>
                <w:sz w:val="12"/>
                <w:szCs w:val="12"/>
                <w:b w:val="1"/>
                <w:bCs w:val="1"/>
                <w:color w:val="auto"/>
                <w:w w:val="88"/>
              </w:rPr>
              <w:t>December 31, 2019</w:t>
            </w:r>
          </w:p>
        </w:tc>
        <w:tc>
          <w:tcPr>
            <w:tcW w:w="160" w:type="dxa"/>
            <w:vAlign w:val="bottom"/>
          </w:tcPr>
          <w:p>
            <w:pPr>
              <w:spacing w:after="0"/>
              <w:rPr>
                <w:sz w:val="13"/>
                <w:szCs w:val="13"/>
                <w:color w:val="auto"/>
              </w:rPr>
            </w:pPr>
          </w:p>
        </w:tc>
      </w:tr>
      <w:tr>
        <w:trPr>
          <w:trHeight w:val="159"/>
        </w:trPr>
        <w:tc>
          <w:tcPr>
            <w:tcW w:w="310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Operating lease expense</w:t>
            </w:r>
          </w:p>
        </w:tc>
        <w:tc>
          <w:tcPr>
            <w:tcW w:w="2920" w:type="dxa"/>
            <w:vAlign w:val="bottom"/>
            <w:tcBorders>
              <w:bottom w:val="single" w:sz="8" w:color="CFF0FC"/>
            </w:tcBorders>
            <w:shd w:val="clear" w:color="auto" w:fill="CFF0FC"/>
          </w:tcPr>
          <w:p>
            <w:pPr>
              <w:spacing w:after="0" w:line="159" w:lineRule="exact"/>
              <w:rPr>
                <w:sz w:val="20"/>
                <w:szCs w:val="20"/>
                <w:color w:val="auto"/>
              </w:rPr>
            </w:pPr>
            <w:r>
              <w:rPr>
                <w:rFonts w:ascii="Arial" w:cs="Arial" w:eastAsia="Arial" w:hAnsi="Arial"/>
                <w:sz w:val="15"/>
                <w:szCs w:val="15"/>
                <w:color w:val="auto"/>
              </w:rPr>
              <w:t>General and administrative</w:t>
            </w:r>
          </w:p>
        </w:tc>
        <w:tc>
          <w:tcPr>
            <w:tcW w:w="1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
              <w:spacing w:after="0" w:line="159" w:lineRule="exact"/>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FF0FC"/>
          </w:tcPr>
          <w:p>
            <w:pPr>
              <w:jc w:val="right"/>
              <w:ind w:right="13"/>
              <w:spacing w:after="0" w:line="159" w:lineRule="exact"/>
              <w:rPr>
                <w:sz w:val="20"/>
                <w:szCs w:val="20"/>
                <w:color w:val="auto"/>
              </w:rPr>
            </w:pPr>
            <w:r>
              <w:rPr>
                <w:rFonts w:ascii="Arial" w:cs="Arial" w:eastAsia="Arial" w:hAnsi="Arial"/>
                <w:sz w:val="15"/>
                <w:szCs w:val="15"/>
                <w:color w:val="auto"/>
              </w:rPr>
              <w:t>1,147,692</w:t>
            </w:r>
          </w:p>
        </w:tc>
        <w:tc>
          <w:tcPr>
            <w:tcW w:w="16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
              <w:spacing w:after="0" w:line="159" w:lineRule="exact"/>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FF0FC"/>
          </w:tcPr>
          <w:p>
            <w:pPr>
              <w:jc w:val="right"/>
              <w:ind w:right="13"/>
              <w:spacing w:after="0" w:line="159" w:lineRule="exact"/>
              <w:rPr>
                <w:sz w:val="20"/>
                <w:szCs w:val="20"/>
                <w:color w:val="auto"/>
              </w:rPr>
            </w:pPr>
            <w:r>
              <w:rPr>
                <w:rFonts w:ascii="Arial" w:cs="Arial" w:eastAsia="Arial" w:hAnsi="Arial"/>
                <w:sz w:val="15"/>
                <w:szCs w:val="15"/>
                <w:color w:val="auto"/>
              </w:rPr>
              <w:t>47,821</w:t>
            </w:r>
          </w:p>
        </w:tc>
        <w:tc>
          <w:tcPr>
            <w:tcW w:w="1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6"/>
              <w:spacing w:after="0" w:line="159" w:lineRule="exact"/>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ind w:left="1140"/>
              <w:spacing w:after="0" w:line="159"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spacing w:after="0"/>
              <w:rPr>
                <w:sz w:val="13"/>
                <w:szCs w:val="13"/>
                <w:color w:val="auto"/>
              </w:rPr>
            </w:pPr>
          </w:p>
        </w:tc>
      </w:tr>
      <w:tr>
        <w:trPr>
          <w:trHeight w:val="159"/>
        </w:trPr>
        <w:tc>
          <w:tcPr>
            <w:tcW w:w="3100" w:type="dxa"/>
            <w:vAlign w:val="bottom"/>
          </w:tcPr>
          <w:p>
            <w:pPr>
              <w:ind w:left="20"/>
              <w:spacing w:after="0" w:line="159" w:lineRule="exact"/>
              <w:rPr>
                <w:sz w:val="20"/>
                <w:szCs w:val="20"/>
                <w:color w:val="auto"/>
              </w:rPr>
            </w:pPr>
            <w:r>
              <w:rPr>
                <w:rFonts w:ascii="Arial" w:cs="Arial" w:eastAsia="Arial" w:hAnsi="Arial"/>
                <w:sz w:val="15"/>
                <w:szCs w:val="15"/>
                <w:color w:val="auto"/>
              </w:rPr>
              <w:t>Total operating lease expense</w:t>
            </w:r>
          </w:p>
        </w:tc>
        <w:tc>
          <w:tcPr>
            <w:tcW w:w="2920" w:type="dxa"/>
            <w:vAlign w:val="bottom"/>
          </w:tcPr>
          <w:p>
            <w:pPr>
              <w:spacing w:after="0"/>
              <w:rPr>
                <w:sz w:val="13"/>
                <w:szCs w:val="13"/>
                <w:color w:val="auto"/>
              </w:rPr>
            </w:pPr>
          </w:p>
        </w:tc>
        <w:tc>
          <w:tcPr>
            <w:tcW w:w="340" w:type="dxa"/>
            <w:vAlign w:val="bottom"/>
            <w:gridSpan w:val="2"/>
          </w:tcPr>
          <w:p>
            <w:pPr>
              <w:jc w:val="right"/>
              <w:ind w:right="6"/>
              <w:spacing w:after="0" w:line="159" w:lineRule="exact"/>
              <w:rPr>
                <w:sz w:val="20"/>
                <w:szCs w:val="20"/>
                <w:color w:val="auto"/>
              </w:rPr>
            </w:pPr>
            <w:r>
              <w:rPr>
                <w:rFonts w:ascii="Arial" w:cs="Arial" w:eastAsia="Arial" w:hAnsi="Arial"/>
                <w:sz w:val="15"/>
                <w:szCs w:val="15"/>
                <w:color w:val="auto"/>
              </w:rPr>
              <w:t>$</w:t>
            </w:r>
          </w:p>
        </w:tc>
        <w:tc>
          <w:tcPr>
            <w:tcW w:w="1380" w:type="dxa"/>
            <w:vAlign w:val="bottom"/>
          </w:tcPr>
          <w:p>
            <w:pPr>
              <w:jc w:val="right"/>
              <w:ind w:right="13"/>
              <w:spacing w:after="0" w:line="159" w:lineRule="exact"/>
              <w:rPr>
                <w:sz w:val="20"/>
                <w:szCs w:val="20"/>
                <w:color w:val="auto"/>
              </w:rPr>
            </w:pPr>
            <w:r>
              <w:rPr>
                <w:rFonts w:ascii="Arial" w:cs="Arial" w:eastAsia="Arial" w:hAnsi="Arial"/>
                <w:sz w:val="15"/>
                <w:szCs w:val="15"/>
                <w:color w:val="auto"/>
              </w:rPr>
              <w:t>1,147,692</w:t>
            </w:r>
          </w:p>
        </w:tc>
        <w:tc>
          <w:tcPr>
            <w:tcW w:w="340" w:type="dxa"/>
            <w:vAlign w:val="bottom"/>
            <w:gridSpan w:val="2"/>
          </w:tcPr>
          <w:p>
            <w:pPr>
              <w:jc w:val="right"/>
              <w:ind w:right="6"/>
              <w:spacing w:after="0" w:line="159" w:lineRule="exact"/>
              <w:rPr>
                <w:sz w:val="20"/>
                <w:szCs w:val="20"/>
                <w:color w:val="auto"/>
              </w:rPr>
            </w:pPr>
            <w:r>
              <w:rPr>
                <w:rFonts w:ascii="Arial" w:cs="Arial" w:eastAsia="Arial" w:hAnsi="Arial"/>
                <w:sz w:val="15"/>
                <w:szCs w:val="15"/>
                <w:color w:val="auto"/>
              </w:rPr>
              <w:t>$</w:t>
            </w:r>
          </w:p>
        </w:tc>
        <w:tc>
          <w:tcPr>
            <w:tcW w:w="1360" w:type="dxa"/>
            <w:vAlign w:val="bottom"/>
          </w:tcPr>
          <w:p>
            <w:pPr>
              <w:jc w:val="right"/>
              <w:ind w:right="13"/>
              <w:spacing w:after="0" w:line="159" w:lineRule="exact"/>
              <w:rPr>
                <w:sz w:val="20"/>
                <w:szCs w:val="20"/>
                <w:color w:val="auto"/>
              </w:rPr>
            </w:pPr>
            <w:r>
              <w:rPr>
                <w:rFonts w:ascii="Arial" w:cs="Arial" w:eastAsia="Arial" w:hAnsi="Arial"/>
                <w:sz w:val="15"/>
                <w:szCs w:val="15"/>
                <w:color w:val="auto"/>
              </w:rPr>
              <w:t>47,821</w:t>
            </w:r>
          </w:p>
        </w:tc>
        <w:tc>
          <w:tcPr>
            <w:tcW w:w="320" w:type="dxa"/>
            <w:vAlign w:val="bottom"/>
            <w:gridSpan w:val="2"/>
          </w:tcPr>
          <w:p>
            <w:pPr>
              <w:jc w:val="right"/>
              <w:ind w:right="6"/>
              <w:spacing w:after="0" w:line="159" w:lineRule="exact"/>
              <w:rPr>
                <w:sz w:val="20"/>
                <w:szCs w:val="20"/>
                <w:color w:val="auto"/>
              </w:rPr>
            </w:pPr>
            <w:r>
              <w:rPr>
                <w:rFonts w:ascii="Arial" w:cs="Arial" w:eastAsia="Arial" w:hAnsi="Arial"/>
                <w:sz w:val="15"/>
                <w:szCs w:val="15"/>
                <w:color w:val="auto"/>
              </w:rPr>
              <w:t>$</w:t>
            </w:r>
          </w:p>
        </w:tc>
        <w:tc>
          <w:tcPr>
            <w:tcW w:w="1360" w:type="dxa"/>
            <w:vAlign w:val="bottom"/>
          </w:tcPr>
          <w:p>
            <w:pPr>
              <w:ind w:left="1140"/>
              <w:spacing w:after="0" w:line="159"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r>
      <w:tr>
        <w:trPr>
          <w:trHeight w:val="20"/>
        </w:trPr>
        <w:tc>
          <w:tcPr>
            <w:tcW w:w="3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4920615</wp:posOffset>
            </wp:positionH>
            <wp:positionV relativeFrom="paragraph">
              <wp:posOffset>-131445</wp:posOffset>
            </wp:positionV>
            <wp:extent cx="99060" cy="4763"/>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9060" cy="4763"/>
                    </a:xfrm>
                    <a:prstGeom prst="rect">
                      <a:avLst/>
                    </a:prstGeom>
                    <a:noFill/>
                  </pic:spPr>
                </pic:pic>
              </a:graphicData>
            </a:graphic>
          </wp:anchor>
        </w:drawing>
        <w:drawing>
          <wp:anchor simplePos="0" relativeHeight="251657728" behindDoc="1" locked="0" layoutInCell="0" allowOverlap="1">
            <wp:simplePos x="0" y="0"/>
            <wp:positionH relativeFrom="column">
              <wp:posOffset>5991860</wp:posOffset>
            </wp:positionH>
            <wp:positionV relativeFrom="paragraph">
              <wp:posOffset>-131445</wp:posOffset>
            </wp:positionV>
            <wp:extent cx="99060" cy="4763"/>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9060" cy="4763"/>
                    </a:xfrm>
                    <a:prstGeom prst="rect">
                      <a:avLst/>
                    </a:prstGeom>
                    <a:noFill/>
                  </pic:spPr>
                </pic:pic>
              </a:graphicData>
            </a:graphic>
          </wp:anchor>
        </w:drawing>
        <w:drawing>
          <wp:anchor simplePos="0" relativeHeight="251657728" behindDoc="1" locked="0" layoutInCell="0" allowOverlap="1">
            <wp:simplePos x="0" y="0"/>
            <wp:positionH relativeFrom="column">
              <wp:posOffset>7062470</wp:posOffset>
            </wp:positionH>
            <wp:positionV relativeFrom="paragraph">
              <wp:posOffset>-131445</wp:posOffset>
            </wp:positionV>
            <wp:extent cx="99060" cy="4763"/>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9060" cy="4763"/>
                    </a:xfrm>
                    <a:prstGeom prst="rect">
                      <a:avLst/>
                    </a:prstGeom>
                    <a:noFill/>
                  </pic:spPr>
                </pic:pic>
              </a:graphicData>
            </a:graphic>
          </wp:anchor>
        </w:drawing>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Future minimum lease payments of our operating leases as of December 31, 2021,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Years Ending December 31,</w:t>
            </w:r>
          </w:p>
        </w:tc>
        <w:tc>
          <w:tcPr>
            <w:tcW w:w="4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9"/>
        </w:trPr>
        <w:tc>
          <w:tcPr>
            <w:tcW w:w="404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2022</w:t>
            </w:r>
          </w:p>
        </w:tc>
        <w:tc>
          <w:tcPr>
            <w:tcW w:w="4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80" w:type="dxa"/>
            <w:vAlign w:val="bottom"/>
            <w:shd w:val="clear" w:color="auto" w:fill="CFF0FC"/>
          </w:tcPr>
          <w:p>
            <w:pPr>
              <w:jc w:val="right"/>
              <w:ind w:right="46"/>
              <w:spacing w:after="0" w:line="159" w:lineRule="exact"/>
              <w:rPr>
                <w:sz w:val="20"/>
                <w:szCs w:val="20"/>
                <w:color w:val="auto"/>
              </w:rPr>
            </w:pPr>
            <w:r>
              <w:rPr>
                <w:rFonts w:ascii="Arial" w:cs="Arial" w:eastAsia="Arial" w:hAnsi="Arial"/>
                <w:sz w:val="15"/>
                <w:szCs w:val="15"/>
                <w:color w:val="auto"/>
              </w:rPr>
              <w:t>630,000</w:t>
            </w:r>
          </w:p>
        </w:tc>
      </w:tr>
      <w:tr>
        <w:trPr>
          <w:trHeight w:val="168"/>
        </w:trPr>
        <w:tc>
          <w:tcPr>
            <w:tcW w:w="4040" w:type="dxa"/>
            <w:vAlign w:val="bottom"/>
          </w:tcPr>
          <w:p>
            <w:pPr>
              <w:ind w:left="20"/>
              <w:spacing w:after="0" w:line="168" w:lineRule="exact"/>
              <w:rPr>
                <w:sz w:val="20"/>
                <w:szCs w:val="20"/>
                <w:color w:val="auto"/>
              </w:rPr>
            </w:pPr>
            <w:r>
              <w:rPr>
                <w:rFonts w:ascii="Arial" w:cs="Arial" w:eastAsia="Arial" w:hAnsi="Arial"/>
                <w:sz w:val="15"/>
                <w:szCs w:val="15"/>
                <w:color w:val="auto"/>
              </w:rPr>
              <w:t>2023</w:t>
            </w: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right"/>
              <w:ind w:right="46"/>
              <w:spacing w:after="0" w:line="168" w:lineRule="exact"/>
              <w:rPr>
                <w:sz w:val="20"/>
                <w:szCs w:val="20"/>
                <w:color w:val="auto"/>
              </w:rPr>
            </w:pPr>
            <w:r>
              <w:rPr>
                <w:rFonts w:ascii="Arial" w:cs="Arial" w:eastAsia="Arial" w:hAnsi="Arial"/>
                <w:sz w:val="15"/>
                <w:szCs w:val="15"/>
                <w:color w:val="auto"/>
              </w:rPr>
              <w:t>—</w:t>
            </w:r>
          </w:p>
        </w:tc>
      </w:tr>
      <w:tr>
        <w:trPr>
          <w:trHeight w:val="168"/>
        </w:trPr>
        <w:tc>
          <w:tcPr>
            <w:tcW w:w="404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2024</w:t>
            </w:r>
          </w:p>
        </w:tc>
        <w:tc>
          <w:tcPr>
            <w:tcW w:w="4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w:t>
            </w:r>
          </w:p>
        </w:tc>
      </w:tr>
      <w:tr>
        <w:trPr>
          <w:trHeight w:val="168"/>
        </w:trPr>
        <w:tc>
          <w:tcPr>
            <w:tcW w:w="4040" w:type="dxa"/>
            <w:vAlign w:val="bottom"/>
          </w:tcPr>
          <w:p>
            <w:pPr>
              <w:ind w:left="20"/>
              <w:spacing w:after="0" w:line="168" w:lineRule="exact"/>
              <w:rPr>
                <w:sz w:val="20"/>
                <w:szCs w:val="20"/>
                <w:color w:val="auto"/>
              </w:rPr>
            </w:pPr>
            <w:r>
              <w:rPr>
                <w:rFonts w:ascii="Arial" w:cs="Arial" w:eastAsia="Arial" w:hAnsi="Arial"/>
                <w:sz w:val="15"/>
                <w:szCs w:val="15"/>
                <w:color w:val="auto"/>
              </w:rPr>
              <w:t>2025</w:t>
            </w: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right"/>
              <w:ind w:right="46"/>
              <w:spacing w:after="0" w:line="168" w:lineRule="exact"/>
              <w:rPr>
                <w:sz w:val="20"/>
                <w:szCs w:val="20"/>
                <w:color w:val="auto"/>
              </w:rPr>
            </w:pPr>
            <w:r>
              <w:rPr>
                <w:rFonts w:ascii="Arial" w:cs="Arial" w:eastAsia="Arial" w:hAnsi="Arial"/>
                <w:sz w:val="15"/>
                <w:szCs w:val="15"/>
                <w:color w:val="auto"/>
              </w:rPr>
              <w:t>—</w:t>
            </w:r>
          </w:p>
        </w:tc>
      </w:tr>
      <w:tr>
        <w:trPr>
          <w:trHeight w:val="168"/>
        </w:trPr>
        <w:tc>
          <w:tcPr>
            <w:tcW w:w="404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Thereafter</w:t>
            </w:r>
          </w:p>
        </w:tc>
        <w:tc>
          <w:tcPr>
            <w:tcW w:w="49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w:t>
            </w:r>
          </w:p>
        </w:tc>
      </w:tr>
      <w:tr>
        <w:trPr>
          <w:trHeight w:val="159"/>
        </w:trPr>
        <w:tc>
          <w:tcPr>
            <w:tcW w:w="4040" w:type="dxa"/>
            <w:vAlign w:val="bottom"/>
          </w:tcPr>
          <w:p>
            <w:pPr>
              <w:ind w:left="100"/>
              <w:spacing w:after="0" w:line="159" w:lineRule="exact"/>
              <w:rPr>
                <w:sz w:val="20"/>
                <w:szCs w:val="20"/>
                <w:color w:val="auto"/>
              </w:rPr>
            </w:pPr>
            <w:r>
              <w:rPr>
                <w:rFonts w:ascii="Arial" w:cs="Arial" w:eastAsia="Arial" w:hAnsi="Arial"/>
                <w:sz w:val="15"/>
                <w:szCs w:val="15"/>
                <w:color w:val="auto"/>
              </w:rPr>
              <w:t>Total lease payments</w:t>
            </w:r>
          </w:p>
        </w:tc>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tcPr>
          <w:p>
            <w:pPr>
              <w:jc w:val="right"/>
              <w:ind w:right="46"/>
              <w:spacing w:after="0" w:line="159" w:lineRule="exact"/>
              <w:rPr>
                <w:sz w:val="20"/>
                <w:szCs w:val="20"/>
                <w:color w:val="auto"/>
              </w:rPr>
            </w:pPr>
            <w:r>
              <w:rPr>
                <w:rFonts w:ascii="Arial" w:cs="Arial" w:eastAsia="Arial" w:hAnsi="Arial"/>
                <w:sz w:val="15"/>
                <w:szCs w:val="15"/>
                <w:color w:val="auto"/>
              </w:rPr>
              <w:t>630,000</w:t>
            </w:r>
          </w:p>
        </w:tc>
      </w:tr>
      <w:tr>
        <w:trPr>
          <w:trHeight w:val="168"/>
        </w:trPr>
        <w:tc>
          <w:tcPr>
            <w:tcW w:w="404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Less imputed interest</w:t>
            </w:r>
          </w:p>
        </w:tc>
        <w:tc>
          <w:tcPr>
            <w:tcW w:w="49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(9,325 )</w:t>
            </w:r>
          </w:p>
        </w:tc>
      </w:tr>
      <w:tr>
        <w:trPr>
          <w:trHeight w:val="159"/>
        </w:trPr>
        <w:tc>
          <w:tcPr>
            <w:tcW w:w="4040" w:type="dxa"/>
            <w:vAlign w:val="bottom"/>
          </w:tcPr>
          <w:p>
            <w:pPr>
              <w:ind w:left="100"/>
              <w:spacing w:after="0" w:line="159" w:lineRule="exact"/>
              <w:rPr>
                <w:sz w:val="20"/>
                <w:szCs w:val="20"/>
                <w:color w:val="auto"/>
              </w:rPr>
            </w:pPr>
            <w:r>
              <w:rPr>
                <w:rFonts w:ascii="Arial" w:cs="Arial" w:eastAsia="Arial" w:hAnsi="Arial"/>
                <w:sz w:val="15"/>
                <w:szCs w:val="15"/>
                <w:color w:val="auto"/>
              </w:rPr>
              <w:t>Present value of operating lease liabilities</w:t>
            </w:r>
          </w:p>
        </w:tc>
        <w:tc>
          <w:tcPr>
            <w:tcW w:w="5200" w:type="dxa"/>
            <w:vAlign w:val="bottom"/>
            <w:gridSpan w:val="2"/>
          </w:tcPr>
          <w:p>
            <w:pPr>
              <w:spacing w:after="0"/>
              <w:rPr>
                <w:sz w:val="13"/>
                <w:szCs w:val="13"/>
                <w:color w:val="auto"/>
              </w:rPr>
            </w:pPr>
          </w:p>
        </w:tc>
        <w:tc>
          <w:tcPr>
            <w:tcW w:w="760" w:type="dxa"/>
            <w:vAlign w:val="bottom"/>
            <w:tcBorders>
              <w:bottom w:val="single" w:sz="8" w:color="auto"/>
            </w:tcBorders>
          </w:tcPr>
          <w:p>
            <w:pPr>
              <w:jc w:val="right"/>
              <w:ind w:right="606"/>
              <w:spacing w:after="0" w:line="159"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46"/>
              <w:spacing w:after="0" w:line="159" w:lineRule="exact"/>
              <w:rPr>
                <w:sz w:val="20"/>
                <w:szCs w:val="20"/>
                <w:color w:val="auto"/>
              </w:rPr>
            </w:pPr>
            <w:r>
              <w:rPr>
                <w:rFonts w:ascii="Arial" w:cs="Arial" w:eastAsia="Arial" w:hAnsi="Arial"/>
                <w:sz w:val="15"/>
                <w:szCs w:val="15"/>
                <w:color w:val="auto"/>
              </w:rPr>
              <w:t>620,675</w:t>
            </w:r>
          </w:p>
        </w:tc>
      </w:tr>
      <w:tr>
        <w:trPr>
          <w:trHeight w:val="20"/>
        </w:trPr>
        <w:tc>
          <w:tcPr>
            <w:tcW w:w="4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98"/>
        </w:trPr>
        <w:tc>
          <w:tcPr>
            <w:tcW w:w="4040" w:type="dxa"/>
            <w:vAlign w:val="bottom"/>
          </w:tcPr>
          <w:p>
            <w:pPr>
              <w:spacing w:after="0"/>
              <w:rPr>
                <w:sz w:val="24"/>
                <w:szCs w:val="24"/>
                <w:color w:val="auto"/>
              </w:rPr>
            </w:pPr>
          </w:p>
        </w:tc>
        <w:tc>
          <w:tcPr>
            <w:tcW w:w="5960" w:type="dxa"/>
            <w:vAlign w:val="bottom"/>
            <w:gridSpan w:val="3"/>
          </w:tcPr>
          <w:p>
            <w:pPr>
              <w:jc w:val="right"/>
              <w:ind w:right="4146"/>
              <w:spacing w:after="0"/>
              <w:rPr>
                <w:sz w:val="20"/>
                <w:szCs w:val="20"/>
                <w:color w:val="auto"/>
              </w:rPr>
            </w:pPr>
            <w:r>
              <w:rPr>
                <w:rFonts w:ascii="Arial" w:cs="Arial" w:eastAsia="Arial" w:hAnsi="Arial"/>
                <w:sz w:val="15"/>
                <w:szCs w:val="15"/>
                <w:color w:val="auto"/>
              </w:rPr>
              <w:t>F-20</w:t>
            </w:r>
          </w:p>
        </w:tc>
        <w:tc>
          <w:tcPr>
            <w:tcW w:w="1280" w:type="dxa"/>
            <w:vAlign w:val="bottom"/>
          </w:tcPr>
          <w:p>
            <w:pPr>
              <w:spacing w:after="0"/>
              <w:rPr>
                <w:sz w:val="24"/>
                <w:szCs w:val="24"/>
                <w:color w:val="auto"/>
              </w:rPr>
            </w:pPr>
          </w:p>
        </w:tc>
      </w:tr>
      <w:tr>
        <w:trPr>
          <w:trHeight w:val="70"/>
        </w:trPr>
        <w:tc>
          <w:tcPr>
            <w:tcW w:w="4040" w:type="dxa"/>
            <w:vAlign w:val="bottom"/>
            <w:tcBorders>
              <w:bottom w:val="single" w:sz="8" w:color="9A9A9A"/>
            </w:tcBorders>
          </w:tcPr>
          <w:p>
            <w:pPr>
              <w:spacing w:after="0"/>
              <w:rPr>
                <w:sz w:val="6"/>
                <w:szCs w:val="6"/>
                <w:color w:val="auto"/>
              </w:rPr>
            </w:pPr>
          </w:p>
        </w:tc>
        <w:tc>
          <w:tcPr>
            <w:tcW w:w="49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35" w:name="page136"/>
    <w:bookmarkEnd w:id="135"/>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jc w:val="both"/>
        <w:ind w:right="140" w:firstLine="751"/>
        <w:spacing w:after="0" w:line="300" w:lineRule="auto"/>
        <w:rPr>
          <w:sz w:val="20"/>
          <w:szCs w:val="20"/>
          <w:color w:val="auto"/>
        </w:rPr>
      </w:pPr>
      <w:r>
        <w:rPr>
          <w:rFonts w:ascii="Arial" w:cs="Arial" w:eastAsia="Arial" w:hAnsi="Arial"/>
          <w:sz w:val="13"/>
          <w:szCs w:val="13"/>
          <w:color w:val="auto"/>
        </w:rPr>
        <w:t>As of December 31, 2021, the remaining lease term for our operating lease was 0.6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Stockholders’ Equity</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 Structure</w:t>
      </w:r>
    </w:p>
    <w:p>
      <w:pPr>
        <w:spacing w:after="0" w:line="178" w:lineRule="exact"/>
        <w:rPr>
          <w:sz w:val="20"/>
          <w:szCs w:val="20"/>
          <w:color w:val="auto"/>
        </w:rPr>
      </w:pPr>
    </w:p>
    <w:p>
      <w:pPr>
        <w:ind w:right="120" w:firstLine="751"/>
        <w:spacing w:after="0"/>
        <w:rPr>
          <w:sz w:val="20"/>
          <w:szCs w:val="20"/>
          <w:color w:val="auto"/>
        </w:rPr>
      </w:pPr>
      <w:r>
        <w:rPr>
          <w:rFonts w:ascii="Arial" w:cs="Arial" w:eastAsia="Arial" w:hAnsi="Arial"/>
          <w:sz w:val="15"/>
          <w:szCs w:val="15"/>
          <w:color w:val="auto"/>
        </w:rPr>
        <w:t>In October 2017, the Company entered into the Sales Agreement with SVB Leerink, pursuant to which the Company may sell up to $30 million in shares of its common stock from time to time through SVB Leerink, acting as its sales agent, in one or more at-the-market offerings. In January 2019, the Company raised approximately $25.8 million in gross proceeds through the sale of 3,164,015 shares under the Sales Agreement. Upon completion of this final sale, the Sales Agreement was automatically terminated, SVB Leerink received a commission of 3.0% of the gross proceeds for all shares sold under the Sales Agreement.</w:t>
      </w:r>
    </w:p>
    <w:p>
      <w:pPr>
        <w:spacing w:after="0" w:line="159" w:lineRule="exact"/>
        <w:rPr>
          <w:sz w:val="20"/>
          <w:szCs w:val="20"/>
          <w:color w:val="auto"/>
        </w:rPr>
      </w:pPr>
    </w:p>
    <w:p>
      <w:pPr>
        <w:ind w:firstLine="751"/>
        <w:spacing w:after="0" w:line="279" w:lineRule="auto"/>
        <w:rPr>
          <w:sz w:val="20"/>
          <w:szCs w:val="20"/>
          <w:color w:val="auto"/>
        </w:rPr>
      </w:pPr>
      <w:r>
        <w:rPr>
          <w:rFonts w:ascii="Arial" w:cs="Arial" w:eastAsia="Arial" w:hAnsi="Arial"/>
          <w:sz w:val="13"/>
          <w:szCs w:val="13"/>
          <w:color w:val="auto"/>
        </w:rPr>
        <w:t>In December 2017, the Company completed the Registered Direct Offering, whereby it sold an aggregate of $9.5 million worth of units (“Units”) at a purchase price of $5.325 per Unit with each Unit consisting of (i) one share of 86.5the Company’s common stock, and (ii) a Common Warrant at an exercise price equal to $5.25 per share. The Company sold an aggregate of 1,783,587 Units for gross proceeds of approximately $9.5 million and net proceeds of approximately $8.8 million, net of underwriting discounts and offering expenses. Additionally, the Company issued 107,015 Placement Agent Warrants. The Company incurred issuance costs associated with the Units offering of $745,856, which included $81,000 related to issuance of 107,015 Placement Agent Warrants, of which, $583,768 was allocated to the common stock sold and was recorded as a reduction to equity. The remaining amount was allocated to the Common Warrants and was expensed. The Placement Agent Warrants have the same terms as the Common Warrants, except for the exercise price of $6.6562 per share. The Common Warrants priced at $5.25, and Placement Agent Warrants priced at $6.6562 utilized the 2016 Shelf Registration Statement for a total of $9.4 million and $712,313.</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3"/>
          <w:szCs w:val="13"/>
          <w:color w:val="auto"/>
        </w:rPr>
        <w:t>On September 27, 2018, the Company entered into a purchase agreement with certain institutional and accredited investors (collectively, the “RDO Investors”) for the sale by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the Company directly to the RDO Investors of an aggregate of 2,966,667 shares of the Company’s common stock, at a purchase price of $3.00 per share (the “2018 Registered Direct</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Offering”), for gross proceeds of approximately $8.9 million. The 2018 Registered Direct Offering closed on October 1, 2018, and the Company received net proceeds of approximately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$8.8 million, after deducting transaction expenses. The 2,966,667 shares of common stock sold in the 2018 Registered Direct Offering were offered and sold by the Company directly to the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RDO Investors, without a placement agent, underwriter, broker or dealer, pursuant to a prospectus supplement to the 2016 Shelf Registration Statement.</w:t>
      </w:r>
    </w:p>
    <w:p>
      <w:pPr>
        <w:spacing w:after="0" w:line="162" w:lineRule="exact"/>
        <w:rPr>
          <w:sz w:val="20"/>
          <w:szCs w:val="20"/>
          <w:color w:val="auto"/>
        </w:rPr>
      </w:pPr>
    </w:p>
    <w:p>
      <w:pPr>
        <w:ind w:right="260" w:firstLine="751"/>
        <w:spacing w:after="0" w:line="238" w:lineRule="auto"/>
        <w:rPr>
          <w:sz w:val="20"/>
          <w:szCs w:val="20"/>
          <w:color w:val="auto"/>
        </w:rPr>
      </w:pPr>
      <w:r>
        <w:rPr>
          <w:rFonts w:ascii="Arial" w:cs="Arial" w:eastAsia="Arial" w:hAnsi="Arial"/>
          <w:sz w:val="15"/>
          <w:szCs w:val="15"/>
          <w:color w:val="auto"/>
        </w:rPr>
        <w:t>In May 2019, the Company entered into the May 2019 Sales Agreement with SVB Leerink, pursuant to which the Company may sell up to $50 million in shares of the Company’s common stock from time to time through SVB Leerink, acting as the Company’s sales agent, in one or more at-the-market offerings utilizing the 2016 Shelf Registration Statement. SVB Leerink is entitled to receive a commission of 3.0% of the gross proceeds for any shares sold under the May 2019 Sales Agreement. Due to expiration of the 2016 Shelf Registration Statement, at the Company’s option, the shares that were unsold of approximately $29.9 million under the May 2019 Sales Agreement, may be rolled over to the December 2019 Sales Agreement (see below).</w:t>
      </w:r>
    </w:p>
    <w:p>
      <w:pPr>
        <w:spacing w:after="0" w:line="161" w:lineRule="exact"/>
        <w:rPr>
          <w:sz w:val="20"/>
          <w:szCs w:val="20"/>
          <w:color w:val="auto"/>
        </w:rPr>
      </w:pPr>
    </w:p>
    <w:p>
      <w:pPr>
        <w:ind w:right="40" w:firstLine="751"/>
        <w:spacing w:after="0" w:line="284" w:lineRule="auto"/>
        <w:rPr>
          <w:sz w:val="20"/>
          <w:szCs w:val="20"/>
          <w:color w:val="auto"/>
        </w:rPr>
      </w:pPr>
      <w:r>
        <w:rPr>
          <w:rFonts w:ascii="Arial" w:cs="Arial" w:eastAsia="Arial" w:hAnsi="Arial"/>
          <w:sz w:val="13"/>
          <w:szCs w:val="13"/>
          <w:color w:val="auto"/>
        </w:rPr>
        <w:t>In December 2019, the Company entered into the December 2019 Sales Agreement with SVB Leerink,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For the year ended December 31, 2021, the Company received approximately $7.4 million in gross proceeds through the sale of 110,296 shares, of which net proceeds were approximately $7.2 million. For the year ended December 31, 2020, the Company received approximately $14.6 million in gross proceeds through the sale of 167,243 shares, of which net proceeds were approximately $14.1 million.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60"/>
          </w:cols>
          <w:pgMar w:left="300" w:top="124" w:right="339" w:bottom="1440" w:gutter="0" w:footer="0" w:header="0"/>
        </w:sectPr>
      </w:pPr>
    </w:p>
    <w:bookmarkStart w:id="136" w:name="page137"/>
    <w:bookmarkEnd w:id="136"/>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jc w:val="both"/>
        <w:ind w:right="220" w:firstLine="751"/>
        <w:spacing w:after="0" w:line="244" w:lineRule="auto"/>
        <w:rPr>
          <w:sz w:val="20"/>
          <w:szCs w:val="20"/>
          <w:color w:val="auto"/>
        </w:rPr>
      </w:pPr>
      <w:r>
        <w:rPr>
          <w:rFonts w:ascii="Arial" w:cs="Arial" w:eastAsia="Arial" w:hAnsi="Arial"/>
          <w:sz w:val="15"/>
          <w:szCs w:val="15"/>
          <w:color w:val="auto"/>
        </w:rPr>
        <w:t>In December 2019, the Company completed an underwritten public offering, whereby the Company sold 2,300,000 shares of our common stock at a public offering price of $87.00 per share. The Company received gross proceeds of approximately $200.1 million and net proceeds of approximately $187.1 million, net of underwriting discounts and offering expenses.</w:t>
      </w:r>
    </w:p>
    <w:p>
      <w:pPr>
        <w:spacing w:after="0" w:line="155" w:lineRule="exact"/>
        <w:rPr>
          <w:sz w:val="20"/>
          <w:szCs w:val="20"/>
          <w:color w:val="auto"/>
        </w:rPr>
      </w:pPr>
    </w:p>
    <w:p>
      <w:pPr>
        <w:ind w:right="20" w:firstLine="751"/>
        <w:spacing w:after="0" w:line="255" w:lineRule="auto"/>
        <w:rPr>
          <w:sz w:val="20"/>
          <w:szCs w:val="20"/>
          <w:color w:val="auto"/>
        </w:rPr>
      </w:pPr>
      <w:r>
        <w:rPr>
          <w:rFonts w:ascii="Arial" w:cs="Arial" w:eastAsia="Arial" w:hAnsi="Arial"/>
          <w:sz w:val="15"/>
          <w:szCs w:val="15"/>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Shelf Registration Statement</w:t>
      </w:r>
    </w:p>
    <w:p>
      <w:pPr>
        <w:spacing w:after="0" w:line="178" w:lineRule="exact"/>
        <w:rPr>
          <w:sz w:val="20"/>
          <w:szCs w:val="20"/>
          <w:color w:val="auto"/>
        </w:rPr>
      </w:pPr>
    </w:p>
    <w:p>
      <w:pPr>
        <w:ind w:right="60" w:firstLine="751"/>
        <w:spacing w:after="0" w:line="270" w:lineRule="auto"/>
        <w:rPr>
          <w:sz w:val="20"/>
          <w:szCs w:val="20"/>
          <w:color w:val="auto"/>
        </w:rPr>
      </w:pPr>
      <w:r>
        <w:rPr>
          <w:rFonts w:ascii="Arial" w:cs="Arial" w:eastAsia="Arial" w:hAnsi="Arial"/>
          <w:sz w:val="14"/>
          <w:szCs w:val="14"/>
          <w:color w:val="auto"/>
        </w:rPr>
        <w:t>On December 5, 2019, the Company filed an automatic shelf registration statement (“2019 Shelf Registration”)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issued common stock of approximately $229.3 million pursuant to such shelf registration statement.</w:t>
      </w:r>
    </w:p>
    <w:p>
      <w:pPr>
        <w:spacing w:after="0" w:line="138" w:lineRule="exact"/>
        <w:rPr>
          <w:sz w:val="20"/>
          <w:szCs w:val="20"/>
          <w:color w:val="auto"/>
        </w:rPr>
      </w:pPr>
    </w:p>
    <w:p>
      <w:pPr>
        <w:ind w:right="80" w:firstLine="751"/>
        <w:spacing w:after="0" w:line="300" w:lineRule="auto"/>
        <w:rPr>
          <w:sz w:val="20"/>
          <w:szCs w:val="20"/>
          <w:color w:val="auto"/>
        </w:rPr>
      </w:pPr>
      <w:r>
        <w:rPr>
          <w:rFonts w:ascii="Arial" w:cs="Arial" w:eastAsia="Arial" w:hAnsi="Arial"/>
          <w:sz w:val="13"/>
          <w:szCs w:val="13"/>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Incentive Plans</w:t>
      </w:r>
    </w:p>
    <w:p>
      <w:pPr>
        <w:spacing w:after="0" w:line="178" w:lineRule="exact"/>
        <w:rPr>
          <w:sz w:val="20"/>
          <w:szCs w:val="20"/>
          <w:color w:val="auto"/>
        </w:rPr>
      </w:pPr>
    </w:p>
    <w:p>
      <w:pPr>
        <w:ind w:right="60" w:firstLine="751"/>
        <w:spacing w:after="0" w:line="238" w:lineRule="auto"/>
        <w:rPr>
          <w:sz w:val="20"/>
          <w:szCs w:val="20"/>
          <w:color w:val="auto"/>
        </w:rPr>
      </w:pPr>
      <w:r>
        <w:rPr>
          <w:rFonts w:ascii="Arial" w:cs="Arial" w:eastAsia="Arial" w:hAnsi="Arial"/>
          <w:sz w:val="15"/>
          <w:szCs w:val="15"/>
          <w:color w:val="auto"/>
        </w:rPr>
        <w:t>The Company had granted stock options under its 2013 Equity Compensation Plan (the “2013 Plan”), which was adopted for employees and consultants for the purpose of advancing the interests of the Company's stockholders by enhancing its ability to attract, retain and motivate persons who are expected to make important contributions to the Company. In November 2015, the 2015 Omnibus Incentive Compensation Plan (the “2015 Plan”) was adopted by the Company’s stockholders. The 2015 Plan is the successor to the Company's 2013 Plan. In conjunction with the adoption of the 2015 Plan, no additional grants were made from the 2013 Plan and options from the 2013 Plan remain outstanding. As of December 31, 2021, there were 3,760,760 shares available for future grant under the 2015 Plan.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Modification and Cancellation of Stock Awards</w:t>
      </w:r>
    </w:p>
    <w:p>
      <w:pPr>
        <w:spacing w:after="0" w:line="178" w:lineRule="exact"/>
        <w:rPr>
          <w:sz w:val="20"/>
          <w:szCs w:val="20"/>
          <w:color w:val="auto"/>
        </w:rPr>
      </w:pPr>
    </w:p>
    <w:p>
      <w:pPr>
        <w:ind w:right="60" w:firstLine="751"/>
        <w:spacing w:after="0" w:line="244" w:lineRule="auto"/>
        <w:rPr>
          <w:sz w:val="20"/>
          <w:szCs w:val="20"/>
          <w:color w:val="auto"/>
        </w:rPr>
      </w:pPr>
      <w:r>
        <w:rPr>
          <w:rFonts w:ascii="Arial" w:cs="Arial" w:eastAsia="Arial" w:hAnsi="Arial"/>
          <w:sz w:val="15"/>
          <w:szCs w:val="15"/>
          <w:color w:val="auto"/>
        </w:rPr>
        <w:t>In June 2020, in connection with the decision not to stand for re-election by a member of the Company’s Board of Director’s, the vesting of stock options covering 21,666 shares of common stock was accelerated. As a result of this modification, the Company recorded incremental stock-based compensation expense of approximately $1.3 million for the year ended December 31, 2020.</w:t>
      </w:r>
    </w:p>
    <w:p>
      <w:pPr>
        <w:spacing w:after="0" w:line="155" w:lineRule="exact"/>
        <w:rPr>
          <w:sz w:val="20"/>
          <w:szCs w:val="20"/>
          <w:color w:val="auto"/>
        </w:rPr>
      </w:pPr>
    </w:p>
    <w:p>
      <w:pPr>
        <w:ind w:firstLine="751"/>
        <w:spacing w:after="0"/>
        <w:rPr>
          <w:sz w:val="20"/>
          <w:szCs w:val="20"/>
          <w:color w:val="auto"/>
        </w:rPr>
      </w:pPr>
      <w:r>
        <w:rPr>
          <w:rFonts w:ascii="Arial" w:cs="Arial" w:eastAsia="Arial" w:hAnsi="Arial"/>
          <w:sz w:val="15"/>
          <w:szCs w:val="15"/>
          <w:color w:val="auto"/>
        </w:rPr>
        <w:t>In November 2020, certain employee Stock Options and Restricted Stock Units were cancelled. Stock options to purchase an aggregate of 38,267 shares of common stock were cancelled, and the Company recognized non-cash stock-based compensation expense of $2.1 million related to this cancellation for the year ended December 31, 2020. Restricted Stock Units for an aggregate of 11,735 shares of common stock were cancelled, and the Company recognized non-cash stock-based compensation expense of $0.5 million related to this cancellation for the year ended December 31, 2020.</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37" w:name="page138"/>
    <w:bookmarkEnd w:id="13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summarizes stock option activity as of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6"/>
              <w:spacing w:after="0"/>
              <w:rPr>
                <w:sz w:val="20"/>
                <w:szCs w:val="20"/>
                <w:color w:val="auto"/>
              </w:rPr>
            </w:pPr>
            <w:r>
              <w:rPr>
                <w:rFonts w:ascii="Arial" w:cs="Arial" w:eastAsia="Arial" w:hAnsi="Arial"/>
                <w:sz w:val="12"/>
                <w:szCs w:val="12"/>
                <w:b w:val="1"/>
                <w:bCs w:val="1"/>
                <w:color w:val="auto"/>
                <w:w w:val="88"/>
              </w:rPr>
              <w:t>Weighted</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5"/>
        </w:trPr>
        <w:tc>
          <w:tcPr>
            <w:tcW w:w="58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33"/>
              <w:spacing w:after="0"/>
              <w:rPr>
                <w:sz w:val="20"/>
                <w:szCs w:val="20"/>
                <w:color w:val="auto"/>
              </w:rPr>
            </w:pPr>
            <w:r>
              <w:rPr>
                <w:rFonts w:ascii="Arial" w:cs="Arial" w:eastAsia="Arial" w:hAnsi="Arial"/>
                <w:sz w:val="12"/>
                <w:szCs w:val="12"/>
                <w:b w:val="1"/>
                <w:bCs w:val="1"/>
                <w:color w:val="auto"/>
                <w:w w:val="88"/>
              </w:rPr>
              <w:t>Weighted</w:t>
            </w:r>
          </w:p>
        </w:tc>
        <w:tc>
          <w:tcPr>
            <w:tcW w:w="120" w:type="dxa"/>
            <w:vAlign w:val="bottom"/>
          </w:tcPr>
          <w:p>
            <w:pPr>
              <w:spacing w:after="0"/>
              <w:rPr>
                <w:sz w:val="12"/>
                <w:szCs w:val="12"/>
                <w:color w:val="auto"/>
              </w:rPr>
            </w:pPr>
          </w:p>
        </w:tc>
        <w:tc>
          <w:tcPr>
            <w:tcW w:w="1220" w:type="dxa"/>
            <w:vAlign w:val="bottom"/>
          </w:tcPr>
          <w:p>
            <w:pPr>
              <w:jc w:val="center"/>
              <w:ind w:right="36"/>
              <w:spacing w:after="0"/>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2"/>
                <w:szCs w:val="12"/>
                <w:color w:val="auto"/>
              </w:rPr>
            </w:pPr>
          </w:p>
        </w:tc>
        <w:tc>
          <w:tcPr>
            <w:tcW w:w="1380" w:type="dxa"/>
            <w:vAlign w:val="bottom"/>
          </w:tcPr>
          <w:p>
            <w:pPr>
              <w:jc w:val="center"/>
              <w:ind w:right="35"/>
              <w:spacing w:after="0"/>
              <w:rPr>
                <w:sz w:val="20"/>
                <w:szCs w:val="20"/>
                <w:color w:val="auto"/>
              </w:rPr>
            </w:pPr>
            <w:r>
              <w:rPr>
                <w:rFonts w:ascii="Arial" w:cs="Arial" w:eastAsia="Arial" w:hAnsi="Arial"/>
                <w:sz w:val="12"/>
                <w:szCs w:val="12"/>
                <w:b w:val="1"/>
                <w:bCs w:val="1"/>
                <w:color w:val="auto"/>
                <w:w w:val="87"/>
              </w:rPr>
              <w:t>Aggregate</w:t>
            </w:r>
          </w:p>
        </w:tc>
      </w:tr>
      <w:tr>
        <w:trPr>
          <w:trHeight w:val="145"/>
        </w:trPr>
        <w:tc>
          <w:tcPr>
            <w:tcW w:w="5820" w:type="dxa"/>
            <w:vAlign w:val="bottom"/>
          </w:tcPr>
          <w:p>
            <w:pPr>
              <w:spacing w:after="0"/>
              <w:rPr>
                <w:sz w:val="12"/>
                <w:szCs w:val="12"/>
                <w:color w:val="auto"/>
              </w:rPr>
            </w:pPr>
          </w:p>
        </w:tc>
        <w:tc>
          <w:tcPr>
            <w:tcW w:w="1260" w:type="dxa"/>
            <w:vAlign w:val="bottom"/>
          </w:tcPr>
          <w:p>
            <w:pPr>
              <w:jc w:val="right"/>
              <w:ind w:right="409"/>
              <w:spacing w:after="0"/>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2"/>
                <w:szCs w:val="12"/>
                <w:color w:val="auto"/>
              </w:rPr>
            </w:pPr>
          </w:p>
        </w:tc>
        <w:tc>
          <w:tcPr>
            <w:tcW w:w="1220" w:type="dxa"/>
            <w:vAlign w:val="bottom"/>
          </w:tcPr>
          <w:p>
            <w:pPr>
              <w:jc w:val="center"/>
              <w:ind w:right="33"/>
              <w:spacing w:after="0"/>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12"/>
                <w:szCs w:val="12"/>
                <w:color w:val="auto"/>
              </w:rPr>
            </w:pPr>
          </w:p>
        </w:tc>
        <w:tc>
          <w:tcPr>
            <w:tcW w:w="1220" w:type="dxa"/>
            <w:vAlign w:val="bottom"/>
          </w:tcPr>
          <w:p>
            <w:pPr>
              <w:jc w:val="center"/>
              <w:ind w:right="16"/>
              <w:spacing w:after="0"/>
              <w:rPr>
                <w:sz w:val="20"/>
                <w:szCs w:val="20"/>
                <w:color w:val="auto"/>
              </w:rPr>
            </w:pPr>
            <w:r>
              <w:rPr>
                <w:rFonts w:ascii="Arial" w:cs="Arial" w:eastAsia="Arial" w:hAnsi="Arial"/>
                <w:sz w:val="12"/>
                <w:szCs w:val="12"/>
                <w:b w:val="1"/>
                <w:bCs w:val="1"/>
                <w:color w:val="auto"/>
                <w:w w:val="89"/>
              </w:rPr>
              <w:t>contractual</w:t>
            </w:r>
          </w:p>
        </w:tc>
        <w:tc>
          <w:tcPr>
            <w:tcW w:w="120" w:type="dxa"/>
            <w:vAlign w:val="bottom"/>
          </w:tcPr>
          <w:p>
            <w:pPr>
              <w:spacing w:after="0"/>
              <w:rPr>
                <w:sz w:val="12"/>
                <w:szCs w:val="12"/>
                <w:color w:val="auto"/>
              </w:rPr>
            </w:pPr>
          </w:p>
        </w:tc>
        <w:tc>
          <w:tcPr>
            <w:tcW w:w="1380" w:type="dxa"/>
            <w:vAlign w:val="bottom"/>
          </w:tcPr>
          <w:p>
            <w:pPr>
              <w:jc w:val="center"/>
              <w:ind w:right="15"/>
              <w:spacing w:after="0"/>
              <w:rPr>
                <w:sz w:val="20"/>
                <w:szCs w:val="20"/>
                <w:color w:val="auto"/>
              </w:rPr>
            </w:pPr>
            <w:r>
              <w:rPr>
                <w:rFonts w:ascii="Arial" w:cs="Arial" w:eastAsia="Arial" w:hAnsi="Arial"/>
                <w:sz w:val="12"/>
                <w:szCs w:val="12"/>
                <w:b w:val="1"/>
                <w:bCs w:val="1"/>
                <w:color w:val="auto"/>
                <w:w w:val="89"/>
              </w:rPr>
              <w:t>intrinsic</w:t>
            </w:r>
          </w:p>
        </w:tc>
      </w:tr>
      <w:tr>
        <w:trPr>
          <w:trHeight w:val="152"/>
        </w:trPr>
        <w:tc>
          <w:tcPr>
            <w:tcW w:w="5820" w:type="dxa"/>
            <w:vAlign w:val="bottom"/>
          </w:tcPr>
          <w:p>
            <w:pPr>
              <w:spacing w:after="0"/>
              <w:rPr>
                <w:sz w:val="13"/>
                <w:szCs w:val="13"/>
                <w:color w:val="auto"/>
              </w:rPr>
            </w:pPr>
          </w:p>
        </w:tc>
        <w:tc>
          <w:tcPr>
            <w:tcW w:w="1260" w:type="dxa"/>
            <w:vAlign w:val="bottom"/>
            <w:tcBorders>
              <w:bottom w:val="single" w:sz="8" w:color="auto"/>
            </w:tcBorders>
          </w:tcPr>
          <w:p>
            <w:pPr>
              <w:jc w:val="right"/>
              <w:ind w:right="389"/>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4"/>
              </w:rPr>
              <w:t>exercise price</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2"/>
                <w:szCs w:val="12"/>
                <w:b w:val="1"/>
                <w:bCs w:val="1"/>
                <w:color w:val="auto"/>
                <w:w w:val="92"/>
              </w:rPr>
              <w:t>term</w:t>
            </w:r>
          </w:p>
        </w:tc>
        <w:tc>
          <w:tcPr>
            <w:tcW w:w="120" w:type="dxa"/>
            <w:vAlign w:val="bottom"/>
          </w:tcPr>
          <w:p>
            <w:pPr>
              <w:spacing w:after="0"/>
              <w:rPr>
                <w:sz w:val="13"/>
                <w:szCs w:val="13"/>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2"/>
                <w:szCs w:val="12"/>
                <w:b w:val="1"/>
                <w:bCs w:val="1"/>
                <w:color w:val="auto"/>
                <w:w w:val="91"/>
              </w:rPr>
              <w:t>value</w:t>
            </w:r>
          </w:p>
        </w:tc>
      </w:tr>
      <w:tr>
        <w:trPr>
          <w:trHeight w:val="159"/>
        </w:trPr>
        <w:tc>
          <w:tcPr>
            <w:tcW w:w="582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Outstanding at December 31, 2020</w:t>
            </w:r>
          </w:p>
        </w:tc>
        <w:tc>
          <w:tcPr>
            <w:tcW w:w="12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3,725,648</w:t>
            </w:r>
          </w:p>
        </w:tc>
        <w:tc>
          <w:tcPr>
            <w:tcW w:w="1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3"/>
              <w:spacing w:after="0" w:line="159" w:lineRule="exact"/>
              <w:rPr>
                <w:sz w:val="20"/>
                <w:szCs w:val="20"/>
                <w:color w:val="auto"/>
              </w:rPr>
            </w:pPr>
            <w:r>
              <w:rPr>
                <w:rFonts w:ascii="Arial" w:cs="Arial" w:eastAsia="Arial" w:hAnsi="Arial"/>
                <w:sz w:val="15"/>
                <w:szCs w:val="15"/>
                <w:color w:val="auto"/>
              </w:rPr>
              <w:t>16.36</w:t>
            </w: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r>
      <w:tr>
        <w:trPr>
          <w:trHeight w:val="168"/>
        </w:trPr>
        <w:tc>
          <w:tcPr>
            <w:tcW w:w="5820" w:type="dxa"/>
            <w:vAlign w:val="bottom"/>
          </w:tcPr>
          <w:p>
            <w:pPr>
              <w:ind w:left="160"/>
              <w:spacing w:after="0" w:line="168" w:lineRule="exact"/>
              <w:rPr>
                <w:sz w:val="20"/>
                <w:szCs w:val="20"/>
                <w:color w:val="auto"/>
              </w:rPr>
            </w:pPr>
            <w:r>
              <w:rPr>
                <w:rFonts w:ascii="Arial" w:cs="Arial" w:eastAsia="Arial" w:hAnsi="Arial"/>
                <w:sz w:val="15"/>
                <w:szCs w:val="15"/>
                <w:color w:val="auto"/>
              </w:rPr>
              <w:t>Granted</w:t>
            </w:r>
          </w:p>
        </w:tc>
        <w:tc>
          <w:tcPr>
            <w:tcW w:w="1260" w:type="dxa"/>
            <w:vAlign w:val="bottom"/>
          </w:tcPr>
          <w:p>
            <w:pPr>
              <w:jc w:val="right"/>
              <w:ind w:right="49"/>
              <w:spacing w:after="0" w:line="168" w:lineRule="exact"/>
              <w:rPr>
                <w:sz w:val="20"/>
                <w:szCs w:val="20"/>
                <w:color w:val="auto"/>
              </w:rPr>
            </w:pPr>
            <w:r>
              <w:rPr>
                <w:rFonts w:ascii="Arial" w:cs="Arial" w:eastAsia="Arial" w:hAnsi="Arial"/>
                <w:sz w:val="15"/>
                <w:szCs w:val="15"/>
                <w:color w:val="auto"/>
              </w:rPr>
              <w:t>2,037,060</w:t>
            </w:r>
          </w:p>
        </w:tc>
        <w:tc>
          <w:tcPr>
            <w:tcW w:w="1360" w:type="dxa"/>
            <w:vAlign w:val="bottom"/>
            <w:gridSpan w:val="2"/>
          </w:tcPr>
          <w:p>
            <w:pPr>
              <w:jc w:val="right"/>
              <w:ind w:right="33"/>
              <w:spacing w:after="0" w:line="168" w:lineRule="exact"/>
              <w:rPr>
                <w:sz w:val="20"/>
                <w:szCs w:val="20"/>
                <w:color w:val="auto"/>
              </w:rPr>
            </w:pPr>
            <w:r>
              <w:rPr>
                <w:rFonts w:ascii="Arial" w:cs="Arial" w:eastAsia="Arial" w:hAnsi="Arial"/>
                <w:sz w:val="15"/>
                <w:szCs w:val="15"/>
                <w:color w:val="auto"/>
              </w:rPr>
              <w:t>53.32</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582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Exercised</w:t>
            </w:r>
          </w:p>
        </w:tc>
        <w:tc>
          <w:tcPr>
            <w:tcW w:w="12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rPr>
              <w:t>(326,219 )</w:t>
            </w:r>
          </w:p>
        </w:tc>
        <w:tc>
          <w:tcPr>
            <w:tcW w:w="1360" w:type="dxa"/>
            <w:vAlign w:val="bottom"/>
            <w:gridSpan w:val="2"/>
            <w:shd w:val="clear" w:color="auto" w:fill="CFF0FC"/>
          </w:tcPr>
          <w:p>
            <w:pPr>
              <w:jc w:val="right"/>
              <w:ind w:right="33"/>
              <w:spacing w:after="0" w:line="168" w:lineRule="exact"/>
              <w:rPr>
                <w:sz w:val="20"/>
                <w:szCs w:val="20"/>
                <w:color w:val="auto"/>
              </w:rPr>
            </w:pPr>
            <w:r>
              <w:rPr>
                <w:rFonts w:ascii="Arial" w:cs="Arial" w:eastAsia="Arial" w:hAnsi="Arial"/>
                <w:sz w:val="15"/>
                <w:szCs w:val="15"/>
                <w:color w:val="auto"/>
              </w:rPr>
              <w:t>13.50</w:t>
            </w:r>
          </w:p>
        </w:tc>
        <w:tc>
          <w:tcPr>
            <w:tcW w:w="1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168"/>
        </w:trPr>
        <w:tc>
          <w:tcPr>
            <w:tcW w:w="5820" w:type="dxa"/>
            <w:vAlign w:val="bottom"/>
          </w:tcPr>
          <w:p>
            <w:pPr>
              <w:ind w:left="160"/>
              <w:spacing w:after="0" w:line="168" w:lineRule="exact"/>
              <w:rPr>
                <w:sz w:val="20"/>
                <w:szCs w:val="20"/>
                <w:color w:val="auto"/>
              </w:rPr>
            </w:pPr>
            <w:r>
              <w:rPr>
                <w:rFonts w:ascii="Arial" w:cs="Arial" w:eastAsia="Arial" w:hAnsi="Arial"/>
                <w:sz w:val="15"/>
                <w:szCs w:val="15"/>
                <w:color w:val="auto"/>
              </w:rPr>
              <w:t>Forfeited</w:t>
            </w:r>
          </w:p>
        </w:tc>
        <w:tc>
          <w:tcPr>
            <w:tcW w:w="1260" w:type="dxa"/>
            <w:vAlign w:val="bottom"/>
          </w:tcPr>
          <w:p>
            <w:pPr>
              <w:jc w:val="right"/>
              <w:spacing w:after="0" w:line="168" w:lineRule="exact"/>
              <w:rPr>
                <w:sz w:val="20"/>
                <w:szCs w:val="20"/>
                <w:color w:val="auto"/>
              </w:rPr>
            </w:pPr>
            <w:r>
              <w:rPr>
                <w:rFonts w:ascii="Arial" w:cs="Arial" w:eastAsia="Arial" w:hAnsi="Arial"/>
                <w:sz w:val="15"/>
                <w:szCs w:val="15"/>
                <w:color w:val="auto"/>
              </w:rPr>
              <w:t>(325,227 )</w:t>
            </w:r>
          </w:p>
        </w:tc>
        <w:tc>
          <w:tcPr>
            <w:tcW w:w="1360" w:type="dxa"/>
            <w:vAlign w:val="bottom"/>
            <w:gridSpan w:val="2"/>
          </w:tcPr>
          <w:p>
            <w:pPr>
              <w:jc w:val="right"/>
              <w:ind w:right="33"/>
              <w:spacing w:after="0" w:line="168" w:lineRule="exact"/>
              <w:rPr>
                <w:sz w:val="20"/>
                <w:szCs w:val="20"/>
                <w:color w:val="auto"/>
              </w:rPr>
            </w:pPr>
            <w:r>
              <w:rPr>
                <w:rFonts w:ascii="Arial" w:cs="Arial" w:eastAsia="Arial" w:hAnsi="Arial"/>
                <w:sz w:val="15"/>
                <w:szCs w:val="15"/>
                <w:color w:val="auto"/>
              </w:rPr>
              <w:t>48.14</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5820" w:type="dxa"/>
            <w:vAlign w:val="bottom"/>
            <w:tcBorders>
              <w:bottom w:val="single" w:sz="8" w:color="CFF0FC"/>
            </w:tcBorders>
            <w:shd w:val="clear" w:color="auto" w:fill="CFF0FC"/>
          </w:tcPr>
          <w:p>
            <w:pPr>
              <w:ind w:left="160"/>
              <w:spacing w:after="0" w:line="168" w:lineRule="exact"/>
              <w:rPr>
                <w:sz w:val="20"/>
                <w:szCs w:val="20"/>
                <w:color w:val="auto"/>
              </w:rPr>
            </w:pPr>
            <w:r>
              <w:rPr>
                <w:rFonts w:ascii="Arial" w:cs="Arial" w:eastAsia="Arial" w:hAnsi="Arial"/>
                <w:sz w:val="15"/>
                <w:szCs w:val="15"/>
                <w:color w:val="auto"/>
              </w:rPr>
              <w:t>Cancelled</w:t>
            </w:r>
          </w:p>
        </w:tc>
        <w:tc>
          <w:tcPr>
            <w:tcW w:w="126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(20,885 )</w:t>
            </w:r>
          </w:p>
        </w:tc>
        <w:tc>
          <w:tcPr>
            <w:tcW w:w="1360" w:type="dxa"/>
            <w:vAlign w:val="bottom"/>
            <w:tcBorders>
              <w:bottom w:val="single" w:sz="8" w:color="CFF0FC"/>
            </w:tcBorders>
            <w:gridSpan w:val="2"/>
            <w:shd w:val="clear" w:color="auto" w:fill="CFF0FC"/>
          </w:tcPr>
          <w:p>
            <w:pPr>
              <w:jc w:val="right"/>
              <w:ind w:right="33"/>
              <w:spacing w:after="0" w:line="168" w:lineRule="exact"/>
              <w:rPr>
                <w:sz w:val="20"/>
                <w:szCs w:val="20"/>
                <w:color w:val="auto"/>
              </w:rPr>
            </w:pPr>
            <w:r>
              <w:rPr>
                <w:rFonts w:ascii="Arial" w:cs="Arial" w:eastAsia="Arial" w:hAnsi="Arial"/>
                <w:sz w:val="15"/>
                <w:szCs w:val="15"/>
                <w:color w:val="auto"/>
              </w:rPr>
              <w:t>49.76</w:t>
            </w:r>
          </w:p>
        </w:tc>
        <w:tc>
          <w:tcPr>
            <w:tcW w:w="12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380" w:type="dxa"/>
            <w:vAlign w:val="bottom"/>
            <w:tcBorders>
              <w:bottom w:val="single" w:sz="8" w:color="CFF0FC"/>
            </w:tcBorders>
            <w:shd w:val="clear" w:color="auto" w:fill="CFF0FC"/>
          </w:tcPr>
          <w:p>
            <w:pPr>
              <w:spacing w:after="0"/>
              <w:rPr>
                <w:sz w:val="14"/>
                <w:szCs w:val="14"/>
                <w:color w:val="auto"/>
              </w:rPr>
            </w:pPr>
          </w:p>
        </w:tc>
      </w:tr>
      <w:tr>
        <w:trPr>
          <w:trHeight w:val="159"/>
        </w:trPr>
        <w:tc>
          <w:tcPr>
            <w:tcW w:w="5820" w:type="dxa"/>
            <w:vAlign w:val="bottom"/>
          </w:tcPr>
          <w:p>
            <w:pPr>
              <w:ind w:left="20"/>
              <w:spacing w:after="0" w:line="159" w:lineRule="exact"/>
              <w:rPr>
                <w:sz w:val="20"/>
                <w:szCs w:val="20"/>
                <w:color w:val="auto"/>
              </w:rPr>
            </w:pPr>
            <w:r>
              <w:rPr>
                <w:rFonts w:ascii="Arial" w:cs="Arial" w:eastAsia="Arial" w:hAnsi="Arial"/>
                <w:sz w:val="15"/>
                <w:szCs w:val="15"/>
                <w:color w:val="auto"/>
              </w:rPr>
              <w:t>Outstanding at December 31, 2021</w:t>
            </w:r>
          </w:p>
        </w:tc>
        <w:tc>
          <w:tcPr>
            <w:tcW w:w="1260" w:type="dxa"/>
            <w:vAlign w:val="bottom"/>
            <w:tcBorders>
              <w:bottom w:val="single" w:sz="8" w:color="auto"/>
            </w:tcBorders>
          </w:tcPr>
          <w:p>
            <w:pPr>
              <w:jc w:val="right"/>
              <w:ind w:right="49"/>
              <w:spacing w:after="0" w:line="159" w:lineRule="exact"/>
              <w:rPr>
                <w:sz w:val="20"/>
                <w:szCs w:val="20"/>
                <w:color w:val="auto"/>
              </w:rPr>
            </w:pPr>
            <w:r>
              <w:rPr>
                <w:rFonts w:ascii="Arial" w:cs="Arial" w:eastAsia="Arial" w:hAnsi="Arial"/>
                <w:sz w:val="15"/>
                <w:szCs w:val="15"/>
                <w:color w:val="auto"/>
              </w:rPr>
              <w:t>5,090,377</w:t>
            </w:r>
          </w:p>
        </w:tc>
        <w:tc>
          <w:tcPr>
            <w:tcW w:w="140" w:type="dxa"/>
            <w:vAlign w:val="bottom"/>
          </w:tcPr>
          <w:p>
            <w:pPr>
              <w:spacing w:after="0"/>
              <w:rPr>
                <w:sz w:val="13"/>
                <w:szCs w:val="13"/>
                <w:color w:val="auto"/>
              </w:rPr>
            </w:pPr>
          </w:p>
        </w:tc>
        <w:tc>
          <w:tcPr>
            <w:tcW w:w="1220" w:type="dxa"/>
            <w:vAlign w:val="bottom"/>
            <w:tcBorders>
              <w:bottom w:val="single" w:sz="8" w:color="auto"/>
            </w:tcBorders>
          </w:tcPr>
          <w:p>
            <w:pPr>
              <w:jc w:val="right"/>
              <w:ind w:right="33"/>
              <w:spacing w:after="0" w:line="159" w:lineRule="exact"/>
              <w:rPr>
                <w:sz w:val="20"/>
                <w:szCs w:val="20"/>
                <w:color w:val="auto"/>
              </w:rPr>
            </w:pPr>
            <w:r>
              <w:rPr>
                <w:rFonts w:ascii="Arial" w:cs="Arial" w:eastAsia="Arial" w:hAnsi="Arial"/>
                <w:sz w:val="15"/>
                <w:szCs w:val="15"/>
                <w:color w:val="auto"/>
              </w:rPr>
              <w:t>29.17</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5"/>
                <w:szCs w:val="15"/>
                <w:color w:val="auto"/>
              </w:rPr>
              <w:t>7.4</w:t>
            </w:r>
          </w:p>
        </w:tc>
        <w:tc>
          <w:tcPr>
            <w:tcW w:w="120" w:type="dxa"/>
            <w:vAlign w:val="bottom"/>
          </w:tcPr>
          <w:p>
            <w:pPr>
              <w:spacing w:after="0"/>
              <w:rPr>
                <w:sz w:val="13"/>
                <w:szCs w:val="13"/>
                <w:color w:val="auto"/>
              </w:rPr>
            </w:pPr>
          </w:p>
        </w:tc>
        <w:tc>
          <w:tcPr>
            <w:tcW w:w="1380" w:type="dxa"/>
            <w:vAlign w:val="bottom"/>
            <w:tcBorders>
              <w:bottom w:val="single" w:sz="8" w:color="auto"/>
            </w:tcBorders>
          </w:tcPr>
          <w:p>
            <w:pPr>
              <w:jc w:val="right"/>
              <w:ind w:right="55"/>
              <w:spacing w:after="0" w:line="159" w:lineRule="exact"/>
              <w:rPr>
                <w:sz w:val="20"/>
                <w:szCs w:val="20"/>
                <w:color w:val="auto"/>
              </w:rPr>
            </w:pPr>
            <w:r>
              <w:rPr>
                <w:rFonts w:ascii="Arial" w:cs="Arial" w:eastAsia="Arial" w:hAnsi="Arial"/>
                <w:sz w:val="15"/>
                <w:szCs w:val="15"/>
                <w:color w:val="auto"/>
              </w:rPr>
              <w:t>80,645,816</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r>
      <w:tr>
        <w:trPr>
          <w:trHeight w:val="181"/>
        </w:trPr>
        <w:tc>
          <w:tcPr>
            <w:tcW w:w="5820" w:type="dxa"/>
            <w:vAlign w:val="bottom"/>
            <w:tcBorders>
              <w:bottom w:val="single" w:sz="8" w:color="CFF0FC"/>
            </w:tcBorders>
            <w:shd w:val="clear" w:color="auto" w:fill="CFF0FC"/>
          </w:tcPr>
          <w:p>
            <w:pPr>
              <w:ind w:left="20"/>
              <w:spacing w:after="0" w:line="141" w:lineRule="exact"/>
              <w:rPr>
                <w:sz w:val="20"/>
                <w:szCs w:val="20"/>
                <w:color w:val="auto"/>
              </w:rPr>
            </w:pPr>
            <w:r>
              <w:rPr>
                <w:rFonts w:ascii="Arial" w:cs="Arial" w:eastAsia="Arial" w:hAnsi="Arial"/>
                <w:sz w:val="15"/>
                <w:szCs w:val="15"/>
                <w:color w:val="auto"/>
              </w:rPr>
              <w:t>Vested and expected to vest at December 31, 2021</w:t>
            </w:r>
          </w:p>
        </w:tc>
        <w:tc>
          <w:tcPr>
            <w:tcW w:w="1260" w:type="dxa"/>
            <w:vAlign w:val="bottom"/>
            <w:tcBorders>
              <w:top w:val="single" w:sz="8" w:color="auto"/>
              <w:bottom w:val="single" w:sz="8" w:color="auto"/>
            </w:tcBorders>
            <w:shd w:val="clear" w:color="auto" w:fill="CFF0FC"/>
          </w:tcPr>
          <w:p>
            <w:pPr>
              <w:jc w:val="right"/>
              <w:ind w:right="49"/>
              <w:spacing w:after="0" w:line="141" w:lineRule="exact"/>
              <w:rPr>
                <w:sz w:val="20"/>
                <w:szCs w:val="20"/>
                <w:color w:val="auto"/>
              </w:rPr>
            </w:pPr>
            <w:r>
              <w:rPr>
                <w:rFonts w:ascii="Arial" w:cs="Arial" w:eastAsia="Arial" w:hAnsi="Arial"/>
                <w:sz w:val="15"/>
                <w:szCs w:val="15"/>
                <w:color w:val="auto"/>
              </w:rPr>
              <w:t>5,084,208</w:t>
            </w:r>
          </w:p>
        </w:tc>
        <w:tc>
          <w:tcPr>
            <w:tcW w:w="14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ind w:right="33"/>
              <w:spacing w:after="0" w:line="141" w:lineRule="exact"/>
              <w:rPr>
                <w:sz w:val="20"/>
                <w:szCs w:val="20"/>
                <w:color w:val="auto"/>
              </w:rPr>
            </w:pPr>
            <w:r>
              <w:rPr>
                <w:rFonts w:ascii="Arial" w:cs="Arial" w:eastAsia="Arial" w:hAnsi="Arial"/>
                <w:sz w:val="15"/>
                <w:szCs w:val="15"/>
                <w:color w:val="auto"/>
              </w:rPr>
              <w:t>29.20</w:t>
            </w:r>
          </w:p>
        </w:tc>
        <w:tc>
          <w:tcPr>
            <w:tcW w:w="1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top w:val="single" w:sz="8" w:color="auto"/>
              <w:bottom w:val="single" w:sz="8" w:color="auto"/>
            </w:tcBorders>
            <w:shd w:val="clear" w:color="auto" w:fill="CFF0FC"/>
          </w:tcPr>
          <w:p>
            <w:pPr>
              <w:jc w:val="right"/>
              <w:ind w:right="36"/>
              <w:spacing w:after="0" w:line="141" w:lineRule="exact"/>
              <w:rPr>
                <w:sz w:val="20"/>
                <w:szCs w:val="20"/>
                <w:color w:val="auto"/>
              </w:rPr>
            </w:pPr>
            <w:r>
              <w:rPr>
                <w:rFonts w:ascii="Arial" w:cs="Arial" w:eastAsia="Arial" w:hAnsi="Arial"/>
                <w:sz w:val="15"/>
                <w:szCs w:val="15"/>
                <w:color w:val="auto"/>
              </w:rPr>
              <w:t>7.4</w:t>
            </w:r>
          </w:p>
        </w:tc>
        <w:tc>
          <w:tcPr>
            <w:tcW w:w="120" w:type="dxa"/>
            <w:vAlign w:val="bottom"/>
            <w:tcBorders>
              <w:bottom w:val="single" w:sz="8" w:color="CFF0FC"/>
            </w:tcBorders>
            <w:shd w:val="clear" w:color="auto" w:fill="CFF0FC"/>
          </w:tcPr>
          <w:p>
            <w:pPr>
              <w:spacing w:after="0"/>
              <w:rPr>
                <w:sz w:val="15"/>
                <w:szCs w:val="15"/>
                <w:color w:val="auto"/>
              </w:rPr>
            </w:pPr>
          </w:p>
        </w:tc>
        <w:tc>
          <w:tcPr>
            <w:tcW w:w="1380" w:type="dxa"/>
            <w:vAlign w:val="bottom"/>
            <w:tcBorders>
              <w:top w:val="single" w:sz="8" w:color="auto"/>
              <w:bottom w:val="single" w:sz="8" w:color="auto"/>
            </w:tcBorders>
            <w:shd w:val="clear" w:color="auto" w:fill="CFF0FC"/>
          </w:tcPr>
          <w:p>
            <w:pPr>
              <w:jc w:val="right"/>
              <w:ind w:right="55"/>
              <w:spacing w:after="0" w:line="141" w:lineRule="exact"/>
              <w:rPr>
                <w:sz w:val="20"/>
                <w:szCs w:val="20"/>
                <w:color w:val="auto"/>
              </w:rPr>
            </w:pPr>
            <w:r>
              <w:rPr>
                <w:rFonts w:ascii="Arial" w:cs="Arial" w:eastAsia="Arial" w:hAnsi="Arial"/>
                <w:sz w:val="15"/>
                <w:szCs w:val="15"/>
                <w:color w:val="auto"/>
              </w:rPr>
              <w:t>80,420,767</w:t>
            </w:r>
          </w:p>
        </w:tc>
      </w:tr>
      <w:tr>
        <w:trPr>
          <w:trHeight w:val="141"/>
        </w:trPr>
        <w:tc>
          <w:tcPr>
            <w:tcW w:w="5820" w:type="dxa"/>
            <w:vAlign w:val="bottom"/>
          </w:tcPr>
          <w:p>
            <w:pPr>
              <w:ind w:left="20"/>
              <w:spacing w:after="0" w:line="141" w:lineRule="exact"/>
              <w:rPr>
                <w:sz w:val="20"/>
                <w:szCs w:val="20"/>
                <w:color w:val="auto"/>
              </w:rPr>
            </w:pPr>
            <w:r>
              <w:rPr>
                <w:rFonts w:ascii="Arial" w:cs="Arial" w:eastAsia="Arial" w:hAnsi="Arial"/>
                <w:sz w:val="15"/>
                <w:szCs w:val="15"/>
                <w:color w:val="auto"/>
              </w:rPr>
              <w:t>Exercisable at December 31, 2021</w:t>
            </w:r>
          </w:p>
        </w:tc>
        <w:tc>
          <w:tcPr>
            <w:tcW w:w="1260" w:type="dxa"/>
            <w:vAlign w:val="bottom"/>
          </w:tcPr>
          <w:p>
            <w:pPr>
              <w:jc w:val="right"/>
              <w:ind w:right="49"/>
              <w:spacing w:after="0" w:line="141" w:lineRule="exact"/>
              <w:rPr>
                <w:sz w:val="20"/>
                <w:szCs w:val="20"/>
                <w:color w:val="auto"/>
              </w:rPr>
            </w:pPr>
            <w:r>
              <w:rPr>
                <w:rFonts w:ascii="Arial" w:cs="Arial" w:eastAsia="Arial" w:hAnsi="Arial"/>
                <w:sz w:val="15"/>
                <w:szCs w:val="15"/>
                <w:color w:val="auto"/>
              </w:rPr>
              <w:t>2,790,016</w:t>
            </w:r>
          </w:p>
        </w:tc>
        <w:tc>
          <w:tcPr>
            <w:tcW w:w="1360" w:type="dxa"/>
            <w:vAlign w:val="bottom"/>
            <w:gridSpan w:val="2"/>
          </w:tcPr>
          <w:p>
            <w:pPr>
              <w:jc w:val="right"/>
              <w:ind w:right="33"/>
              <w:spacing w:after="0" w:line="141" w:lineRule="exact"/>
              <w:rPr>
                <w:sz w:val="20"/>
                <w:szCs w:val="20"/>
                <w:color w:val="auto"/>
              </w:rPr>
            </w:pPr>
            <w:r>
              <w:rPr>
                <w:rFonts w:ascii="Arial" w:cs="Arial" w:eastAsia="Arial" w:hAnsi="Arial"/>
                <w:sz w:val="15"/>
                <w:szCs w:val="15"/>
                <w:color w:val="auto"/>
              </w:rPr>
              <w:t>15.30</w:t>
            </w:r>
          </w:p>
        </w:tc>
        <w:tc>
          <w:tcPr>
            <w:tcW w:w="1340" w:type="dxa"/>
            <w:vAlign w:val="bottom"/>
            <w:gridSpan w:val="2"/>
          </w:tcPr>
          <w:p>
            <w:pPr>
              <w:jc w:val="right"/>
              <w:ind w:right="36"/>
              <w:spacing w:after="0" w:line="141" w:lineRule="exact"/>
              <w:rPr>
                <w:sz w:val="20"/>
                <w:szCs w:val="20"/>
                <w:color w:val="auto"/>
              </w:rPr>
            </w:pPr>
            <w:r>
              <w:rPr>
                <w:rFonts w:ascii="Arial" w:cs="Arial" w:eastAsia="Arial" w:hAnsi="Arial"/>
                <w:sz w:val="15"/>
                <w:szCs w:val="15"/>
                <w:color w:val="auto"/>
              </w:rPr>
              <w:t>5.4</w:t>
            </w:r>
          </w:p>
        </w:tc>
        <w:tc>
          <w:tcPr>
            <w:tcW w:w="1500" w:type="dxa"/>
            <w:vAlign w:val="bottom"/>
            <w:gridSpan w:val="2"/>
          </w:tcPr>
          <w:p>
            <w:pPr>
              <w:jc w:val="right"/>
              <w:ind w:right="55"/>
              <w:spacing w:after="0" w:line="141" w:lineRule="exact"/>
              <w:rPr>
                <w:sz w:val="20"/>
                <w:szCs w:val="20"/>
                <w:color w:val="auto"/>
              </w:rPr>
            </w:pPr>
            <w:r>
              <w:rPr>
                <w:rFonts w:ascii="Arial" w:cs="Arial" w:eastAsia="Arial" w:hAnsi="Arial"/>
                <w:sz w:val="15"/>
                <w:szCs w:val="15"/>
                <w:color w:val="auto"/>
              </w:rPr>
              <w:t>71,148,517</w:t>
            </w:r>
          </w:p>
        </w:tc>
      </w:tr>
      <w:tr>
        <w:trPr>
          <w:trHeight w:val="20"/>
        </w:trPr>
        <w:tc>
          <w:tcPr>
            <w:tcW w:w="58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4495165</wp:posOffset>
            </wp:positionH>
            <wp:positionV relativeFrom="paragraph">
              <wp:posOffset>-386715</wp:posOffset>
            </wp:positionV>
            <wp:extent cx="85090" cy="4763"/>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090" cy="4763"/>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-148590</wp:posOffset>
            </wp:positionV>
            <wp:extent cx="8509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4495165</wp:posOffset>
            </wp:positionH>
            <wp:positionV relativeFrom="paragraph">
              <wp:posOffset>-133985</wp:posOffset>
            </wp:positionV>
            <wp:extent cx="8509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090" cy="698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-148590</wp:posOffset>
            </wp:positionV>
            <wp:extent cx="7810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5360670</wp:posOffset>
            </wp:positionH>
            <wp:positionV relativeFrom="paragraph">
              <wp:posOffset>-133985</wp:posOffset>
            </wp:positionV>
            <wp:extent cx="7810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-148590</wp:posOffset>
            </wp:positionV>
            <wp:extent cx="7810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-133985</wp:posOffset>
            </wp:positionV>
            <wp:extent cx="7810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8105" cy="6985"/>
                    </a:xfrm>
                    <a:prstGeom prst="rect">
                      <a:avLst/>
                    </a:prstGeom>
                    <a:noFill/>
                  </pic:spPr>
                </pic:pic>
              </a:graphicData>
            </a:graphic>
          </wp:anchor>
        </w:drawing>
      </w:r>
    </w:p>
    <w:p>
      <w:pPr>
        <w:spacing w:after="0" w:line="137" w:lineRule="exact"/>
        <w:rPr>
          <w:sz w:val="20"/>
          <w:szCs w:val="20"/>
          <w:color w:val="auto"/>
        </w:rPr>
      </w:pPr>
    </w:p>
    <w:p>
      <w:pPr>
        <w:ind w:right="40" w:firstLine="751"/>
        <w:spacing w:after="0" w:line="171" w:lineRule="exact"/>
        <w:rPr>
          <w:sz w:val="20"/>
          <w:szCs w:val="20"/>
          <w:color w:val="auto"/>
        </w:rPr>
      </w:pPr>
      <w:r>
        <w:rPr>
          <w:rFonts w:ascii="Arial" w:cs="Arial" w:eastAsia="Arial" w:hAnsi="Arial"/>
          <w:sz w:val="13"/>
          <w:szCs w:val="13"/>
          <w:color w:val="auto"/>
        </w:rPr>
        <w:t>The fair value of each stock option grant is estimated on the date of grant using the Black</w:t>
      </w:r>
      <w:r>
        <w:rPr>
          <w:rFonts w:ascii="MS PGothic" w:cs="MS PGothic" w:eastAsia="MS PGothic" w:hAnsi="MS PGothic"/>
          <w:sz w:val="13"/>
          <w:szCs w:val="13"/>
          <w:color w:val="auto"/>
        </w:rPr>
        <w:t>‑</w:t>
      </w:r>
      <w:r>
        <w:rPr>
          <w:rFonts w:ascii="Arial" w:cs="Arial" w:eastAsia="Arial" w:hAnsi="Arial"/>
          <w:sz w:val="13"/>
          <w:szCs w:val="13"/>
          <w:color w:val="auto"/>
        </w:rPr>
        <w:t>Scholes option pricing model. The expected term of the Company’s stock options has been determined utilizing the “simplified” method as described in the SEC’s Staff Accounting Bulletin No. 107 relating to stock</w:t>
      </w:r>
      <w:r>
        <w:rPr>
          <w:rFonts w:ascii="MS PGothic" w:cs="MS PGothic" w:eastAsia="MS PGothic" w:hAnsi="MS PGothic"/>
          <w:sz w:val="13"/>
          <w:szCs w:val="13"/>
          <w:color w:val="auto"/>
        </w:rPr>
        <w:t>‑</w:t>
      </w:r>
      <w:r>
        <w:rPr>
          <w:rFonts w:ascii="Arial" w:cs="Arial" w:eastAsia="Arial" w:hAnsi="Arial"/>
          <w:sz w:val="13"/>
          <w:szCs w:val="13"/>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3"/>
          <w:szCs w:val="13"/>
          <w:color w:val="auto"/>
        </w:rPr>
        <w:t>‑</w:t>
      </w:r>
      <w:r>
        <w:rPr>
          <w:rFonts w:ascii="Arial" w:cs="Arial" w:eastAsia="Arial" w:hAnsi="Arial"/>
          <w:sz w:val="13"/>
          <w:szCs w:val="13"/>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 The relevant data used to determine the value of the stock option grants for the years ended December 31, 2021, 2020, and 2019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800" w:type="dxa"/>
            <w:vAlign w:val="bottom"/>
          </w:tcPr>
          <w:p>
            <w:pPr>
              <w:ind w:left="20"/>
              <w:spacing w:after="0"/>
              <w:rPr>
                <w:sz w:val="20"/>
                <w:szCs w:val="20"/>
                <w:color w:val="auto"/>
              </w:rPr>
            </w:pPr>
            <w:r>
              <w:rPr>
                <w:rFonts w:ascii="Arial" w:cs="Arial" w:eastAsia="Arial" w:hAnsi="Arial"/>
                <w:sz w:val="12"/>
                <w:szCs w:val="12"/>
                <w:b w:val="1"/>
                <w:bCs w:val="1"/>
                <w:color w:val="auto"/>
              </w:rPr>
              <w:t>Black-Scholes option valuation assumptions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right"/>
              <w:ind w:right="351"/>
              <w:spacing w:after="0"/>
              <w:rPr>
                <w:sz w:val="20"/>
                <w:szCs w:val="20"/>
                <w:color w:val="auto"/>
              </w:rPr>
            </w:pPr>
            <w:r>
              <w:rPr>
                <w:rFonts w:ascii="Arial" w:cs="Arial" w:eastAsia="Arial" w:hAnsi="Arial"/>
                <w:sz w:val="12"/>
                <w:szCs w:val="12"/>
                <w:b w:val="1"/>
                <w:bCs w:val="1"/>
                <w:color w:val="auto"/>
                <w:w w:val="82"/>
              </w:rPr>
              <w:t>2021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jc w:val="right"/>
              <w:ind w:right="371"/>
              <w:spacing w:after="0"/>
              <w:rPr>
                <w:sz w:val="20"/>
                <w:szCs w:val="20"/>
                <w:color w:val="auto"/>
              </w:rPr>
            </w:pPr>
            <w:r>
              <w:rPr>
                <w:rFonts w:ascii="Arial" w:cs="Arial" w:eastAsia="Arial" w:hAnsi="Arial"/>
                <w:sz w:val="12"/>
                <w:szCs w:val="12"/>
                <w:b w:val="1"/>
                <w:bCs w:val="1"/>
                <w:color w:val="auto"/>
                <w:w w:val="82"/>
              </w:rPr>
              <w:t>2020</w:t>
            </w:r>
          </w:p>
        </w:tc>
        <w:tc>
          <w:tcPr>
            <w:tcW w:w="34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2019</w:t>
            </w:r>
          </w:p>
        </w:tc>
      </w:tr>
      <w:tr>
        <w:trPr>
          <w:trHeight w:val="159"/>
        </w:trPr>
        <w:tc>
          <w:tcPr>
            <w:tcW w:w="5800" w:type="dxa"/>
            <w:vAlign w:val="bottom"/>
            <w:tcBorders>
              <w:top w:val="single" w:sz="8" w:color="auto"/>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Risk-free interest rates</w:t>
            </w:r>
          </w:p>
        </w:tc>
        <w:tc>
          <w:tcPr>
            <w:tcW w:w="14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0.63</w:t>
            </w:r>
          </w:p>
        </w:tc>
        <w:tc>
          <w:tcPr>
            <w:tcW w:w="660" w:type="dxa"/>
            <w:vAlign w:val="bottom"/>
            <w:tcBorders>
              <w:top w:val="single" w:sz="8" w:color="auto"/>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- 1.47%</w:t>
            </w:r>
          </w:p>
        </w:tc>
        <w:tc>
          <w:tcPr>
            <w:tcW w:w="36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9" w:lineRule="exact"/>
              <w:rPr>
                <w:sz w:val="20"/>
                <w:szCs w:val="20"/>
                <w:color w:val="auto"/>
              </w:rPr>
            </w:pPr>
            <w:r>
              <w:rPr>
                <w:rFonts w:ascii="Arial" w:cs="Arial" w:eastAsia="Arial" w:hAnsi="Arial"/>
                <w:sz w:val="15"/>
                <w:szCs w:val="15"/>
                <w:color w:val="auto"/>
              </w:rPr>
              <w:t>0.3</w:t>
            </w:r>
          </w:p>
        </w:tc>
        <w:tc>
          <w:tcPr>
            <w:tcW w:w="680" w:type="dxa"/>
            <w:vAlign w:val="bottom"/>
            <w:tcBorders>
              <w:top w:val="single" w:sz="8" w:color="auto"/>
            </w:tcBorders>
            <w:shd w:val="clear" w:color="auto" w:fill="CFF0FC"/>
          </w:tcPr>
          <w:p>
            <w:pPr>
              <w:ind w:left="40"/>
              <w:spacing w:after="0" w:line="159" w:lineRule="exact"/>
              <w:rPr>
                <w:sz w:val="20"/>
                <w:szCs w:val="20"/>
                <w:color w:val="auto"/>
              </w:rPr>
            </w:pPr>
            <w:r>
              <w:rPr>
                <w:rFonts w:ascii="Arial" w:cs="Arial" w:eastAsia="Arial" w:hAnsi="Arial"/>
                <w:sz w:val="15"/>
                <w:szCs w:val="15"/>
                <w:color w:val="auto"/>
              </w:rPr>
              <w:t>- 1.7%</w:t>
            </w:r>
          </w:p>
        </w:tc>
        <w:tc>
          <w:tcPr>
            <w:tcW w:w="3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80" w:type="dxa"/>
            <w:vAlign w:val="bottom"/>
            <w:tcBorders>
              <w:top w:val="single" w:sz="8" w:color="auto"/>
            </w:tcBorders>
            <w:shd w:val="clear" w:color="auto" w:fill="CFF0FC"/>
          </w:tcPr>
          <w:p>
            <w:pPr>
              <w:jc w:val="center"/>
              <w:ind w:right="66"/>
              <w:spacing w:after="0" w:line="159" w:lineRule="exact"/>
              <w:rPr>
                <w:sz w:val="20"/>
                <w:szCs w:val="20"/>
                <w:color w:val="auto"/>
              </w:rPr>
            </w:pPr>
            <w:r>
              <w:rPr>
                <w:rFonts w:ascii="Arial" w:cs="Arial" w:eastAsia="Arial" w:hAnsi="Arial"/>
                <w:sz w:val="15"/>
                <w:szCs w:val="15"/>
                <w:color w:val="auto"/>
                <w:w w:val="90"/>
              </w:rPr>
              <w:t>1.4 - 2.7%</w:t>
            </w:r>
          </w:p>
        </w:tc>
      </w:tr>
      <w:tr>
        <w:trPr>
          <w:trHeight w:val="168"/>
        </w:trPr>
        <w:tc>
          <w:tcPr>
            <w:tcW w:w="5800" w:type="dxa"/>
            <w:vAlign w:val="bottom"/>
          </w:tcPr>
          <w:p>
            <w:pPr>
              <w:ind w:left="20"/>
              <w:spacing w:after="0" w:line="168" w:lineRule="exact"/>
              <w:rPr>
                <w:sz w:val="20"/>
                <w:szCs w:val="20"/>
                <w:color w:val="auto"/>
              </w:rPr>
            </w:pPr>
            <w:r>
              <w:rPr>
                <w:rFonts w:ascii="Arial" w:cs="Arial" w:eastAsia="Arial" w:hAnsi="Arial"/>
                <w:sz w:val="15"/>
                <w:szCs w:val="15"/>
                <w:color w:val="auto"/>
              </w:rPr>
              <w:t>Dividend yield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3"/>
          </w:tcPr>
          <w:p>
            <w:pPr>
              <w:jc w:val="right"/>
              <w:ind w:right="846"/>
              <w:spacing w:after="0" w:line="168" w:lineRule="exact"/>
              <w:rPr>
                <w:sz w:val="20"/>
                <w:szCs w:val="20"/>
                <w:color w:val="auto"/>
              </w:rPr>
            </w:pPr>
            <w:r>
              <w:rPr>
                <w:rFonts w:ascii="Arial" w:cs="Arial" w:eastAsia="Arial" w:hAnsi="Arial"/>
                <w:sz w:val="15"/>
                <w:szCs w:val="15"/>
                <w:color w:val="auto"/>
              </w:rPr>
              <w:t>—</w:t>
            </w:r>
          </w:p>
        </w:tc>
        <w:tc>
          <w:tcPr>
            <w:tcW w:w="680" w:type="dxa"/>
            <w:vAlign w:val="bottom"/>
          </w:tcPr>
          <w:p>
            <w:pPr>
              <w:spacing w:after="0"/>
              <w:rPr>
                <w:sz w:val="14"/>
                <w:szCs w:val="14"/>
                <w:color w:val="auto"/>
              </w:rPr>
            </w:pPr>
          </w:p>
        </w:tc>
        <w:tc>
          <w:tcPr>
            <w:tcW w:w="340" w:type="dxa"/>
            <w:vAlign w:val="bottom"/>
          </w:tcPr>
          <w:p>
            <w:pPr>
              <w:ind w:left="60"/>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680" w:type="dxa"/>
            <w:vAlign w:val="bottom"/>
          </w:tcPr>
          <w:p>
            <w:pPr>
              <w:ind w:left="1400"/>
              <w:spacing w:after="0" w:line="168" w:lineRule="exact"/>
              <w:rPr>
                <w:sz w:val="20"/>
                <w:szCs w:val="20"/>
                <w:color w:val="auto"/>
              </w:rPr>
            </w:pPr>
            <w:r>
              <w:rPr>
                <w:rFonts w:ascii="Arial" w:cs="Arial" w:eastAsia="Arial" w:hAnsi="Arial"/>
                <w:sz w:val="15"/>
                <w:szCs w:val="15"/>
                <w:color w:val="auto"/>
              </w:rPr>
              <w:t>—</w:t>
            </w:r>
          </w:p>
        </w:tc>
      </w:tr>
      <w:tr>
        <w:trPr>
          <w:trHeight w:val="168"/>
        </w:trPr>
        <w:tc>
          <w:tcPr>
            <w:tcW w:w="58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Volatility</w:t>
            </w:r>
          </w:p>
        </w:tc>
        <w:tc>
          <w:tcPr>
            <w:tcW w:w="820" w:type="dxa"/>
            <w:vAlign w:val="bottom"/>
            <w:gridSpan w:val="2"/>
            <w:shd w:val="clear" w:color="auto" w:fill="CFF0FC"/>
          </w:tcPr>
          <w:p>
            <w:pPr>
              <w:jc w:val="right"/>
              <w:spacing w:after="0" w:line="168" w:lineRule="exact"/>
              <w:rPr>
                <w:sz w:val="20"/>
                <w:szCs w:val="20"/>
                <w:color w:val="auto"/>
              </w:rPr>
            </w:pPr>
            <w:r>
              <w:rPr>
                <w:rFonts w:ascii="Arial" w:cs="Arial" w:eastAsia="Arial" w:hAnsi="Arial"/>
                <w:sz w:val="15"/>
                <w:szCs w:val="15"/>
                <w:color w:val="auto"/>
              </w:rPr>
              <w:t>89</w:t>
            </w:r>
          </w:p>
        </w:tc>
        <w:tc>
          <w:tcPr>
            <w:tcW w:w="6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- 93%</w:t>
            </w:r>
          </w:p>
        </w:tc>
        <w:tc>
          <w:tcPr>
            <w:tcW w:w="1160" w:type="dxa"/>
            <w:vAlign w:val="bottom"/>
            <w:gridSpan w:val="3"/>
            <w:shd w:val="clear" w:color="auto" w:fill="CFF0FC"/>
          </w:tcPr>
          <w:p>
            <w:pPr>
              <w:jc w:val="right"/>
              <w:spacing w:after="0" w:line="168" w:lineRule="exact"/>
              <w:rPr>
                <w:sz w:val="20"/>
                <w:szCs w:val="20"/>
                <w:color w:val="auto"/>
              </w:rPr>
            </w:pPr>
            <w:r>
              <w:rPr>
                <w:rFonts w:ascii="Arial" w:cs="Arial" w:eastAsia="Arial" w:hAnsi="Arial"/>
                <w:sz w:val="15"/>
                <w:szCs w:val="15"/>
                <w:color w:val="auto"/>
              </w:rPr>
              <w:t>67</w:t>
            </w:r>
          </w:p>
        </w:tc>
        <w:tc>
          <w:tcPr>
            <w:tcW w:w="680" w:type="dxa"/>
            <w:vAlign w:val="bottom"/>
            <w:shd w:val="clear" w:color="auto" w:fill="CFF0FC"/>
          </w:tcPr>
          <w:p>
            <w:pPr>
              <w:ind w:left="40"/>
              <w:spacing w:after="0" w:line="168" w:lineRule="exact"/>
              <w:rPr>
                <w:sz w:val="20"/>
                <w:szCs w:val="20"/>
                <w:color w:val="auto"/>
              </w:rPr>
            </w:pPr>
            <w:r>
              <w:rPr>
                <w:rFonts w:ascii="Arial" w:cs="Arial" w:eastAsia="Arial" w:hAnsi="Arial"/>
                <w:sz w:val="15"/>
                <w:szCs w:val="15"/>
                <w:color w:val="auto"/>
              </w:rPr>
              <w:t>- 99%</w:t>
            </w:r>
          </w:p>
        </w:tc>
        <w:tc>
          <w:tcPr>
            <w:tcW w:w="340" w:type="dxa"/>
            <w:vAlign w:val="bottom"/>
            <w:shd w:val="clear" w:color="auto" w:fill="CFF0FC"/>
          </w:tcPr>
          <w:p>
            <w:pPr>
              <w:spacing w:after="0"/>
              <w:rPr>
                <w:sz w:val="14"/>
                <w:szCs w:val="14"/>
                <w:color w:val="auto"/>
              </w:rPr>
            </w:pPr>
          </w:p>
        </w:tc>
        <w:tc>
          <w:tcPr>
            <w:tcW w:w="1820" w:type="dxa"/>
            <w:vAlign w:val="bottom"/>
            <w:gridSpan w:val="2"/>
            <w:shd w:val="clear" w:color="auto" w:fill="CFF0FC"/>
          </w:tcPr>
          <w:p>
            <w:pPr>
              <w:jc w:val="center"/>
              <w:spacing w:after="0" w:line="168" w:lineRule="exact"/>
              <w:rPr>
                <w:sz w:val="20"/>
                <w:szCs w:val="20"/>
                <w:color w:val="auto"/>
              </w:rPr>
            </w:pPr>
            <w:r>
              <w:rPr>
                <w:rFonts w:ascii="Arial" w:cs="Arial" w:eastAsia="Arial" w:hAnsi="Arial"/>
                <w:sz w:val="15"/>
                <w:szCs w:val="15"/>
                <w:color w:val="auto"/>
                <w:w w:val="93"/>
              </w:rPr>
              <w:t>87 - 91 %</w:t>
            </w:r>
          </w:p>
        </w:tc>
      </w:tr>
      <w:tr>
        <w:trPr>
          <w:trHeight w:val="189"/>
        </w:trPr>
        <w:tc>
          <w:tcPr>
            <w:tcW w:w="5800" w:type="dxa"/>
            <w:vAlign w:val="bottom"/>
          </w:tcPr>
          <w:p>
            <w:pPr>
              <w:ind w:left="20"/>
              <w:spacing w:after="0"/>
              <w:rPr>
                <w:sz w:val="20"/>
                <w:szCs w:val="20"/>
                <w:color w:val="auto"/>
              </w:rPr>
            </w:pPr>
            <w:r>
              <w:rPr>
                <w:rFonts w:ascii="Arial" w:cs="Arial" w:eastAsia="Arial" w:hAnsi="Arial"/>
                <w:sz w:val="15"/>
                <w:szCs w:val="15"/>
                <w:color w:val="auto"/>
              </w:rPr>
              <w:t>Weighted average expected term</w:t>
            </w:r>
          </w:p>
        </w:tc>
        <w:tc>
          <w:tcPr>
            <w:tcW w:w="140" w:type="dxa"/>
            <w:vAlign w:val="bottom"/>
          </w:tcPr>
          <w:p>
            <w:pPr>
              <w:spacing w:after="0"/>
              <w:rPr>
                <w:sz w:val="16"/>
                <w:szCs w:val="16"/>
                <w:color w:val="auto"/>
              </w:rPr>
            </w:pPr>
          </w:p>
        </w:tc>
        <w:tc>
          <w:tcPr>
            <w:tcW w:w="1340" w:type="dxa"/>
            <w:vAlign w:val="bottom"/>
            <w:gridSpan w:val="2"/>
          </w:tcPr>
          <w:p>
            <w:pPr>
              <w:jc w:val="center"/>
              <w:ind w:left="186"/>
              <w:spacing w:after="0"/>
              <w:rPr>
                <w:sz w:val="20"/>
                <w:szCs w:val="20"/>
                <w:color w:val="auto"/>
              </w:rPr>
            </w:pPr>
            <w:r>
              <w:rPr>
                <w:rFonts w:ascii="Arial" w:cs="Arial" w:eastAsia="Arial" w:hAnsi="Arial"/>
                <w:sz w:val="15"/>
                <w:szCs w:val="15"/>
                <w:color w:val="auto"/>
                <w:w w:val="88"/>
              </w:rPr>
              <w:t>5.0 - 6.17 years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left="146"/>
              <w:spacing w:after="0"/>
              <w:rPr>
                <w:sz w:val="20"/>
                <w:szCs w:val="20"/>
                <w:color w:val="auto"/>
              </w:rPr>
            </w:pPr>
            <w:r>
              <w:rPr>
                <w:rFonts w:ascii="Arial" w:cs="Arial" w:eastAsia="Arial" w:hAnsi="Arial"/>
                <w:sz w:val="15"/>
                <w:szCs w:val="15"/>
                <w:color w:val="auto"/>
                <w:w w:val="88"/>
              </w:rPr>
              <w:t>3.51 - 6.14 years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ind w:left="280"/>
              <w:spacing w:after="0"/>
              <w:rPr>
                <w:sz w:val="20"/>
                <w:szCs w:val="20"/>
                <w:color w:val="auto"/>
              </w:rPr>
            </w:pPr>
            <w:r>
              <w:rPr>
                <w:rFonts w:ascii="Arial" w:cs="Arial" w:eastAsia="Arial" w:hAnsi="Arial"/>
                <w:sz w:val="15"/>
                <w:szCs w:val="15"/>
                <w:color w:val="auto"/>
              </w:rPr>
              <w:t>5.00 - 6.13 years</w:t>
            </w:r>
          </w:p>
        </w:tc>
      </w:tr>
    </w:tbl>
    <w:p>
      <w:pPr>
        <w:spacing w:after="0" w:line="169" w:lineRule="exact"/>
        <w:rPr>
          <w:sz w:val="20"/>
          <w:szCs w:val="20"/>
          <w:color w:val="auto"/>
        </w:rPr>
      </w:pPr>
    </w:p>
    <w:p>
      <w:pPr>
        <w:ind w:right="60" w:firstLine="751"/>
        <w:spacing w:after="0" w:line="172" w:lineRule="exact"/>
        <w:rPr>
          <w:sz w:val="20"/>
          <w:szCs w:val="20"/>
          <w:color w:val="auto"/>
        </w:rPr>
      </w:pPr>
      <w:r>
        <w:rPr>
          <w:rFonts w:ascii="Arial" w:cs="Arial" w:eastAsia="Arial" w:hAnsi="Arial"/>
          <w:sz w:val="14"/>
          <w:szCs w:val="14"/>
          <w:color w:val="auto"/>
        </w:rPr>
        <w:t>The weighted average grant date fair value of options granted was $39.64, $36.77, and $12.49 per option for the years ended December 31, 2021, 2020 and 2019, respectively. As of December 31, 2021, there was $72.2 million of total unrecognized compensation cost related to non</w:t>
      </w:r>
      <w:r>
        <w:rPr>
          <w:rFonts w:ascii="MS PGothic" w:cs="MS PGothic" w:eastAsia="MS PGothic" w:hAnsi="MS PGothic"/>
          <w:sz w:val="14"/>
          <w:szCs w:val="14"/>
          <w:color w:val="auto"/>
        </w:rPr>
        <w:t>‑</w:t>
      </w:r>
      <w:r>
        <w:rPr>
          <w:rFonts w:ascii="Arial" w:cs="Arial" w:eastAsia="Arial" w:hAnsi="Arial"/>
          <w:sz w:val="14"/>
          <w:szCs w:val="14"/>
          <w:color w:val="auto"/>
        </w:rPr>
        <w:t>vested stock options which is expected to be recognized over a weighted average period of 3.2 years. These amounts do not include 6,169 options outstanding as of December 31, 2021, which are performance</w:t>
      </w:r>
      <w:r>
        <w:rPr>
          <w:rFonts w:ascii="MS PGothic" w:cs="MS PGothic" w:eastAsia="MS PGothic" w:hAnsi="MS PGothic"/>
          <w:sz w:val="14"/>
          <w:szCs w:val="14"/>
          <w:color w:val="auto"/>
        </w:rPr>
        <w:t>‑</w:t>
      </w:r>
      <w:r>
        <w:rPr>
          <w:rFonts w:ascii="Arial" w:cs="Arial" w:eastAsia="Arial" w:hAnsi="Arial"/>
          <w:sz w:val="14"/>
          <w:szCs w:val="14"/>
          <w:color w:val="auto"/>
        </w:rPr>
        <w:t>based and vest upon the achievement of certain corporate milestones. Stock</w:t>
      </w:r>
      <w:r>
        <w:rPr>
          <w:rFonts w:ascii="MS PGothic" w:cs="MS PGothic" w:eastAsia="MS PGothic" w:hAnsi="MS PGothic"/>
          <w:sz w:val="14"/>
          <w:szCs w:val="14"/>
          <w:color w:val="auto"/>
        </w:rPr>
        <w:t>‑</w:t>
      </w:r>
      <w:r>
        <w:rPr>
          <w:rFonts w:ascii="Arial" w:cs="Arial" w:eastAsia="Arial" w:hAnsi="Arial"/>
          <w:sz w:val="14"/>
          <w:szCs w:val="14"/>
          <w:color w:val="auto"/>
        </w:rPr>
        <w:t>based compensation will be measured and recorded if and when it is probable that the milestone will occur. The intrinsic value of stock options exercised during the years ended December 31, 2021, 2020 and 2019 was $13.5 million, $9.4 million, and $4.5 million, respectively.</w:t>
      </w:r>
    </w:p>
    <w:p>
      <w:pPr>
        <w:spacing w:after="0" w:line="3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 Units</w:t>
      </w:r>
    </w:p>
    <w:p>
      <w:pPr>
        <w:spacing w:after="0" w:line="178" w:lineRule="exact"/>
        <w:rPr>
          <w:sz w:val="20"/>
          <w:szCs w:val="20"/>
          <w:color w:val="auto"/>
        </w:rPr>
      </w:pPr>
    </w:p>
    <w:p>
      <w:pPr>
        <w:ind w:right="280" w:firstLine="751"/>
        <w:spacing w:after="0"/>
        <w:rPr>
          <w:sz w:val="20"/>
          <w:szCs w:val="20"/>
          <w:color w:val="auto"/>
        </w:rPr>
      </w:pPr>
      <w:r>
        <w:rPr>
          <w:rFonts w:ascii="Arial" w:cs="Arial" w:eastAsia="Arial" w:hAnsi="Arial"/>
          <w:sz w:val="15"/>
          <w:szCs w:val="15"/>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December 31, 2021, total compensation cost not yet recognized related to unvested RSUs was $10.4 million, which is expected to be recognized over a weighted-average period of 3.1 years. The intrinsic value of RSUs lapsed during the year ended December 31, 2021 was $0.4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38" w:name="page139"/>
    <w:bookmarkEnd w:id="13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sets forth the RSU activity for the year ended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471"/>
              <w:spacing w:after="0"/>
              <w:rPr>
                <w:sz w:val="20"/>
                <w:szCs w:val="20"/>
                <w:color w:val="auto"/>
              </w:rPr>
            </w:pPr>
            <w:r>
              <w:rPr>
                <w:rFonts w:ascii="Arial" w:cs="Arial" w:eastAsia="Arial" w:hAnsi="Arial"/>
                <w:sz w:val="12"/>
                <w:szCs w:val="12"/>
                <w:b w:val="1"/>
                <w:bCs w:val="1"/>
                <w:color w:val="auto"/>
                <w:w w:val="88"/>
              </w:rPr>
              <w:t>Weighted</w:t>
            </w:r>
          </w:p>
        </w:tc>
      </w:tr>
      <w:tr>
        <w:trPr>
          <w:trHeight w:val="145"/>
        </w:trPr>
        <w:tc>
          <w:tcPr>
            <w:tcW w:w="6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471"/>
              <w:spacing w:after="0"/>
              <w:rPr>
                <w:sz w:val="20"/>
                <w:szCs w:val="20"/>
                <w:color w:val="auto"/>
              </w:rPr>
            </w:pPr>
            <w:r>
              <w:rPr>
                <w:rFonts w:ascii="Arial" w:cs="Arial" w:eastAsia="Arial" w:hAnsi="Arial"/>
                <w:sz w:val="12"/>
                <w:szCs w:val="12"/>
                <w:b w:val="1"/>
                <w:bCs w:val="1"/>
                <w:color w:val="auto"/>
                <w:w w:val="88"/>
              </w:rPr>
              <w:t>average</w:t>
            </w:r>
          </w:p>
        </w:tc>
      </w:tr>
      <w:tr>
        <w:trPr>
          <w:trHeight w:val="145"/>
        </w:trPr>
        <w:tc>
          <w:tcPr>
            <w:tcW w:w="6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471"/>
              <w:spacing w:after="0"/>
              <w:rPr>
                <w:sz w:val="20"/>
                <w:szCs w:val="20"/>
                <w:color w:val="auto"/>
              </w:rPr>
            </w:pPr>
            <w:r>
              <w:rPr>
                <w:rFonts w:ascii="Arial" w:cs="Arial" w:eastAsia="Arial" w:hAnsi="Arial"/>
                <w:sz w:val="12"/>
                <w:szCs w:val="12"/>
                <w:b w:val="1"/>
                <w:bCs w:val="1"/>
                <w:color w:val="auto"/>
                <w:w w:val="89"/>
              </w:rPr>
              <w:t>grant date</w:t>
            </w:r>
          </w:p>
        </w:tc>
      </w:tr>
      <w:tr>
        <w:trPr>
          <w:trHeight w:val="152"/>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of shares</w:t>
            </w: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471"/>
              <w:spacing w:after="0"/>
              <w:rPr>
                <w:sz w:val="20"/>
                <w:szCs w:val="20"/>
                <w:color w:val="auto"/>
              </w:rPr>
            </w:pPr>
            <w:r>
              <w:rPr>
                <w:rFonts w:ascii="Arial" w:cs="Arial" w:eastAsia="Arial" w:hAnsi="Arial"/>
                <w:sz w:val="12"/>
                <w:szCs w:val="12"/>
                <w:b w:val="1"/>
                <w:bCs w:val="1"/>
                <w:color w:val="auto"/>
                <w:w w:val="91"/>
              </w:rPr>
              <w:t>fair value</w:t>
            </w:r>
          </w:p>
        </w:tc>
      </w:tr>
      <w:tr>
        <w:trPr>
          <w:trHeight w:val="159"/>
        </w:trPr>
        <w:tc>
          <w:tcPr>
            <w:tcW w:w="660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Outstanding at December 31, 2020</w:t>
            </w: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47"/>
              <w:spacing w:after="0" w:line="159" w:lineRule="exact"/>
              <w:rPr>
                <w:sz w:val="20"/>
                <w:szCs w:val="20"/>
                <w:color w:val="auto"/>
              </w:rPr>
            </w:pPr>
            <w:r>
              <w:rPr>
                <w:rFonts w:ascii="Arial" w:cs="Arial" w:eastAsia="Arial" w:hAnsi="Arial"/>
                <w:sz w:val="15"/>
                <w:szCs w:val="15"/>
                <w:color w:val="auto"/>
                <w:w w:val="95"/>
              </w:rPr>
              <w:t>136,067</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9" w:lineRule="exact"/>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60" w:type="dxa"/>
            <w:vAlign w:val="bottom"/>
            <w:shd w:val="clear" w:color="auto" w:fill="CFF0FC"/>
          </w:tcPr>
          <w:p>
            <w:pPr>
              <w:jc w:val="right"/>
              <w:ind w:right="51"/>
              <w:spacing w:after="0" w:line="159" w:lineRule="exact"/>
              <w:rPr>
                <w:sz w:val="20"/>
                <w:szCs w:val="20"/>
                <w:color w:val="auto"/>
              </w:rPr>
            </w:pPr>
            <w:r>
              <w:rPr>
                <w:rFonts w:ascii="Arial" w:cs="Arial" w:eastAsia="Arial" w:hAnsi="Arial"/>
                <w:sz w:val="15"/>
                <w:szCs w:val="15"/>
                <w:color w:val="auto"/>
              </w:rPr>
              <w:t>36.83</w:t>
            </w:r>
          </w:p>
        </w:tc>
      </w:tr>
      <w:tr>
        <w:trPr>
          <w:trHeight w:val="168"/>
        </w:trPr>
        <w:tc>
          <w:tcPr>
            <w:tcW w:w="6600" w:type="dxa"/>
            <w:vAlign w:val="bottom"/>
          </w:tcPr>
          <w:p>
            <w:pPr>
              <w:ind w:left="160"/>
              <w:spacing w:after="0" w:line="168" w:lineRule="exact"/>
              <w:rPr>
                <w:sz w:val="20"/>
                <w:szCs w:val="20"/>
                <w:color w:val="auto"/>
              </w:rPr>
            </w:pPr>
            <w:r>
              <w:rPr>
                <w:rFonts w:ascii="Arial" w:cs="Arial" w:eastAsia="Arial" w:hAnsi="Arial"/>
                <w:sz w:val="15"/>
                <w:szCs w:val="15"/>
                <w:color w:val="auto"/>
              </w:rPr>
              <w:t>Granted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Arial" w:cs="Arial" w:eastAsia="Arial" w:hAnsi="Arial"/>
                <w:sz w:val="15"/>
                <w:szCs w:val="15"/>
                <w:color w:val="auto"/>
                <w:w w:val="95"/>
              </w:rPr>
              <w:t>247,510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51"/>
              <w:spacing w:after="0" w:line="168" w:lineRule="exact"/>
              <w:rPr>
                <w:sz w:val="20"/>
                <w:szCs w:val="20"/>
                <w:color w:val="auto"/>
              </w:rPr>
            </w:pPr>
            <w:r>
              <w:rPr>
                <w:rFonts w:ascii="Arial" w:cs="Arial" w:eastAsia="Arial" w:hAnsi="Arial"/>
                <w:sz w:val="15"/>
                <w:szCs w:val="15"/>
                <w:color w:val="auto"/>
              </w:rPr>
              <w:t>45.51</w:t>
            </w:r>
          </w:p>
        </w:tc>
      </w:tr>
      <w:tr>
        <w:trPr>
          <w:trHeight w:val="168"/>
        </w:trPr>
        <w:tc>
          <w:tcPr>
            <w:tcW w:w="660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Released</w:t>
            </w: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8" w:lineRule="exact"/>
              <w:rPr>
                <w:sz w:val="20"/>
                <w:szCs w:val="20"/>
                <w:color w:val="auto"/>
              </w:rPr>
            </w:pPr>
            <w:r>
              <w:rPr>
                <w:rFonts w:ascii="Arial" w:cs="Arial" w:eastAsia="Arial" w:hAnsi="Arial"/>
                <w:sz w:val="15"/>
                <w:szCs w:val="15"/>
                <w:color w:val="auto"/>
                <w:w w:val="96"/>
              </w:rPr>
              <w:t>(10,077 )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51"/>
              <w:spacing w:after="0" w:line="168" w:lineRule="exact"/>
              <w:rPr>
                <w:sz w:val="20"/>
                <w:szCs w:val="20"/>
                <w:color w:val="auto"/>
              </w:rPr>
            </w:pPr>
            <w:r>
              <w:rPr>
                <w:rFonts w:ascii="Arial" w:cs="Arial" w:eastAsia="Arial" w:hAnsi="Arial"/>
                <w:sz w:val="15"/>
                <w:szCs w:val="15"/>
                <w:color w:val="auto"/>
              </w:rPr>
              <w:t>49.18</w:t>
            </w:r>
          </w:p>
        </w:tc>
      </w:tr>
      <w:tr>
        <w:trPr>
          <w:trHeight w:val="168"/>
        </w:trPr>
        <w:tc>
          <w:tcPr>
            <w:tcW w:w="6600" w:type="dxa"/>
            <w:vAlign w:val="bottom"/>
          </w:tcPr>
          <w:p>
            <w:pPr>
              <w:ind w:left="160"/>
              <w:spacing w:after="0" w:line="168" w:lineRule="exact"/>
              <w:rPr>
                <w:sz w:val="20"/>
                <w:szCs w:val="20"/>
                <w:color w:val="auto"/>
              </w:rPr>
            </w:pPr>
            <w:r>
              <w:rPr>
                <w:rFonts w:ascii="Arial" w:cs="Arial" w:eastAsia="Arial" w:hAnsi="Arial"/>
                <w:sz w:val="15"/>
                <w:szCs w:val="15"/>
                <w:color w:val="auto"/>
              </w:rPr>
              <w:t>Forfeited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Arial" w:cs="Arial" w:eastAsia="Arial" w:hAnsi="Arial"/>
                <w:sz w:val="15"/>
                <w:szCs w:val="15"/>
                <w:color w:val="auto"/>
                <w:w w:val="96"/>
              </w:rPr>
              <w:t>(46,875 )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51"/>
              <w:spacing w:after="0" w:line="168" w:lineRule="exact"/>
              <w:rPr>
                <w:sz w:val="20"/>
                <w:szCs w:val="20"/>
                <w:color w:val="auto"/>
              </w:rPr>
            </w:pPr>
            <w:r>
              <w:rPr>
                <w:rFonts w:ascii="Arial" w:cs="Arial" w:eastAsia="Arial" w:hAnsi="Arial"/>
                <w:sz w:val="15"/>
                <w:szCs w:val="15"/>
                <w:color w:val="auto"/>
              </w:rPr>
              <w:t>47.71</w:t>
            </w:r>
          </w:p>
        </w:tc>
      </w:tr>
      <w:tr>
        <w:trPr>
          <w:trHeight w:val="168"/>
        </w:trPr>
        <w:tc>
          <w:tcPr>
            <w:tcW w:w="6600" w:type="dxa"/>
            <w:vAlign w:val="bottom"/>
            <w:shd w:val="clear" w:color="auto" w:fill="CFF0FC"/>
          </w:tcPr>
          <w:p>
            <w:pPr>
              <w:ind w:left="160"/>
              <w:spacing w:after="0" w:line="168" w:lineRule="exact"/>
              <w:rPr>
                <w:sz w:val="20"/>
                <w:szCs w:val="20"/>
                <w:color w:val="auto"/>
              </w:rPr>
            </w:pPr>
            <w:r>
              <w:rPr>
                <w:rFonts w:ascii="Arial" w:cs="Arial" w:eastAsia="Arial" w:hAnsi="Arial"/>
                <w:sz w:val="15"/>
                <w:szCs w:val="15"/>
                <w:color w:val="auto"/>
              </w:rPr>
              <w:t>Cancelled</w:t>
            </w: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300"/>
              <w:spacing w:after="0" w:line="168" w:lineRule="exact"/>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60" w:type="dxa"/>
            <w:vAlign w:val="bottom"/>
            <w:shd w:val="clear" w:color="auto" w:fill="CFF0FC"/>
          </w:tcPr>
          <w:p>
            <w:pPr>
              <w:jc w:val="right"/>
              <w:ind w:right="51"/>
              <w:spacing w:after="0" w:line="168" w:lineRule="exact"/>
              <w:rPr>
                <w:sz w:val="20"/>
                <w:szCs w:val="20"/>
                <w:color w:val="auto"/>
              </w:rPr>
            </w:pPr>
            <w:r>
              <w:rPr>
                <w:rFonts w:ascii="Arial" w:cs="Arial" w:eastAsia="Arial" w:hAnsi="Arial"/>
                <w:sz w:val="15"/>
                <w:szCs w:val="15"/>
                <w:color w:val="auto"/>
              </w:rPr>
              <w:t>—</w:t>
            </w:r>
          </w:p>
        </w:tc>
      </w:tr>
      <w:tr>
        <w:trPr>
          <w:trHeight w:val="159"/>
        </w:trPr>
        <w:tc>
          <w:tcPr>
            <w:tcW w:w="6600" w:type="dxa"/>
            <w:vAlign w:val="bottom"/>
            <w:tcBorders>
              <w:top w:val="single" w:sz="8" w:color="CFF0FC"/>
            </w:tcBorders>
          </w:tcPr>
          <w:p>
            <w:pPr>
              <w:ind w:left="20"/>
              <w:spacing w:after="0" w:line="159" w:lineRule="exact"/>
              <w:rPr>
                <w:sz w:val="20"/>
                <w:szCs w:val="20"/>
                <w:color w:val="auto"/>
              </w:rPr>
            </w:pPr>
            <w:r>
              <w:rPr>
                <w:rFonts w:ascii="Arial" w:cs="Arial" w:eastAsia="Arial" w:hAnsi="Arial"/>
                <w:sz w:val="15"/>
                <w:szCs w:val="15"/>
                <w:color w:val="auto"/>
              </w:rPr>
              <w:t>Outstanding at December 31, 2021</w:t>
            </w:r>
          </w:p>
        </w:tc>
        <w:tc>
          <w:tcPr>
            <w:tcW w:w="320" w:type="dxa"/>
            <w:vAlign w:val="bottom"/>
            <w:tcBorders>
              <w:top w:val="single" w:sz="8" w:color="CFF0FC"/>
            </w:tcBorders>
          </w:tcPr>
          <w:p>
            <w:pPr>
              <w:spacing w:after="0"/>
              <w:rPr>
                <w:sz w:val="13"/>
                <w:szCs w:val="13"/>
                <w:color w:val="auto"/>
              </w:rPr>
            </w:pPr>
          </w:p>
        </w:tc>
        <w:tc>
          <w:tcPr>
            <w:tcW w:w="820" w:type="dxa"/>
            <w:vAlign w:val="bottom"/>
            <w:tcBorders>
              <w:top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47"/>
              <w:spacing w:after="0" w:line="159" w:lineRule="exact"/>
              <w:rPr>
                <w:sz w:val="20"/>
                <w:szCs w:val="20"/>
                <w:color w:val="auto"/>
              </w:rPr>
            </w:pPr>
            <w:r>
              <w:rPr>
                <w:rFonts w:ascii="Arial" w:cs="Arial" w:eastAsia="Arial" w:hAnsi="Arial"/>
                <w:sz w:val="15"/>
                <w:szCs w:val="15"/>
                <w:color w:val="auto"/>
                <w:w w:val="95"/>
              </w:rPr>
              <w:t>326,625</w:t>
            </w:r>
          </w:p>
        </w:tc>
        <w:tc>
          <w:tcPr>
            <w:tcW w:w="180" w:type="dxa"/>
            <w:vAlign w:val="bottom"/>
            <w:tcBorders>
              <w:top w:val="single" w:sz="8" w:color="CFF0FC"/>
            </w:tcBorders>
          </w:tcPr>
          <w:p>
            <w:pPr>
              <w:spacing w:after="0"/>
              <w:rPr>
                <w:sz w:val="13"/>
                <w:szCs w:val="13"/>
                <w:color w:val="auto"/>
              </w:rPr>
            </w:pPr>
          </w:p>
        </w:tc>
        <w:tc>
          <w:tcPr>
            <w:tcW w:w="80" w:type="dxa"/>
            <w:vAlign w:val="bottom"/>
            <w:tcBorders>
              <w:top w:val="single" w:sz="8" w:color="CFF0FC"/>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140" w:type="dxa"/>
            <w:vAlign w:val="bottom"/>
            <w:tcBorders>
              <w:top w:val="single" w:sz="8" w:color="CFF0FC"/>
              <w:bottom w:val="single" w:sz="8" w:color="auto"/>
            </w:tcBorders>
          </w:tcPr>
          <w:p>
            <w:pPr>
              <w:spacing w:after="0"/>
              <w:rPr>
                <w:sz w:val="13"/>
                <w:szCs w:val="13"/>
                <w:color w:val="auto"/>
              </w:rPr>
            </w:pPr>
          </w:p>
        </w:tc>
        <w:tc>
          <w:tcPr>
            <w:tcW w:w="200" w:type="dxa"/>
            <w:vAlign w:val="bottom"/>
            <w:tcBorders>
              <w:top w:val="single" w:sz="8" w:color="CFF0FC"/>
              <w:bottom w:val="single" w:sz="8" w:color="auto"/>
            </w:tcBorders>
          </w:tcPr>
          <w:p>
            <w:pPr>
              <w:spacing w:after="0"/>
              <w:rPr>
                <w:sz w:val="13"/>
                <w:szCs w:val="13"/>
                <w:color w:val="auto"/>
              </w:rPr>
            </w:pPr>
          </w:p>
        </w:tc>
        <w:tc>
          <w:tcPr>
            <w:tcW w:w="1260" w:type="dxa"/>
            <w:vAlign w:val="bottom"/>
            <w:tcBorders>
              <w:top w:val="single" w:sz="8" w:color="CFF0FC"/>
              <w:bottom w:val="single" w:sz="8" w:color="auto"/>
            </w:tcBorders>
          </w:tcPr>
          <w:p>
            <w:pPr>
              <w:jc w:val="right"/>
              <w:ind w:right="51"/>
              <w:spacing w:after="0" w:line="159" w:lineRule="exact"/>
              <w:rPr>
                <w:sz w:val="20"/>
                <w:szCs w:val="20"/>
                <w:color w:val="auto"/>
              </w:rPr>
            </w:pPr>
            <w:r>
              <w:rPr>
                <w:rFonts w:ascii="Arial" w:cs="Arial" w:eastAsia="Arial" w:hAnsi="Arial"/>
                <w:sz w:val="15"/>
                <w:szCs w:val="15"/>
                <w:color w:val="auto"/>
              </w:rPr>
              <w:t>41.47</w:t>
            </w:r>
          </w:p>
        </w:tc>
      </w:tr>
      <w:tr>
        <w:trPr>
          <w:trHeight w:val="20"/>
        </w:trPr>
        <w:tc>
          <w:tcPr>
            <w:tcW w:w="7740" w:type="dxa"/>
            <w:vAlign w:val="bottom"/>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53"/>
        </w:trPr>
        <w:tc>
          <w:tcPr>
            <w:tcW w:w="8080" w:type="dxa"/>
            <w:vAlign w:val="bottom"/>
            <w:gridSpan w:val="4"/>
          </w:tcPr>
          <w:p>
            <w:pPr>
              <w:ind w:left="760"/>
              <w:spacing w:after="0" w:line="173" w:lineRule="exact"/>
              <w:rPr>
                <w:sz w:val="20"/>
                <w:szCs w:val="20"/>
                <w:color w:val="auto"/>
              </w:rPr>
            </w:pPr>
            <w:r>
              <w:rPr>
                <w:rFonts w:ascii="Arial" w:cs="Arial" w:eastAsia="Arial" w:hAnsi="Arial"/>
                <w:sz w:val="15"/>
                <w:szCs w:val="15"/>
                <w:color w:val="auto"/>
                <w:w w:val="90"/>
              </w:rPr>
              <w:t>Stock</w:t>
            </w:r>
            <w:r>
              <w:rPr>
                <w:rFonts w:ascii="MS PGothic" w:cs="MS PGothic" w:eastAsia="MS PGothic" w:hAnsi="MS PGothic"/>
                <w:sz w:val="15"/>
                <w:szCs w:val="15"/>
                <w:color w:val="auto"/>
                <w:w w:val="90"/>
              </w:rPr>
              <w:t>‑</w:t>
            </w:r>
            <w:r>
              <w:rPr>
                <w:rFonts w:ascii="Arial" w:cs="Arial" w:eastAsia="Arial" w:hAnsi="Arial"/>
                <w:sz w:val="15"/>
                <w:szCs w:val="15"/>
                <w:color w:val="auto"/>
                <w:w w:val="90"/>
              </w:rPr>
              <w:t>based compensation expense recognized for the years ended December 31, 2021, 2019, and 2018 was as follows: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6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w w:val="89"/>
              </w:rPr>
              <w:t>2020</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2019</w:t>
            </w:r>
          </w:p>
        </w:tc>
      </w:tr>
      <w:tr>
        <w:trPr>
          <w:trHeight w:val="159"/>
        </w:trPr>
        <w:tc>
          <w:tcPr>
            <w:tcW w:w="660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Research and development</w:t>
            </w:r>
          </w:p>
        </w:tc>
        <w:tc>
          <w:tcPr>
            <w:tcW w:w="320" w:type="dxa"/>
            <w:vAlign w:val="bottom"/>
            <w:shd w:val="clear" w:color="auto" w:fill="CFF0FC"/>
          </w:tcPr>
          <w:p>
            <w:pPr>
              <w:jc w:val="right"/>
              <w:ind w:right="166"/>
              <w:spacing w:after="0" w:line="159"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line="159" w:lineRule="exact"/>
              <w:rPr>
                <w:sz w:val="20"/>
                <w:szCs w:val="20"/>
                <w:color w:val="auto"/>
              </w:rPr>
            </w:pPr>
            <w:r>
              <w:rPr>
                <w:rFonts w:ascii="Arial" w:cs="Arial" w:eastAsia="Arial" w:hAnsi="Arial"/>
                <w:sz w:val="15"/>
                <w:szCs w:val="15"/>
                <w:color w:val="auto"/>
              </w:rPr>
              <w:t>7,456,049</w:t>
            </w: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373"/>
              <w:spacing w:after="0" w:line="159" w:lineRule="exact"/>
              <w:rPr>
                <w:sz w:val="20"/>
                <w:szCs w:val="20"/>
                <w:color w:val="auto"/>
              </w:rPr>
            </w:pPr>
            <w:r>
              <w:rPr>
                <w:rFonts w:ascii="Arial" w:cs="Arial" w:eastAsia="Arial" w:hAnsi="Arial"/>
                <w:sz w:val="15"/>
                <w:szCs w:val="15"/>
                <w:color w:val="auto"/>
                <w:w w:val="95"/>
              </w:rPr>
              <w:t>$</w:t>
            </w:r>
          </w:p>
        </w:tc>
        <w:tc>
          <w:tcPr>
            <w:tcW w:w="840" w:type="dxa"/>
            <w:vAlign w:val="bottom"/>
            <w:gridSpan w:val="2"/>
            <w:shd w:val="clear" w:color="auto" w:fill="CFF0FC"/>
          </w:tcPr>
          <w:p>
            <w:pPr>
              <w:jc w:val="right"/>
              <w:ind w:right="40"/>
              <w:spacing w:after="0" w:line="159" w:lineRule="exact"/>
              <w:rPr>
                <w:sz w:val="20"/>
                <w:szCs w:val="20"/>
                <w:color w:val="auto"/>
              </w:rPr>
            </w:pPr>
            <w:r>
              <w:rPr>
                <w:rFonts w:ascii="Arial" w:cs="Arial" w:eastAsia="Arial" w:hAnsi="Arial"/>
                <w:sz w:val="15"/>
                <w:szCs w:val="15"/>
                <w:color w:val="auto"/>
              </w:rPr>
              <w:t>3,953,939</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26"/>
              <w:spacing w:after="0" w:line="159" w:lineRule="exact"/>
              <w:rPr>
                <w:sz w:val="20"/>
                <w:szCs w:val="20"/>
                <w:color w:val="auto"/>
              </w:rPr>
            </w:pPr>
            <w:r>
              <w:rPr>
                <w:rFonts w:ascii="Arial" w:cs="Arial" w:eastAsia="Arial" w:hAnsi="Arial"/>
                <w:sz w:val="15"/>
                <w:szCs w:val="15"/>
                <w:color w:val="auto"/>
                <w:w w:val="95"/>
              </w:rPr>
              <w:t>$</w:t>
            </w:r>
          </w:p>
        </w:tc>
        <w:tc>
          <w:tcPr>
            <w:tcW w:w="1260" w:type="dxa"/>
            <w:vAlign w:val="bottom"/>
            <w:shd w:val="clear" w:color="auto" w:fill="CFF0FC"/>
          </w:tcPr>
          <w:p>
            <w:pPr>
              <w:jc w:val="right"/>
              <w:ind w:right="51"/>
              <w:spacing w:after="0" w:line="159" w:lineRule="exact"/>
              <w:rPr>
                <w:sz w:val="20"/>
                <w:szCs w:val="20"/>
                <w:color w:val="auto"/>
              </w:rPr>
            </w:pPr>
            <w:r>
              <w:rPr>
                <w:rFonts w:ascii="Arial" w:cs="Arial" w:eastAsia="Arial" w:hAnsi="Arial"/>
                <w:sz w:val="15"/>
                <w:szCs w:val="15"/>
                <w:color w:val="auto"/>
              </w:rPr>
              <w:t>1,584,165</w:t>
            </w:r>
          </w:p>
        </w:tc>
      </w:tr>
      <w:tr>
        <w:trPr>
          <w:trHeight w:val="168"/>
        </w:trPr>
        <w:tc>
          <w:tcPr>
            <w:tcW w:w="6600" w:type="dxa"/>
            <w:vAlign w:val="bottom"/>
          </w:tcPr>
          <w:p>
            <w:pPr>
              <w:ind w:left="20"/>
              <w:spacing w:after="0" w:line="168" w:lineRule="exact"/>
              <w:rPr>
                <w:sz w:val="20"/>
                <w:szCs w:val="20"/>
                <w:color w:val="auto"/>
              </w:rPr>
            </w:pPr>
            <w:r>
              <w:rPr>
                <w:rFonts w:ascii="Arial" w:cs="Arial" w:eastAsia="Arial" w:hAnsi="Arial"/>
                <w:sz w:val="15"/>
                <w:szCs w:val="15"/>
                <w:color w:val="auto"/>
              </w:rPr>
              <w:t>General and administrative</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120"/>
              <w:spacing w:after="0" w:line="168" w:lineRule="exact"/>
              <w:rPr>
                <w:sz w:val="20"/>
                <w:szCs w:val="20"/>
                <w:color w:val="auto"/>
              </w:rPr>
            </w:pPr>
            <w:r>
              <w:rPr>
                <w:rFonts w:ascii="Arial" w:cs="Arial" w:eastAsia="Arial" w:hAnsi="Arial"/>
                <w:sz w:val="15"/>
                <w:szCs w:val="15"/>
                <w:color w:val="auto"/>
              </w:rPr>
              <w:t>13,345,331</w:t>
            </w: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
              <w:spacing w:after="0" w:line="168" w:lineRule="exact"/>
              <w:rPr>
                <w:sz w:val="20"/>
                <w:szCs w:val="20"/>
                <w:color w:val="auto"/>
              </w:rPr>
            </w:pPr>
            <w:r>
              <w:rPr>
                <w:rFonts w:ascii="Arial" w:cs="Arial" w:eastAsia="Arial" w:hAnsi="Arial"/>
                <w:sz w:val="15"/>
                <w:szCs w:val="15"/>
                <w:color w:val="auto"/>
              </w:rPr>
              <w:t>10,802,267</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
              <w:spacing w:after="0" w:line="168" w:lineRule="exact"/>
              <w:rPr>
                <w:sz w:val="20"/>
                <w:szCs w:val="20"/>
                <w:color w:val="auto"/>
              </w:rPr>
            </w:pPr>
            <w:r>
              <w:rPr>
                <w:rFonts w:ascii="Arial" w:cs="Arial" w:eastAsia="Arial" w:hAnsi="Arial"/>
                <w:sz w:val="15"/>
                <w:szCs w:val="15"/>
                <w:color w:val="auto"/>
              </w:rPr>
              <w:t>4,530,995</w:t>
            </w:r>
          </w:p>
        </w:tc>
      </w:tr>
      <w:tr>
        <w:trPr>
          <w:trHeight w:val="199"/>
        </w:trPr>
        <w:tc>
          <w:tcPr>
            <w:tcW w:w="660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shd w:val="clear" w:color="auto" w:fill="CFF0FC"/>
          </w:tcPr>
          <w:p>
            <w:pPr>
              <w:jc w:val="right"/>
              <w:ind w:right="166"/>
              <w:spacing w:after="0" w:line="15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CFF0FC"/>
          </w:tcPr>
          <w:p>
            <w:pPr>
              <w:jc w:val="right"/>
              <w:ind w:right="120"/>
              <w:spacing w:after="0" w:line="159" w:lineRule="exact"/>
              <w:rPr>
                <w:sz w:val="20"/>
                <w:szCs w:val="20"/>
                <w:color w:val="auto"/>
              </w:rPr>
            </w:pPr>
            <w:r>
              <w:rPr>
                <w:rFonts w:ascii="Arial" w:cs="Arial" w:eastAsia="Arial" w:hAnsi="Arial"/>
                <w:sz w:val="15"/>
                <w:szCs w:val="15"/>
                <w:color w:val="auto"/>
              </w:rPr>
              <w:t>20,801,380</w:t>
            </w:r>
          </w:p>
        </w:tc>
        <w:tc>
          <w:tcPr>
            <w:tcW w:w="1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73"/>
              <w:spacing w:after="0" w:line="159" w:lineRule="exact"/>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gridSpan w:val="2"/>
            <w:shd w:val="clear" w:color="auto" w:fill="CFF0FC"/>
          </w:tcPr>
          <w:p>
            <w:pPr>
              <w:jc w:val="right"/>
              <w:ind w:right="20"/>
              <w:spacing w:after="0" w:line="159" w:lineRule="exact"/>
              <w:rPr>
                <w:sz w:val="20"/>
                <w:szCs w:val="20"/>
                <w:color w:val="auto"/>
              </w:rPr>
            </w:pPr>
            <w:r>
              <w:rPr>
                <w:rFonts w:ascii="Arial" w:cs="Arial" w:eastAsia="Arial" w:hAnsi="Arial"/>
                <w:sz w:val="15"/>
                <w:szCs w:val="15"/>
                <w:color w:val="auto"/>
              </w:rPr>
              <w:t>14,756,206</w:t>
            </w:r>
          </w:p>
        </w:tc>
        <w:tc>
          <w:tcPr>
            <w:tcW w:w="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26"/>
              <w:spacing w:after="0" w:line="159" w:lineRule="exact"/>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FF0FC"/>
          </w:tcPr>
          <w:p>
            <w:pPr>
              <w:jc w:val="right"/>
              <w:ind w:right="51"/>
              <w:spacing w:after="0" w:line="159" w:lineRule="exact"/>
              <w:rPr>
                <w:sz w:val="20"/>
                <w:szCs w:val="20"/>
                <w:color w:val="auto"/>
              </w:rPr>
            </w:pPr>
            <w:r>
              <w:rPr>
                <w:rFonts w:ascii="Arial" w:cs="Arial" w:eastAsia="Arial" w:hAnsi="Arial"/>
                <w:sz w:val="15"/>
                <w:szCs w:val="15"/>
                <w:color w:val="auto"/>
              </w:rPr>
              <w:t>6,115,160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5977255</wp:posOffset>
            </wp:positionH>
            <wp:positionV relativeFrom="paragraph">
              <wp:posOffset>-940435</wp:posOffset>
            </wp:positionV>
            <wp:extent cx="113665" cy="4763"/>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3665" cy="4763"/>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-20955</wp:posOffset>
            </wp:positionV>
            <wp:extent cx="9207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-6350</wp:posOffset>
            </wp:positionV>
            <wp:extent cx="9207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-20955</wp:posOffset>
            </wp:positionV>
            <wp:extent cx="9207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92075" cy="6985"/>
                    </a:xfrm>
                    <a:prstGeom prst="rect">
                      <a:avLst/>
                    </a:prstGeom>
                    <a:noFill/>
                  </pic:spPr>
                </pic:pic>
              </a:graphicData>
            </a:graphic>
          </wp:anchor>
        </w:drawing>
        <w:drawing>
          <wp:anchor simplePos="0" relativeHeight="251657728" behindDoc="1" locked="0" layoutInCell="0" allowOverlap="1">
            <wp:simplePos x="0" y="0"/>
            <wp:positionH relativeFrom="column">
              <wp:posOffset>6148070</wp:posOffset>
            </wp:positionH>
            <wp:positionV relativeFrom="paragraph">
              <wp:posOffset>-6350</wp:posOffset>
            </wp:positionV>
            <wp:extent cx="9207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2075" cy="69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Warrants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As of December 31, 2021, the Company had outstanding warrants to purchase 15,541 shares of common stock. The following table summarizes warrant activity as of</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2021, 2020, and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jc w:val="right"/>
              <w:ind w:right="348"/>
              <w:spacing w:after="0"/>
              <w:rPr>
                <w:sz w:val="20"/>
                <w:szCs w:val="20"/>
                <w:color w:val="auto"/>
              </w:rPr>
            </w:pPr>
            <w:r>
              <w:rPr>
                <w:rFonts w:ascii="Arial" w:cs="Arial" w:eastAsia="Arial" w:hAnsi="Arial"/>
                <w:sz w:val="12"/>
                <w:szCs w:val="12"/>
                <w:b w:val="1"/>
                <w:bCs w:val="1"/>
                <w:color w:val="auto"/>
              </w:rPr>
              <w:t>Weighted average</w:t>
            </w:r>
          </w:p>
        </w:tc>
      </w:tr>
      <w:tr>
        <w:trPr>
          <w:trHeight w:val="152"/>
        </w:trPr>
        <w:tc>
          <w:tcPr>
            <w:tcW w:w="7700" w:type="dxa"/>
            <w:vAlign w:val="bottom"/>
          </w:tcPr>
          <w:p>
            <w:pPr>
              <w:spacing w:after="0"/>
              <w:rPr>
                <w:sz w:val="13"/>
                <w:szCs w:val="13"/>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2"/>
                <w:szCs w:val="12"/>
                <w:b w:val="1"/>
                <w:bCs w:val="1"/>
                <w:color w:val="auto"/>
                <w:w w:val="92"/>
              </w:rPr>
              <w:t>Warrants</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exercise price</w:t>
            </w:r>
          </w:p>
        </w:tc>
      </w:tr>
      <w:tr>
        <w:trPr>
          <w:trHeight w:val="159"/>
        </w:trPr>
        <w:tc>
          <w:tcPr>
            <w:tcW w:w="770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Outstanding at December 31, 2018</w:t>
            </w:r>
          </w:p>
        </w:tc>
        <w:tc>
          <w:tcPr>
            <w:tcW w:w="10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ind w:right="26"/>
              <w:spacing w:after="0" w:line="159" w:lineRule="exact"/>
              <w:rPr>
                <w:sz w:val="20"/>
                <w:szCs w:val="20"/>
                <w:color w:val="auto"/>
              </w:rPr>
            </w:pPr>
            <w:r>
              <w:rPr>
                <w:rFonts w:ascii="Arial" w:cs="Arial" w:eastAsia="Arial" w:hAnsi="Arial"/>
                <w:sz w:val="15"/>
                <w:szCs w:val="15"/>
                <w:color w:val="auto"/>
                <w:w w:val="95"/>
              </w:rPr>
              <w:t>123,037</w:t>
            </w: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6"/>
              <w:spacing w:after="0" w:line="159" w:lineRule="exact"/>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8"/>
              <w:spacing w:after="0" w:line="159" w:lineRule="exact"/>
              <w:rPr>
                <w:sz w:val="20"/>
                <w:szCs w:val="20"/>
                <w:color w:val="auto"/>
              </w:rPr>
            </w:pPr>
            <w:r>
              <w:rPr>
                <w:rFonts w:ascii="Arial" w:cs="Arial" w:eastAsia="Arial" w:hAnsi="Arial"/>
                <w:sz w:val="15"/>
                <w:szCs w:val="15"/>
                <w:color w:val="auto"/>
              </w:rPr>
              <w:t>6.35</w:t>
            </w:r>
          </w:p>
        </w:tc>
      </w:tr>
      <w:tr>
        <w:trPr>
          <w:trHeight w:val="159"/>
        </w:trPr>
        <w:tc>
          <w:tcPr>
            <w:tcW w:w="8760" w:type="dxa"/>
            <w:vAlign w:val="bottom"/>
            <w:gridSpan w:val="2"/>
          </w:tcPr>
          <w:p>
            <w:pPr>
              <w:ind w:left="160"/>
              <w:spacing w:after="0" w:line="159" w:lineRule="exact"/>
              <w:rPr>
                <w:sz w:val="20"/>
                <w:szCs w:val="20"/>
                <w:color w:val="auto"/>
              </w:rPr>
            </w:pPr>
            <w:r>
              <w:rPr>
                <w:rFonts w:ascii="Arial" w:cs="Arial" w:eastAsia="Arial" w:hAnsi="Arial"/>
                <w:sz w:val="15"/>
                <w:szCs w:val="15"/>
                <w:color w:val="auto"/>
              </w:rPr>
              <w:t>Issued</w:t>
            </w:r>
          </w:p>
        </w:tc>
        <w:tc>
          <w:tcPr>
            <w:tcW w:w="640" w:type="dxa"/>
            <w:vAlign w:val="bottom"/>
          </w:tcPr>
          <w:p>
            <w:pPr>
              <w:jc w:val="right"/>
              <w:ind w:right="26"/>
              <w:spacing w:after="0" w:line="159" w:lineRule="exact"/>
              <w:rPr>
                <w:sz w:val="20"/>
                <w:szCs w:val="20"/>
                <w:color w:val="auto"/>
              </w:rPr>
            </w:pPr>
            <w:r>
              <w:rPr>
                <w:rFonts w:ascii="Arial" w:cs="Arial" w:eastAsia="Arial" w:hAnsi="Arial"/>
                <w:sz w:val="15"/>
                <w:szCs w:val="15"/>
                <w:color w:val="auto"/>
              </w:rPr>
              <w:t>58,334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
              <w:spacing w:after="0" w:line="159" w:lineRule="exact"/>
              <w:rPr>
                <w:sz w:val="20"/>
                <w:szCs w:val="20"/>
                <w:color w:val="auto"/>
              </w:rPr>
            </w:pPr>
            <w:r>
              <w:rPr>
                <w:rFonts w:ascii="Arial" w:cs="Arial" w:eastAsia="Arial" w:hAnsi="Arial"/>
                <w:sz w:val="15"/>
                <w:szCs w:val="15"/>
                <w:color w:val="auto"/>
              </w:rPr>
              <w:t>8.10</w:t>
            </w:r>
          </w:p>
        </w:tc>
      </w:tr>
      <w:tr>
        <w:trPr>
          <w:trHeight w:val="168"/>
        </w:trPr>
        <w:tc>
          <w:tcPr>
            <w:tcW w:w="7700" w:type="dxa"/>
            <w:vAlign w:val="bottom"/>
            <w:tcBorders>
              <w:bottom w:val="single" w:sz="8" w:color="CFF0FC"/>
            </w:tcBorders>
            <w:shd w:val="clear" w:color="auto" w:fill="CFF0FC"/>
          </w:tcPr>
          <w:p>
            <w:pPr>
              <w:ind w:left="160"/>
              <w:spacing w:after="0" w:line="168" w:lineRule="exact"/>
              <w:rPr>
                <w:sz w:val="20"/>
                <w:szCs w:val="20"/>
                <w:color w:val="auto"/>
              </w:rPr>
            </w:pPr>
            <w:r>
              <w:rPr>
                <w:rFonts w:ascii="Arial" w:cs="Arial" w:eastAsia="Arial" w:hAnsi="Arial"/>
                <w:sz w:val="15"/>
                <w:szCs w:val="15"/>
                <w:color w:val="auto"/>
              </w:rPr>
              <w:t>Exercised</w:t>
            </w:r>
          </w:p>
        </w:tc>
        <w:tc>
          <w:tcPr>
            <w:tcW w:w="10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w w:val="84"/>
              </w:rPr>
              <w:t>(111,715 )</w:t>
            </w: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ind w:right="8"/>
              <w:spacing w:after="0" w:line="168" w:lineRule="exact"/>
              <w:rPr>
                <w:sz w:val="20"/>
                <w:szCs w:val="20"/>
                <w:color w:val="auto"/>
              </w:rPr>
            </w:pPr>
            <w:r>
              <w:rPr>
                <w:rFonts w:ascii="Arial" w:cs="Arial" w:eastAsia="Arial" w:hAnsi="Arial"/>
                <w:sz w:val="15"/>
                <w:szCs w:val="15"/>
                <w:color w:val="auto"/>
              </w:rPr>
              <w:t>6.73</w:t>
            </w:r>
          </w:p>
        </w:tc>
      </w:tr>
      <w:tr>
        <w:trPr>
          <w:trHeight w:val="159"/>
        </w:trPr>
        <w:tc>
          <w:tcPr>
            <w:tcW w:w="8760" w:type="dxa"/>
            <w:vAlign w:val="bottom"/>
            <w:gridSpan w:val="2"/>
          </w:tcPr>
          <w:p>
            <w:pPr>
              <w:ind w:left="20"/>
              <w:spacing w:after="0" w:line="159" w:lineRule="exact"/>
              <w:rPr>
                <w:sz w:val="20"/>
                <w:szCs w:val="20"/>
                <w:color w:val="auto"/>
              </w:rPr>
            </w:pPr>
            <w:r>
              <w:rPr>
                <w:rFonts w:ascii="Arial" w:cs="Arial" w:eastAsia="Arial" w:hAnsi="Arial"/>
                <w:sz w:val="15"/>
                <w:szCs w:val="15"/>
                <w:color w:val="auto"/>
              </w:rPr>
              <w:t>Outstanding at December 31, 2019</w:t>
            </w:r>
          </w:p>
        </w:tc>
        <w:tc>
          <w:tcPr>
            <w:tcW w:w="640" w:type="dxa"/>
            <w:vAlign w:val="bottom"/>
          </w:tcPr>
          <w:p>
            <w:pPr>
              <w:jc w:val="right"/>
              <w:ind w:right="26"/>
              <w:spacing w:after="0" w:line="159" w:lineRule="exact"/>
              <w:rPr>
                <w:sz w:val="20"/>
                <w:szCs w:val="20"/>
                <w:color w:val="auto"/>
              </w:rPr>
            </w:pPr>
            <w:r>
              <w:rPr>
                <w:rFonts w:ascii="Arial" w:cs="Arial" w:eastAsia="Arial" w:hAnsi="Arial"/>
                <w:sz w:val="15"/>
                <w:szCs w:val="15"/>
                <w:color w:val="auto"/>
              </w:rPr>
              <w:t>69,656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
              <w:spacing w:after="0" w:line="159" w:lineRule="exact"/>
              <w:rPr>
                <w:sz w:val="20"/>
                <w:szCs w:val="20"/>
                <w:color w:val="auto"/>
              </w:rPr>
            </w:pPr>
            <w:r>
              <w:rPr>
                <w:rFonts w:ascii="Arial" w:cs="Arial" w:eastAsia="Arial" w:hAnsi="Arial"/>
                <w:sz w:val="15"/>
                <w:szCs w:val="15"/>
                <w:color w:val="auto"/>
              </w:rPr>
              <w:t>7.21</w:t>
            </w:r>
          </w:p>
        </w:tc>
      </w:tr>
      <w:tr>
        <w:trPr>
          <w:trHeight w:val="159"/>
        </w:trPr>
        <w:tc>
          <w:tcPr>
            <w:tcW w:w="7700" w:type="dxa"/>
            <w:vAlign w:val="bottom"/>
            <w:shd w:val="clear" w:color="auto" w:fill="CFF0FC"/>
          </w:tcPr>
          <w:p>
            <w:pPr>
              <w:ind w:left="160"/>
              <w:spacing w:after="0" w:line="159" w:lineRule="exact"/>
              <w:rPr>
                <w:sz w:val="20"/>
                <w:szCs w:val="20"/>
                <w:color w:val="auto"/>
              </w:rPr>
            </w:pPr>
            <w:r>
              <w:rPr>
                <w:rFonts w:ascii="Arial" w:cs="Arial" w:eastAsia="Arial" w:hAnsi="Arial"/>
                <w:sz w:val="15"/>
                <w:szCs w:val="15"/>
                <w:color w:val="auto"/>
              </w:rPr>
              <w:t>Issued</w:t>
            </w:r>
          </w:p>
        </w:tc>
        <w:tc>
          <w:tcPr>
            <w:tcW w:w="10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ind w:right="26"/>
              <w:spacing w:after="0" w:line="159" w:lineRule="exact"/>
              <w:rPr>
                <w:sz w:val="20"/>
                <w:szCs w:val="20"/>
                <w:color w:val="auto"/>
              </w:rPr>
            </w:pPr>
            <w:r>
              <w:rPr>
                <w:rFonts w:ascii="Arial" w:cs="Arial" w:eastAsia="Arial" w:hAnsi="Arial"/>
                <w:sz w:val="15"/>
                <w:szCs w:val="15"/>
                <w:color w:val="auto"/>
              </w:rPr>
              <w:t>15,541</w:t>
            </w:r>
          </w:p>
        </w:tc>
        <w:tc>
          <w:tcPr>
            <w:tcW w:w="18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jc w:val="right"/>
              <w:ind w:right="8"/>
              <w:spacing w:after="0" w:line="159" w:lineRule="exact"/>
              <w:rPr>
                <w:sz w:val="20"/>
                <w:szCs w:val="20"/>
                <w:color w:val="auto"/>
              </w:rPr>
            </w:pPr>
            <w:r>
              <w:rPr>
                <w:rFonts w:ascii="Arial" w:cs="Arial" w:eastAsia="Arial" w:hAnsi="Arial"/>
                <w:sz w:val="15"/>
                <w:szCs w:val="15"/>
                <w:color w:val="auto"/>
              </w:rPr>
              <w:t>80.43</w:t>
            </w:r>
          </w:p>
        </w:tc>
      </w:tr>
      <w:tr>
        <w:trPr>
          <w:trHeight w:val="168"/>
        </w:trPr>
        <w:tc>
          <w:tcPr>
            <w:tcW w:w="8760" w:type="dxa"/>
            <w:vAlign w:val="bottom"/>
            <w:gridSpan w:val="2"/>
          </w:tcPr>
          <w:p>
            <w:pPr>
              <w:ind w:left="160"/>
              <w:spacing w:after="0" w:line="168" w:lineRule="exact"/>
              <w:rPr>
                <w:sz w:val="20"/>
                <w:szCs w:val="20"/>
                <w:color w:val="auto"/>
              </w:rPr>
            </w:pPr>
            <w:r>
              <w:rPr>
                <w:rFonts w:ascii="Arial" w:cs="Arial" w:eastAsia="Arial" w:hAnsi="Arial"/>
                <w:sz w:val="15"/>
                <w:szCs w:val="15"/>
                <w:color w:val="auto"/>
              </w:rPr>
              <w:t>Exercised</w:t>
            </w:r>
          </w:p>
        </w:tc>
        <w:tc>
          <w:tcPr>
            <w:tcW w:w="640" w:type="dxa"/>
            <w:vAlign w:val="bottom"/>
          </w:tcPr>
          <w:p>
            <w:pPr>
              <w:jc w:val="right"/>
              <w:spacing w:after="0" w:line="168" w:lineRule="exact"/>
              <w:rPr>
                <w:sz w:val="20"/>
                <w:szCs w:val="20"/>
                <w:color w:val="auto"/>
              </w:rPr>
            </w:pPr>
            <w:r>
              <w:rPr>
                <w:rFonts w:ascii="Arial" w:cs="Arial" w:eastAsia="Arial" w:hAnsi="Arial"/>
                <w:sz w:val="15"/>
                <w:szCs w:val="15"/>
                <w:color w:val="auto"/>
                <w:w w:val="96"/>
              </w:rPr>
              <w:t>(69,656 )</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8"/>
              <w:spacing w:after="0" w:line="168" w:lineRule="exact"/>
              <w:rPr>
                <w:sz w:val="20"/>
                <w:szCs w:val="20"/>
                <w:color w:val="auto"/>
              </w:rPr>
            </w:pPr>
            <w:r>
              <w:rPr>
                <w:rFonts w:ascii="Arial" w:cs="Arial" w:eastAsia="Arial" w:hAnsi="Arial"/>
                <w:sz w:val="15"/>
                <w:szCs w:val="15"/>
                <w:color w:val="auto"/>
              </w:rPr>
              <w:t>7.21</w:t>
            </w:r>
          </w:p>
        </w:tc>
      </w:tr>
      <w:tr>
        <w:trPr>
          <w:trHeight w:val="159"/>
        </w:trPr>
        <w:tc>
          <w:tcPr>
            <w:tcW w:w="770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Outstanding at December 31, 2020</w:t>
            </w:r>
          </w:p>
        </w:tc>
        <w:tc>
          <w:tcPr>
            <w:tcW w:w="106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ind w:right="26"/>
              <w:spacing w:after="0" w:line="159" w:lineRule="exact"/>
              <w:rPr>
                <w:sz w:val="20"/>
                <w:szCs w:val="20"/>
                <w:color w:val="auto"/>
              </w:rPr>
            </w:pPr>
            <w:r>
              <w:rPr>
                <w:rFonts w:ascii="Arial" w:cs="Arial" w:eastAsia="Arial" w:hAnsi="Arial"/>
                <w:sz w:val="15"/>
                <w:szCs w:val="15"/>
                <w:color w:val="auto"/>
              </w:rPr>
              <w:t>15,541</w:t>
            </w: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480" w:type="dxa"/>
            <w:vAlign w:val="bottom"/>
            <w:tcBorders>
              <w:top w:val="single" w:sz="8" w:color="auto"/>
              <w:bottom w:val="single" w:sz="8" w:color="auto"/>
            </w:tcBorders>
            <w:shd w:val="clear" w:color="auto" w:fill="CFF0FC"/>
          </w:tcPr>
          <w:p>
            <w:pPr>
              <w:jc w:val="right"/>
              <w:ind w:right="8"/>
              <w:spacing w:after="0" w:line="159" w:lineRule="exact"/>
              <w:rPr>
                <w:sz w:val="20"/>
                <w:szCs w:val="20"/>
                <w:color w:val="auto"/>
              </w:rPr>
            </w:pPr>
            <w:r>
              <w:rPr>
                <w:rFonts w:ascii="Arial" w:cs="Arial" w:eastAsia="Arial" w:hAnsi="Arial"/>
                <w:sz w:val="15"/>
                <w:szCs w:val="15"/>
                <w:color w:val="auto"/>
              </w:rPr>
              <w:t>80.43</w:t>
            </w:r>
          </w:p>
        </w:tc>
      </w:tr>
      <w:tr>
        <w:trPr>
          <w:trHeight w:val="159"/>
        </w:trPr>
        <w:tc>
          <w:tcPr>
            <w:tcW w:w="8760" w:type="dxa"/>
            <w:vAlign w:val="bottom"/>
            <w:gridSpan w:val="2"/>
          </w:tcPr>
          <w:p>
            <w:pPr>
              <w:ind w:left="160"/>
              <w:spacing w:after="0" w:line="159" w:lineRule="exact"/>
              <w:rPr>
                <w:sz w:val="20"/>
                <w:szCs w:val="20"/>
                <w:color w:val="auto"/>
              </w:rPr>
            </w:pPr>
            <w:r>
              <w:rPr>
                <w:rFonts w:ascii="Arial" w:cs="Arial" w:eastAsia="Arial" w:hAnsi="Arial"/>
                <w:sz w:val="15"/>
                <w:szCs w:val="15"/>
                <w:color w:val="auto"/>
              </w:rPr>
              <w:t>Issued</w:t>
            </w:r>
          </w:p>
        </w:tc>
        <w:tc>
          <w:tcPr>
            <w:tcW w:w="640" w:type="dxa"/>
            <w:vAlign w:val="bottom"/>
          </w:tcPr>
          <w:p>
            <w:pPr>
              <w:jc w:val="right"/>
              <w:ind w:right="26"/>
              <w:spacing w:after="0" w:line="159"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
              <w:spacing w:after="0" w:line="159" w:lineRule="exact"/>
              <w:rPr>
                <w:sz w:val="20"/>
                <w:szCs w:val="20"/>
                <w:color w:val="auto"/>
              </w:rPr>
            </w:pPr>
            <w:r>
              <w:rPr>
                <w:rFonts w:ascii="Arial" w:cs="Arial" w:eastAsia="Arial" w:hAnsi="Arial"/>
                <w:sz w:val="15"/>
                <w:szCs w:val="15"/>
                <w:color w:val="auto"/>
              </w:rPr>
              <w:t>—</w:t>
            </w:r>
          </w:p>
        </w:tc>
      </w:tr>
      <w:tr>
        <w:trPr>
          <w:trHeight w:val="168"/>
        </w:trPr>
        <w:tc>
          <w:tcPr>
            <w:tcW w:w="7700" w:type="dxa"/>
            <w:vAlign w:val="bottom"/>
            <w:tcBorders>
              <w:bottom w:val="single" w:sz="8" w:color="CFF0FC"/>
            </w:tcBorders>
            <w:shd w:val="clear" w:color="auto" w:fill="CFF0FC"/>
          </w:tcPr>
          <w:p>
            <w:pPr>
              <w:ind w:left="160"/>
              <w:spacing w:after="0" w:line="168" w:lineRule="exact"/>
              <w:rPr>
                <w:sz w:val="20"/>
                <w:szCs w:val="20"/>
                <w:color w:val="auto"/>
              </w:rPr>
            </w:pPr>
            <w:r>
              <w:rPr>
                <w:rFonts w:ascii="Arial" w:cs="Arial" w:eastAsia="Arial" w:hAnsi="Arial"/>
                <w:sz w:val="15"/>
                <w:szCs w:val="15"/>
                <w:color w:val="auto"/>
              </w:rPr>
              <w:t>Exercised</w:t>
            </w:r>
          </w:p>
        </w:tc>
        <w:tc>
          <w:tcPr>
            <w:tcW w:w="10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ind w:right="8"/>
              <w:spacing w:after="0" w:line="168" w:lineRule="exact"/>
              <w:rPr>
                <w:sz w:val="20"/>
                <w:szCs w:val="20"/>
                <w:color w:val="auto"/>
              </w:rPr>
            </w:pPr>
            <w:r>
              <w:rPr>
                <w:rFonts w:ascii="Arial" w:cs="Arial" w:eastAsia="Arial" w:hAnsi="Arial"/>
                <w:sz w:val="15"/>
                <w:szCs w:val="15"/>
                <w:color w:val="auto"/>
              </w:rPr>
              <w:t>—</w:t>
            </w:r>
          </w:p>
        </w:tc>
      </w:tr>
      <w:tr>
        <w:trPr>
          <w:trHeight w:val="159"/>
        </w:trPr>
        <w:tc>
          <w:tcPr>
            <w:tcW w:w="8760" w:type="dxa"/>
            <w:vAlign w:val="bottom"/>
            <w:gridSpan w:val="2"/>
          </w:tcPr>
          <w:p>
            <w:pPr>
              <w:ind w:left="20"/>
              <w:spacing w:after="0" w:line="159" w:lineRule="exact"/>
              <w:rPr>
                <w:sz w:val="20"/>
                <w:szCs w:val="20"/>
                <w:color w:val="auto"/>
              </w:rPr>
            </w:pPr>
            <w:r>
              <w:rPr>
                <w:rFonts w:ascii="Arial" w:cs="Arial" w:eastAsia="Arial" w:hAnsi="Arial"/>
                <w:sz w:val="15"/>
                <w:szCs w:val="15"/>
                <w:color w:val="auto"/>
              </w:rPr>
              <w:t>Outstanding at December 31, 2021</w:t>
            </w:r>
          </w:p>
        </w:tc>
        <w:tc>
          <w:tcPr>
            <w:tcW w:w="640" w:type="dxa"/>
            <w:vAlign w:val="bottom"/>
          </w:tcPr>
          <w:p>
            <w:pPr>
              <w:jc w:val="right"/>
              <w:ind w:right="26"/>
              <w:spacing w:after="0" w:line="159" w:lineRule="exact"/>
              <w:rPr>
                <w:sz w:val="20"/>
                <w:szCs w:val="20"/>
                <w:color w:val="auto"/>
              </w:rPr>
            </w:pPr>
            <w:r>
              <w:rPr>
                <w:rFonts w:ascii="Arial" w:cs="Arial" w:eastAsia="Arial" w:hAnsi="Arial"/>
                <w:sz w:val="15"/>
                <w:szCs w:val="15"/>
                <w:color w:val="auto"/>
              </w:rPr>
              <w:t>15,541</w:t>
            </w:r>
          </w:p>
        </w:tc>
        <w:tc>
          <w:tcPr>
            <w:tcW w:w="400" w:type="dxa"/>
            <w:vAlign w:val="bottom"/>
            <w:gridSpan w:val="2"/>
          </w:tcPr>
          <w:p>
            <w:pPr>
              <w:jc w:val="right"/>
              <w:ind w:right="66"/>
              <w:spacing w:after="0" w:line="159" w:lineRule="exact"/>
              <w:rPr>
                <w:sz w:val="20"/>
                <w:szCs w:val="20"/>
                <w:color w:val="auto"/>
              </w:rPr>
            </w:pPr>
            <w:r>
              <w:rPr>
                <w:rFonts w:ascii="Arial" w:cs="Arial" w:eastAsia="Arial" w:hAnsi="Arial"/>
                <w:sz w:val="15"/>
                <w:szCs w:val="15"/>
                <w:color w:val="auto"/>
              </w:rPr>
              <w:t>$</w:t>
            </w:r>
          </w:p>
        </w:tc>
        <w:tc>
          <w:tcPr>
            <w:tcW w:w="1480" w:type="dxa"/>
            <w:vAlign w:val="bottom"/>
          </w:tcPr>
          <w:p>
            <w:pPr>
              <w:jc w:val="right"/>
              <w:ind w:right="8"/>
              <w:spacing w:after="0" w:line="159" w:lineRule="exact"/>
              <w:rPr>
                <w:sz w:val="20"/>
                <w:szCs w:val="20"/>
                <w:color w:val="auto"/>
              </w:rPr>
            </w:pPr>
            <w:r>
              <w:rPr>
                <w:rFonts w:ascii="Arial" w:cs="Arial" w:eastAsia="Arial" w:hAnsi="Arial"/>
                <w:sz w:val="15"/>
                <w:szCs w:val="15"/>
                <w:color w:val="auto"/>
              </w:rPr>
              <w:t>80.43</w:t>
            </w:r>
          </w:p>
        </w:tc>
      </w:tr>
      <w:tr>
        <w:trPr>
          <w:trHeight w:val="20"/>
        </w:trPr>
        <w:tc>
          <w:tcPr>
            <w:tcW w:w="7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5970270</wp:posOffset>
            </wp:positionH>
            <wp:positionV relativeFrom="paragraph">
              <wp:posOffset>-1018540</wp:posOffset>
            </wp:positionV>
            <wp:extent cx="113665" cy="4763"/>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3665" cy="4763"/>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-798195</wp:posOffset>
            </wp:positionV>
            <wp:extent cx="113665" cy="4763"/>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3665" cy="4763"/>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-351790</wp:posOffset>
            </wp:positionV>
            <wp:extent cx="113665" cy="4763"/>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3665" cy="4763"/>
                    </a:xfrm>
                    <a:prstGeom prst="rect">
                      <a:avLst/>
                    </a:prstGeom>
                    <a:noFill/>
                  </pic:spPr>
                </pic:pic>
              </a:graphicData>
            </a:graphic>
          </wp:anchor>
        </w:drawing>
        <w:drawing>
          <wp:anchor simplePos="0" relativeHeight="251657728" behindDoc="1" locked="0" layoutInCell="0" allowOverlap="1">
            <wp:simplePos x="0" y="0"/>
            <wp:positionH relativeFrom="column">
              <wp:posOffset>5970270</wp:posOffset>
            </wp:positionH>
            <wp:positionV relativeFrom="paragraph">
              <wp:posOffset>-131445</wp:posOffset>
            </wp:positionV>
            <wp:extent cx="113665" cy="4763"/>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3665" cy="4763"/>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Outstanding Warrants issued in 2020</w:t>
      </w:r>
    </w:p>
    <w:p>
      <w:pPr>
        <w:spacing w:after="0" w:line="174" w:lineRule="exact"/>
        <w:rPr>
          <w:sz w:val="20"/>
          <w:szCs w:val="20"/>
          <w:color w:val="auto"/>
        </w:rPr>
      </w:pPr>
    </w:p>
    <w:p>
      <w:pPr>
        <w:ind w:right="20" w:firstLine="751"/>
        <w:spacing w:after="0" w:line="279" w:lineRule="auto"/>
        <w:rPr>
          <w:sz w:val="20"/>
          <w:szCs w:val="20"/>
          <w:color w:val="auto"/>
        </w:rPr>
      </w:pPr>
      <w:r>
        <w:rPr>
          <w:rFonts w:ascii="Arial" w:cs="Arial" w:eastAsia="Arial" w:hAnsi="Arial"/>
          <w:sz w:val="13"/>
          <w:szCs w:val="13"/>
          <w:color w:val="auto"/>
        </w:rPr>
        <w:t>In connection with the entry into the Loan Agreement, the Company issued to Hercules a warrant to purchase a number of shares of the Company’s common stock, par value $0.0001 per share equal to 2.5% of the aggregate amount of the Term Loan Advances that are funded, as such amounts are funded. With the first advance of the 2020 Term Loan, Hercules Capital Inc. received warrants to purchase an aggregate 15,541 shares of the Company’s common stock at an exercise price of $80.43 per share, which was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$0.9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39" w:name="page140"/>
    <w:bookmarkEnd w:id="139"/>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Fully Exercised Warrants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2019 and 2020 Exercise of March 2019 and July 2019 Warrants</w:t>
      </w:r>
    </w:p>
    <w:p>
      <w:pPr>
        <w:spacing w:after="0" w:line="174" w:lineRule="exact"/>
        <w:rPr>
          <w:sz w:val="20"/>
          <w:szCs w:val="20"/>
          <w:color w:val="auto"/>
        </w:rPr>
      </w:pPr>
    </w:p>
    <w:p>
      <w:pPr>
        <w:ind w:firstLine="751"/>
        <w:spacing w:after="0" w:line="273" w:lineRule="auto"/>
        <w:rPr>
          <w:sz w:val="20"/>
          <w:szCs w:val="20"/>
          <w:color w:val="auto"/>
        </w:rPr>
      </w:pPr>
      <w:r>
        <w:rPr>
          <w:rFonts w:ascii="Arial" w:cs="Arial" w:eastAsia="Arial" w:hAnsi="Arial"/>
          <w:sz w:val="13"/>
          <w:szCs w:val="13"/>
          <w:color w:val="auto"/>
        </w:rPr>
        <w:t>In connection with the Company’s term loan facility with SVB and WestRiver which was completed in March 2019, the Company issued warrants for up to 70,000 shares of the Company’s common stock at a price per share equal to $8.10 based upon usage of the facility and were exercisable until March 4, 2026. The warrants were classified as a component of stockholders' equity of which 58,332 warrants were immediately exercisable and the remaining 11,668 warrants could be earned based on usage of the second tranche of the 2019 Term Loan. The additional warrants were initially immediately exercisable if and when the Term B Loan Advance was funded (however, the March 2019 Warrants were amended in connection with the First Amendment to the 2019 Term Loan, as discussed below). The relative fair value of the warrants of approximately $0.4 million at the time of issuance, which was determined using the Black-Scholes option-pricing model, was recorded as additional paid-in capital and reduced the carrying value of the debt. The discount on the debt was amortized to interest expense over the term of the debt utilizing the effective interest rate method. In July 2019, in connection with the First Amendment to the 2019 Term Loan, the March 2019 Warrants were amended to fix the number of shares that may be issued upon exercise of each such March 2019 Warrant at 29,167 shares of common stock, and SVB and WestRiver were issued new warrants (the “July 2019 Warrants”), which would have become exercisable upon funding of the Term B Loan Advance, to purchase 5,750 shares of the Company’s common stock at a price per share equal to $25.71. The July 2019 Warrants replace the portion of the March 2019 Warrants that could originally be earned by SVB and WestRiver upon funding of the Term B Loan Advance. Due to the Company not drawing down on the Term B Loan Advance by December 31, 2019, the July 2019 Warrants have been terminated. In December 2019, SVB exercised in full its portion of 29,167 warrants it received in connection with the 2019 Term Loan via a cashless exercise. The Company issued SVB 24,185 shares of its common stock in connection with the warrant exercise and did not receive any cash proceeds. In August 2020, WestRiver exercised in full its portion of 29,167 warrants it received in connection with the 2019 Term Loan via a cashless exercise. The Company issued SVB 26,270 shares of its common stock in connection with the warrant exercise and did not receive any cash proceeds. As of December 31, 2020, none of the warrants issued in connection with the First Amendment to the 2019 Term Loan were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2019 and 2020 Exercise of 2018 Warrants</w:t>
      </w:r>
    </w:p>
    <w:p>
      <w:pPr>
        <w:spacing w:after="0" w:line="174" w:lineRule="exact"/>
        <w:rPr>
          <w:sz w:val="20"/>
          <w:szCs w:val="20"/>
          <w:color w:val="auto"/>
        </w:rPr>
      </w:pPr>
    </w:p>
    <w:p>
      <w:pPr>
        <w:ind w:firstLine="751"/>
        <w:spacing w:after="0" w:line="281" w:lineRule="auto"/>
        <w:rPr>
          <w:sz w:val="20"/>
          <w:szCs w:val="20"/>
          <w:color w:val="auto"/>
        </w:rPr>
      </w:pPr>
      <w:r>
        <w:rPr>
          <w:rFonts w:ascii="Arial" w:cs="Arial" w:eastAsia="Arial" w:hAnsi="Arial"/>
          <w:sz w:val="13"/>
          <w:szCs w:val="13"/>
          <w:color w:val="auto"/>
        </w:rPr>
        <w:t>In connection with the First Amendment to the Loan and Security Agreement, SVB and WestRiver Innovation Lending Fund VIII, L.P. received warrants to purchase 15,750 shares of the Company’s stock at an exercise price of $3.06 per share, which are exercisable for seven years from the date of issuance (“2018 warrants”). The warrants were classified as a component of stockholders' equity. In August 2019, SVB exercised in full its portions of 7,875 warrants it received in connection with the 2016 Amended Term Loan via a cashless exercise. The Company issued SVB 6,969 shares of its common stock in connection with the warrant exercise and did not receive any cash proceeds. In August 2020, WestRiver exercised in full the 7,875 warrants it received in connection with the 2016 Amended Term Loan via a cashless exercise. The Company issued SVB 7,579 shares of its common stock in connection with the warrant exercise and did not receive any cash proceeds. As of December 31, 2020, none of the warrants issued in connection with the 2016 Amended Term Loan were outstanding.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0" w:name="page141"/>
    <w:bookmarkEnd w:id="140"/>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2019 and 2020 Exercise of 2016 Warrants</w:t>
      </w:r>
    </w:p>
    <w:p>
      <w:pPr>
        <w:spacing w:after="0" w:line="151" w:lineRule="exact"/>
        <w:rPr>
          <w:sz w:val="20"/>
          <w:szCs w:val="20"/>
          <w:color w:val="auto"/>
        </w:rPr>
      </w:pPr>
    </w:p>
    <w:p>
      <w:pPr>
        <w:ind w:right="60" w:firstLine="751"/>
        <w:spacing w:after="0" w:line="245" w:lineRule="auto"/>
        <w:rPr>
          <w:sz w:val="20"/>
          <w:szCs w:val="20"/>
          <w:color w:val="auto"/>
        </w:rPr>
      </w:pPr>
      <w:r>
        <w:rPr>
          <w:rFonts w:ascii="Arial" w:cs="Arial" w:eastAsia="Arial" w:hAnsi="Arial"/>
          <w:sz w:val="13"/>
          <w:szCs w:val="13"/>
          <w:color w:val="auto"/>
        </w:rPr>
        <w:t>In connection with the Company’s debt financing, which was completed on November 9, 2016, the Company issued warrants to purchase 65,228 shares of common stock with an exercise price of $7.41 per share, which are exercisable upon issuance (“2016 warrants”) to SVB and Life Sciences. The warrants were classified as a component of stockholders' equity. In September 2019, SVB exercised its portion of 32,614 warrants it received in connection with the 2016 Original Term Loan via a cashless exercise. The Company issued SVB 24,328 shares of its common stock in connection with the warrant exercise and did not receive any cash proceeds. In addition, in May 2020, Life Science exercised in full the 32,614 warrants it received in connection with the 2016 Original Term Loan via a cashless exercise. The Company issued Life Science 29,982 shares of its common stock in connection with the warrant exercise and did not receive any cash proceeds. As of December 31, 2020, none of the warrants issued in connection with the 2016 Original Term Loan were outstanding.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2019 Exercise of 2014 warrants</w:t>
      </w:r>
    </w:p>
    <w:p>
      <w:pPr>
        <w:spacing w:after="0" w:line="151" w:lineRule="exact"/>
        <w:rPr>
          <w:sz w:val="20"/>
          <w:szCs w:val="20"/>
          <w:color w:val="auto"/>
        </w:rPr>
      </w:pPr>
    </w:p>
    <w:p>
      <w:pPr>
        <w:ind w:right="40" w:firstLine="751"/>
        <w:spacing w:after="0" w:line="243" w:lineRule="auto"/>
        <w:rPr>
          <w:sz w:val="20"/>
          <w:szCs w:val="20"/>
          <w:color w:val="auto"/>
        </w:rPr>
      </w:pPr>
      <w:r>
        <w:rPr>
          <w:rFonts w:ascii="Arial" w:cs="Arial" w:eastAsia="Arial" w:hAnsi="Arial"/>
          <w:sz w:val="13"/>
          <w:szCs w:val="13"/>
          <w:color w:val="auto"/>
        </w:rPr>
        <w:t>On November 3, 2014, the Company issued warrants to purchase 42,059 shares of common stock with an exercise price of $5.94 per share to the placement agent in connection with the issuance of certain convertible notes from September 2014 through November 2014 (the “September 2014 Notes”), which were exercisable upon issuance (“2014 warrants”). The warrants were initially classified as a liability in the consolidated financial statements, as upon a qualified financing, the warrant price would automatically adjust to a 10% premium to the conversion price of the September 2014 Notes in such mandatory conversion. The initial fair value of the warrant liability was $79,129 which was recorded as a discount to the notes and amortized over the term of the original September 2014 Notes. Upon the note amendment that occurred in September 2015, the discount was included in the carrying amount in the calculation of a loss on extinguishment. In connection with the automatic conversion of the September 2014 Notes upon the close of the Company’s IPO in November 2015, the warrant liability was reclassified to equity. The 2014 warrants had a five-year term and an expiration of November 2, 2019. All 42,059 warrants were exercised in 2019.</w:t>
      </w:r>
    </w:p>
    <w:p>
      <w:pPr>
        <w:spacing w:after="0" w:line="147" w:lineRule="exact"/>
        <w:rPr>
          <w:sz w:val="20"/>
          <w:szCs w:val="20"/>
          <w:color w:val="auto"/>
        </w:rPr>
      </w:pPr>
    </w:p>
    <w:p>
      <w:pPr>
        <w:ind w:left="760"/>
        <w:spacing w:after="0" w:line="173" w:lineRule="exact"/>
        <w:rPr>
          <w:sz w:val="20"/>
          <w:szCs w:val="20"/>
          <w:color w:val="auto"/>
        </w:rPr>
      </w:pPr>
      <w:r>
        <w:rPr>
          <w:rFonts w:ascii="Arial" w:cs="Arial" w:eastAsia="Arial" w:hAnsi="Arial"/>
          <w:sz w:val="15"/>
          <w:szCs w:val="15"/>
          <w:color w:val="auto"/>
        </w:rPr>
        <w:t>The initial fair value of the warrants was estimated using the Black</w:t>
      </w:r>
      <w:r>
        <w:rPr>
          <w:rFonts w:ascii="MS PGothic" w:cs="MS PGothic" w:eastAsia="MS PGothic" w:hAnsi="MS PGothic"/>
          <w:sz w:val="15"/>
          <w:szCs w:val="15"/>
          <w:color w:val="auto"/>
        </w:rPr>
        <w:t>‑</w:t>
      </w:r>
      <w:r>
        <w:rPr>
          <w:rFonts w:ascii="Arial" w:cs="Arial" w:eastAsia="Arial" w:hAnsi="Arial"/>
          <w:sz w:val="15"/>
          <w:szCs w:val="15"/>
          <w:color w:val="auto"/>
        </w:rPr>
        <w:t>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1380" w:type="dxa"/>
            <w:vAlign w:val="bottom"/>
            <w:gridSpan w:val="2"/>
          </w:tcPr>
          <w:p>
            <w:pPr>
              <w:jc w:val="right"/>
              <w:ind w:right="569"/>
              <w:spacing w:after="0"/>
              <w:rPr>
                <w:sz w:val="20"/>
                <w:szCs w:val="20"/>
                <w:color w:val="auto"/>
              </w:rPr>
            </w:pPr>
            <w:r>
              <w:rPr>
                <w:rFonts w:ascii="Arial" w:cs="Arial" w:eastAsia="Arial" w:hAnsi="Arial"/>
                <w:sz w:val="12"/>
                <w:szCs w:val="12"/>
                <w:b w:val="1"/>
                <w:bCs w:val="1"/>
                <w:color w:val="auto"/>
              </w:rPr>
              <w:t>2020</w:t>
            </w:r>
          </w:p>
        </w:tc>
        <w:tc>
          <w:tcPr>
            <w:tcW w:w="1400" w:type="dxa"/>
            <w:vAlign w:val="bottom"/>
            <w:gridSpan w:val="2"/>
          </w:tcPr>
          <w:p>
            <w:pPr>
              <w:jc w:val="right"/>
              <w:ind w:right="569"/>
              <w:spacing w:after="0"/>
              <w:rPr>
                <w:sz w:val="20"/>
                <w:szCs w:val="20"/>
                <w:color w:val="auto"/>
              </w:rPr>
            </w:pPr>
            <w:r>
              <w:rPr>
                <w:rFonts w:ascii="Arial" w:cs="Arial" w:eastAsia="Arial" w:hAnsi="Arial"/>
                <w:sz w:val="12"/>
                <w:szCs w:val="12"/>
                <w:b w:val="1"/>
                <w:bCs w:val="1"/>
                <w:color w:val="auto"/>
              </w:rPr>
              <w:t>2019</w:t>
            </w:r>
          </w:p>
        </w:tc>
        <w:tc>
          <w:tcPr>
            <w:tcW w:w="1360" w:type="dxa"/>
            <w:vAlign w:val="bottom"/>
            <w:gridSpan w:val="2"/>
          </w:tcPr>
          <w:p>
            <w:pPr>
              <w:jc w:val="right"/>
              <w:ind w:right="549"/>
              <w:spacing w:after="0"/>
              <w:rPr>
                <w:sz w:val="20"/>
                <w:szCs w:val="20"/>
                <w:color w:val="auto"/>
              </w:rPr>
            </w:pPr>
            <w:r>
              <w:rPr>
                <w:rFonts w:ascii="Arial" w:cs="Arial" w:eastAsia="Arial" w:hAnsi="Arial"/>
                <w:sz w:val="12"/>
                <w:szCs w:val="12"/>
                <w:b w:val="1"/>
                <w:bCs w:val="1"/>
                <w:color w:val="auto"/>
              </w:rPr>
              <w:t>2018</w:t>
            </w:r>
          </w:p>
        </w:tc>
        <w:tc>
          <w:tcPr>
            <w:tcW w:w="1340" w:type="dxa"/>
            <w:vAlign w:val="bottom"/>
            <w:gridSpan w:val="2"/>
          </w:tcPr>
          <w:p>
            <w:pPr>
              <w:jc w:val="right"/>
              <w:ind w:right="549"/>
              <w:spacing w:after="0"/>
              <w:rPr>
                <w:sz w:val="20"/>
                <w:szCs w:val="20"/>
                <w:color w:val="auto"/>
              </w:rPr>
            </w:pPr>
            <w:r>
              <w:rPr>
                <w:rFonts w:ascii="Arial" w:cs="Arial" w:eastAsia="Arial" w:hAnsi="Arial"/>
                <w:sz w:val="12"/>
                <w:szCs w:val="12"/>
                <w:b w:val="1"/>
                <w:bCs w:val="1"/>
                <w:color w:val="auto"/>
              </w:rPr>
              <w:t>2016</w:t>
            </w:r>
          </w:p>
        </w:tc>
        <w:tc>
          <w:tcPr>
            <w:tcW w:w="1360" w:type="dxa"/>
            <w:vAlign w:val="bottom"/>
            <w:gridSpan w:val="2"/>
          </w:tcPr>
          <w:p>
            <w:pPr>
              <w:jc w:val="right"/>
              <w:ind w:right="549"/>
              <w:spacing w:after="0"/>
              <w:rPr>
                <w:sz w:val="20"/>
                <w:szCs w:val="20"/>
                <w:color w:val="auto"/>
              </w:rPr>
            </w:pPr>
            <w:r>
              <w:rPr>
                <w:rFonts w:ascii="Arial" w:cs="Arial" w:eastAsia="Arial" w:hAnsi="Arial"/>
                <w:sz w:val="12"/>
                <w:szCs w:val="12"/>
                <w:b w:val="1"/>
                <w:bCs w:val="1"/>
                <w:color w:val="auto"/>
              </w:rPr>
              <w:t>2014</w:t>
            </w:r>
          </w:p>
        </w:tc>
      </w:tr>
      <w:tr>
        <w:trPr>
          <w:trHeight w:val="15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Black-Scholes option valuation assumptions</w:t>
            </w:r>
          </w:p>
        </w:tc>
        <w:tc>
          <w:tcPr>
            <w:tcW w:w="120" w:type="dxa"/>
            <w:vAlign w:val="bottom"/>
          </w:tcPr>
          <w:p>
            <w:pPr>
              <w:spacing w:after="0"/>
              <w:rPr>
                <w:sz w:val="13"/>
                <w:szCs w:val="13"/>
                <w:color w:val="auto"/>
              </w:rPr>
            </w:pPr>
          </w:p>
        </w:tc>
        <w:tc>
          <w:tcPr>
            <w:tcW w:w="126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warrants</w:t>
            </w:r>
          </w:p>
        </w:tc>
        <w:tc>
          <w:tcPr>
            <w:tcW w:w="140" w:type="dxa"/>
            <w:vAlign w:val="bottom"/>
          </w:tcPr>
          <w:p>
            <w:pPr>
              <w:spacing w:after="0"/>
              <w:rPr>
                <w:sz w:val="13"/>
                <w:szCs w:val="13"/>
                <w:color w:val="auto"/>
              </w:rPr>
            </w:pPr>
          </w:p>
        </w:tc>
        <w:tc>
          <w:tcPr>
            <w:tcW w:w="126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warrants</w:t>
            </w:r>
          </w:p>
        </w:tc>
        <w:tc>
          <w:tcPr>
            <w:tcW w:w="120" w:type="dxa"/>
            <w:vAlign w:val="bottom"/>
          </w:tcPr>
          <w:p>
            <w:pPr>
              <w:spacing w:after="0"/>
              <w:rPr>
                <w:sz w:val="13"/>
                <w:szCs w:val="13"/>
                <w:color w:val="auto"/>
              </w:rPr>
            </w:pPr>
          </w:p>
        </w:tc>
        <w:tc>
          <w:tcPr>
            <w:tcW w:w="124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warrants</w:t>
            </w:r>
          </w:p>
        </w:tc>
        <w:tc>
          <w:tcPr>
            <w:tcW w:w="120" w:type="dxa"/>
            <w:vAlign w:val="bottom"/>
          </w:tcPr>
          <w:p>
            <w:pPr>
              <w:spacing w:after="0"/>
              <w:rPr>
                <w:sz w:val="13"/>
                <w:szCs w:val="13"/>
                <w:color w:val="auto"/>
              </w:rPr>
            </w:pPr>
          </w:p>
        </w:tc>
        <w:tc>
          <w:tcPr>
            <w:tcW w:w="122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warrants</w:t>
            </w:r>
          </w:p>
        </w:tc>
        <w:tc>
          <w:tcPr>
            <w:tcW w:w="140" w:type="dxa"/>
            <w:vAlign w:val="bottom"/>
          </w:tcPr>
          <w:p>
            <w:pPr>
              <w:spacing w:after="0"/>
              <w:rPr>
                <w:sz w:val="13"/>
                <w:szCs w:val="13"/>
                <w:color w:val="auto"/>
              </w:rPr>
            </w:pPr>
          </w:p>
        </w:tc>
        <w:tc>
          <w:tcPr>
            <w:tcW w:w="122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warrants</w:t>
            </w:r>
          </w:p>
        </w:tc>
      </w:tr>
      <w:tr>
        <w:trPr>
          <w:trHeight w:val="159"/>
        </w:trPr>
        <w:tc>
          <w:tcPr>
            <w:tcW w:w="444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Risk-free interest rate</w:t>
            </w:r>
          </w:p>
        </w:tc>
        <w:tc>
          <w:tcPr>
            <w:tcW w:w="120" w:type="dxa"/>
            <w:vAlign w:val="bottom"/>
            <w:shd w:val="clear" w:color="auto" w:fill="CFF0FC"/>
          </w:tcPr>
          <w:p>
            <w:pPr>
              <w:spacing w:after="0"/>
              <w:rPr>
                <w:sz w:val="13"/>
                <w:szCs w:val="13"/>
                <w:color w:val="auto"/>
              </w:rPr>
            </w:pPr>
          </w:p>
        </w:tc>
        <w:tc>
          <w:tcPr>
            <w:tcW w:w="12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0.5 %</w:t>
            </w: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2.8 %</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3.0 %</w:t>
            </w:r>
          </w:p>
        </w:tc>
        <w:tc>
          <w:tcPr>
            <w:tcW w:w="12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29"/>
              <w:spacing w:after="0" w:line="159" w:lineRule="exact"/>
              <w:rPr>
                <w:sz w:val="20"/>
                <w:szCs w:val="20"/>
                <w:color w:val="auto"/>
              </w:rPr>
            </w:pPr>
            <w:r>
              <w:rPr>
                <w:rFonts w:ascii="Arial" w:cs="Arial" w:eastAsia="Arial" w:hAnsi="Arial"/>
                <w:sz w:val="15"/>
                <w:szCs w:val="15"/>
                <w:color w:val="auto"/>
              </w:rPr>
              <w:t>1.8 %</w:t>
            </w:r>
          </w:p>
        </w:tc>
        <w:tc>
          <w:tcPr>
            <w:tcW w:w="14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49"/>
              <w:spacing w:after="0" w:line="159" w:lineRule="exact"/>
              <w:rPr>
                <w:sz w:val="20"/>
                <w:szCs w:val="20"/>
                <w:color w:val="auto"/>
              </w:rPr>
            </w:pPr>
            <w:r>
              <w:rPr>
                <w:rFonts w:ascii="Arial" w:cs="Arial" w:eastAsia="Arial" w:hAnsi="Arial"/>
                <w:sz w:val="15"/>
                <w:szCs w:val="15"/>
                <w:color w:val="auto"/>
              </w:rPr>
              <w:t>1.6 %</w:t>
            </w:r>
          </w:p>
        </w:tc>
      </w:tr>
      <w:tr>
        <w:trPr>
          <w:trHeight w:val="168"/>
        </w:trPr>
        <w:tc>
          <w:tcPr>
            <w:tcW w:w="4440" w:type="dxa"/>
            <w:vAlign w:val="bottom"/>
          </w:tcPr>
          <w:p>
            <w:pPr>
              <w:ind w:left="20"/>
              <w:spacing w:after="0" w:line="168" w:lineRule="exact"/>
              <w:rPr>
                <w:sz w:val="20"/>
                <w:szCs w:val="20"/>
                <w:color w:val="auto"/>
              </w:rPr>
            </w:pPr>
            <w:r>
              <w:rPr>
                <w:rFonts w:ascii="Arial" w:cs="Arial" w:eastAsia="Arial" w:hAnsi="Arial"/>
                <w:sz w:val="15"/>
                <w:szCs w:val="15"/>
                <w:color w:val="auto"/>
              </w:rPr>
              <w:t>Dividend yield</w:t>
            </w:r>
          </w:p>
        </w:tc>
        <w:tc>
          <w:tcPr>
            <w:tcW w:w="120" w:type="dxa"/>
            <w:vAlign w:val="bottom"/>
          </w:tcPr>
          <w:p>
            <w:pPr>
              <w:spacing w:after="0"/>
              <w:rPr>
                <w:sz w:val="14"/>
                <w:szCs w:val="14"/>
                <w:color w:val="auto"/>
              </w:rPr>
            </w:pPr>
          </w:p>
        </w:tc>
        <w:tc>
          <w:tcPr>
            <w:tcW w:w="1260" w:type="dxa"/>
            <w:vAlign w:val="bottom"/>
          </w:tcPr>
          <w:p>
            <w:pPr>
              <w:jc w:val="right"/>
              <w:ind w:right="189"/>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60" w:type="dxa"/>
            <w:vAlign w:val="bottom"/>
          </w:tcPr>
          <w:p>
            <w:pPr>
              <w:jc w:val="right"/>
              <w:ind w:right="189"/>
              <w:spacing w:after="0" w:line="168"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40" w:type="dxa"/>
            <w:vAlign w:val="bottom"/>
          </w:tcPr>
          <w:p>
            <w:pPr>
              <w:jc w:val="right"/>
              <w:ind w:right="189"/>
              <w:spacing w:after="0" w:line="168"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220" w:type="dxa"/>
            <w:vAlign w:val="bottom"/>
          </w:tcPr>
          <w:p>
            <w:pPr>
              <w:jc w:val="right"/>
              <w:ind w:right="169"/>
              <w:spacing w:after="0" w:line="168"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189"/>
              <w:spacing w:after="0" w:line="168" w:lineRule="exact"/>
              <w:rPr>
                <w:sz w:val="20"/>
                <w:szCs w:val="20"/>
                <w:color w:val="auto"/>
              </w:rPr>
            </w:pPr>
            <w:r>
              <w:rPr>
                <w:rFonts w:ascii="Arial" w:cs="Arial" w:eastAsia="Arial" w:hAnsi="Arial"/>
                <w:sz w:val="15"/>
                <w:szCs w:val="15"/>
                <w:color w:val="auto"/>
              </w:rPr>
              <w:t>—</w:t>
            </w:r>
          </w:p>
        </w:tc>
      </w:tr>
      <w:tr>
        <w:trPr>
          <w:trHeight w:val="168"/>
        </w:trPr>
        <w:tc>
          <w:tcPr>
            <w:tcW w:w="444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Volatility</w:t>
            </w:r>
          </w:p>
        </w:tc>
        <w:tc>
          <w:tcPr>
            <w:tcW w:w="1380" w:type="dxa"/>
            <w:vAlign w:val="bottom"/>
            <w:gridSpan w:val="2"/>
            <w:shd w:val="clear" w:color="auto" w:fill="CFF0FC"/>
          </w:tcPr>
          <w:p>
            <w:pPr>
              <w:jc w:val="right"/>
              <w:ind w:right="49"/>
              <w:spacing w:after="0" w:line="168" w:lineRule="exact"/>
              <w:rPr>
                <w:sz w:val="20"/>
                <w:szCs w:val="20"/>
                <w:color w:val="auto"/>
              </w:rPr>
            </w:pPr>
            <w:r>
              <w:rPr>
                <w:rFonts w:ascii="Arial" w:cs="Arial" w:eastAsia="Arial" w:hAnsi="Arial"/>
                <w:sz w:val="15"/>
                <w:szCs w:val="15"/>
                <w:color w:val="auto"/>
              </w:rPr>
              <w:t>88 %</w:t>
            </w:r>
          </w:p>
        </w:tc>
        <w:tc>
          <w:tcPr>
            <w:tcW w:w="1400" w:type="dxa"/>
            <w:vAlign w:val="bottom"/>
            <w:gridSpan w:val="2"/>
            <w:shd w:val="clear" w:color="auto" w:fill="CFF0FC"/>
          </w:tcPr>
          <w:p>
            <w:pPr>
              <w:jc w:val="right"/>
              <w:ind w:right="49"/>
              <w:spacing w:after="0" w:line="168" w:lineRule="exact"/>
              <w:rPr>
                <w:sz w:val="20"/>
                <w:szCs w:val="20"/>
                <w:color w:val="auto"/>
              </w:rPr>
            </w:pPr>
            <w:r>
              <w:rPr>
                <w:rFonts w:ascii="Arial" w:cs="Arial" w:eastAsia="Arial" w:hAnsi="Arial"/>
                <w:sz w:val="15"/>
                <w:szCs w:val="15"/>
                <w:color w:val="auto"/>
              </w:rPr>
              <w:t>97 %</w:t>
            </w:r>
          </w:p>
        </w:tc>
        <w:tc>
          <w:tcPr>
            <w:tcW w:w="1360" w:type="dxa"/>
            <w:vAlign w:val="bottom"/>
            <w:gridSpan w:val="2"/>
            <w:shd w:val="clear" w:color="auto" w:fill="CFF0FC"/>
          </w:tcPr>
          <w:p>
            <w:pPr>
              <w:jc w:val="right"/>
              <w:ind w:right="49"/>
              <w:spacing w:after="0" w:line="168" w:lineRule="exact"/>
              <w:rPr>
                <w:sz w:val="20"/>
                <w:szCs w:val="20"/>
                <w:color w:val="auto"/>
              </w:rPr>
            </w:pPr>
            <w:r>
              <w:rPr>
                <w:rFonts w:ascii="Arial" w:cs="Arial" w:eastAsia="Arial" w:hAnsi="Arial"/>
                <w:sz w:val="15"/>
                <w:szCs w:val="15"/>
                <w:color w:val="auto"/>
              </w:rPr>
              <w:t>85 %</w:t>
            </w:r>
          </w:p>
        </w:tc>
        <w:tc>
          <w:tcPr>
            <w:tcW w:w="1340" w:type="dxa"/>
            <w:vAlign w:val="bottom"/>
            <w:gridSpan w:val="2"/>
            <w:shd w:val="clear" w:color="auto" w:fill="CFF0FC"/>
          </w:tcPr>
          <w:p>
            <w:pPr>
              <w:jc w:val="right"/>
              <w:ind w:right="29"/>
              <w:spacing w:after="0" w:line="168" w:lineRule="exact"/>
              <w:rPr>
                <w:sz w:val="20"/>
                <w:szCs w:val="20"/>
                <w:color w:val="auto"/>
              </w:rPr>
            </w:pPr>
            <w:r>
              <w:rPr>
                <w:rFonts w:ascii="Arial" w:cs="Arial" w:eastAsia="Arial" w:hAnsi="Arial"/>
                <w:sz w:val="15"/>
                <w:szCs w:val="15"/>
                <w:color w:val="auto"/>
              </w:rPr>
              <w:t>73 %</w:t>
            </w:r>
          </w:p>
        </w:tc>
        <w:tc>
          <w:tcPr>
            <w:tcW w:w="1360" w:type="dxa"/>
            <w:vAlign w:val="bottom"/>
            <w:gridSpan w:val="2"/>
            <w:shd w:val="clear" w:color="auto" w:fill="CFF0FC"/>
          </w:tcPr>
          <w:p>
            <w:pPr>
              <w:jc w:val="right"/>
              <w:ind w:right="49"/>
              <w:spacing w:after="0" w:line="168" w:lineRule="exact"/>
              <w:rPr>
                <w:sz w:val="20"/>
                <w:szCs w:val="20"/>
                <w:color w:val="auto"/>
              </w:rPr>
            </w:pPr>
            <w:r>
              <w:rPr>
                <w:rFonts w:ascii="Arial" w:cs="Arial" w:eastAsia="Arial" w:hAnsi="Arial"/>
                <w:sz w:val="15"/>
                <w:szCs w:val="15"/>
                <w:color w:val="auto"/>
              </w:rPr>
              <w:t>70 %</w:t>
            </w:r>
          </w:p>
        </w:tc>
      </w:tr>
      <w:tr>
        <w:trPr>
          <w:trHeight w:val="189"/>
        </w:trPr>
        <w:tc>
          <w:tcPr>
            <w:tcW w:w="4440" w:type="dxa"/>
            <w:vAlign w:val="bottom"/>
          </w:tcPr>
          <w:p>
            <w:pPr>
              <w:ind w:left="20"/>
              <w:spacing w:after="0"/>
              <w:rPr>
                <w:sz w:val="20"/>
                <w:szCs w:val="20"/>
                <w:color w:val="auto"/>
              </w:rPr>
            </w:pPr>
            <w:r>
              <w:rPr>
                <w:rFonts w:ascii="Arial" w:cs="Arial" w:eastAsia="Arial" w:hAnsi="Arial"/>
                <w:sz w:val="15"/>
                <w:szCs w:val="15"/>
                <w:color w:val="auto"/>
              </w:rPr>
              <w:t>Weighted average contractual term</w:t>
            </w:r>
          </w:p>
        </w:tc>
        <w:tc>
          <w:tcPr>
            <w:tcW w:w="120" w:type="dxa"/>
            <w:vAlign w:val="bottom"/>
          </w:tcPr>
          <w:p>
            <w:pPr>
              <w:spacing w:after="0"/>
              <w:rPr>
                <w:sz w:val="16"/>
                <w:szCs w:val="16"/>
                <w:color w:val="auto"/>
              </w:rPr>
            </w:pPr>
          </w:p>
        </w:tc>
        <w:tc>
          <w:tcPr>
            <w:tcW w:w="1260" w:type="dxa"/>
            <w:vAlign w:val="bottom"/>
          </w:tcPr>
          <w:p>
            <w:pPr>
              <w:jc w:val="right"/>
              <w:ind w:right="189"/>
              <w:spacing w:after="0"/>
              <w:rPr>
                <w:sz w:val="20"/>
                <w:szCs w:val="20"/>
                <w:color w:val="auto"/>
              </w:rPr>
            </w:pPr>
            <w:r>
              <w:rPr>
                <w:rFonts w:ascii="Arial" w:cs="Arial" w:eastAsia="Arial" w:hAnsi="Arial"/>
                <w:sz w:val="15"/>
                <w:szCs w:val="15"/>
                <w:color w:val="auto"/>
              </w:rPr>
              <w:t>7 years</w:t>
            </w:r>
          </w:p>
        </w:tc>
        <w:tc>
          <w:tcPr>
            <w:tcW w:w="140" w:type="dxa"/>
            <w:vAlign w:val="bottom"/>
          </w:tcPr>
          <w:p>
            <w:pPr>
              <w:spacing w:after="0"/>
              <w:rPr>
                <w:sz w:val="16"/>
                <w:szCs w:val="16"/>
                <w:color w:val="auto"/>
              </w:rPr>
            </w:pPr>
          </w:p>
        </w:tc>
        <w:tc>
          <w:tcPr>
            <w:tcW w:w="1260" w:type="dxa"/>
            <w:vAlign w:val="bottom"/>
          </w:tcPr>
          <w:p>
            <w:pPr>
              <w:jc w:val="right"/>
              <w:ind w:right="189"/>
              <w:spacing w:after="0"/>
              <w:rPr>
                <w:sz w:val="20"/>
                <w:szCs w:val="20"/>
                <w:color w:val="auto"/>
              </w:rPr>
            </w:pPr>
            <w:r>
              <w:rPr>
                <w:rFonts w:ascii="Arial" w:cs="Arial" w:eastAsia="Arial" w:hAnsi="Arial"/>
                <w:sz w:val="15"/>
                <w:szCs w:val="15"/>
                <w:color w:val="auto"/>
              </w:rPr>
              <w:t>7 years</w:t>
            </w:r>
          </w:p>
        </w:tc>
        <w:tc>
          <w:tcPr>
            <w:tcW w:w="120" w:type="dxa"/>
            <w:vAlign w:val="bottom"/>
          </w:tcPr>
          <w:p>
            <w:pPr>
              <w:spacing w:after="0"/>
              <w:rPr>
                <w:sz w:val="16"/>
                <w:szCs w:val="16"/>
                <w:color w:val="auto"/>
              </w:rPr>
            </w:pPr>
          </w:p>
        </w:tc>
        <w:tc>
          <w:tcPr>
            <w:tcW w:w="1240" w:type="dxa"/>
            <w:vAlign w:val="bottom"/>
          </w:tcPr>
          <w:p>
            <w:pPr>
              <w:jc w:val="right"/>
              <w:ind w:right="189"/>
              <w:spacing w:after="0"/>
              <w:rPr>
                <w:sz w:val="20"/>
                <w:szCs w:val="20"/>
                <w:color w:val="auto"/>
              </w:rPr>
            </w:pPr>
            <w:r>
              <w:rPr>
                <w:rFonts w:ascii="Arial" w:cs="Arial" w:eastAsia="Arial" w:hAnsi="Arial"/>
                <w:sz w:val="15"/>
                <w:szCs w:val="15"/>
                <w:color w:val="auto"/>
              </w:rPr>
              <w:t>7 years</w:t>
            </w:r>
          </w:p>
        </w:tc>
        <w:tc>
          <w:tcPr>
            <w:tcW w:w="120" w:type="dxa"/>
            <w:vAlign w:val="bottom"/>
          </w:tcPr>
          <w:p>
            <w:pPr>
              <w:spacing w:after="0"/>
              <w:rPr>
                <w:sz w:val="16"/>
                <w:szCs w:val="16"/>
                <w:color w:val="auto"/>
              </w:rPr>
            </w:pPr>
          </w:p>
        </w:tc>
        <w:tc>
          <w:tcPr>
            <w:tcW w:w="1220" w:type="dxa"/>
            <w:vAlign w:val="bottom"/>
          </w:tcPr>
          <w:p>
            <w:pPr>
              <w:jc w:val="right"/>
              <w:ind w:right="169"/>
              <w:spacing w:after="0"/>
              <w:rPr>
                <w:sz w:val="20"/>
                <w:szCs w:val="20"/>
                <w:color w:val="auto"/>
              </w:rPr>
            </w:pPr>
            <w:r>
              <w:rPr>
                <w:rFonts w:ascii="Arial" w:cs="Arial" w:eastAsia="Arial" w:hAnsi="Arial"/>
                <w:sz w:val="15"/>
                <w:szCs w:val="15"/>
                <w:color w:val="auto"/>
              </w:rPr>
              <w:t>7 years</w:t>
            </w:r>
          </w:p>
        </w:tc>
        <w:tc>
          <w:tcPr>
            <w:tcW w:w="140" w:type="dxa"/>
            <w:vAlign w:val="bottom"/>
          </w:tcPr>
          <w:p>
            <w:pPr>
              <w:spacing w:after="0"/>
              <w:rPr>
                <w:sz w:val="16"/>
                <w:szCs w:val="16"/>
                <w:color w:val="auto"/>
              </w:rPr>
            </w:pPr>
          </w:p>
        </w:tc>
        <w:tc>
          <w:tcPr>
            <w:tcW w:w="1220" w:type="dxa"/>
            <w:vAlign w:val="bottom"/>
          </w:tcPr>
          <w:p>
            <w:pPr>
              <w:jc w:val="right"/>
              <w:ind w:right="189"/>
              <w:spacing w:after="0"/>
              <w:rPr>
                <w:sz w:val="20"/>
                <w:szCs w:val="20"/>
                <w:color w:val="auto"/>
              </w:rPr>
            </w:pPr>
            <w:r>
              <w:rPr>
                <w:rFonts w:ascii="Arial" w:cs="Arial" w:eastAsia="Arial" w:hAnsi="Arial"/>
                <w:sz w:val="15"/>
                <w:szCs w:val="15"/>
                <w:color w:val="auto"/>
              </w:rPr>
              <w:t>5 years</w:t>
            </w:r>
          </w:p>
        </w:tc>
      </w:tr>
      <w:tr>
        <w:trPr>
          <w:trHeight w:val="503"/>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F-26</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1"/>
        </w:trPr>
        <w:tc>
          <w:tcPr>
            <w:tcW w:w="4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1" w:name="page142"/>
    <w:bookmarkEnd w:id="141"/>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License Agreements</w:t>
      </w:r>
    </w:p>
    <w:p>
      <w:pPr>
        <w:spacing w:after="0" w:line="167" w:lineRule="exact"/>
        <w:rPr>
          <w:sz w:val="20"/>
          <w:szCs w:val="20"/>
          <w:color w:val="auto"/>
        </w:rPr>
      </w:pPr>
    </w:p>
    <w:p>
      <w:pPr>
        <w:ind w:right="40" w:firstLine="751"/>
        <w:spacing w:after="0" w:line="253" w:lineRule="auto"/>
        <w:rPr>
          <w:sz w:val="20"/>
          <w:szCs w:val="20"/>
          <w:color w:val="auto"/>
        </w:rPr>
      </w:pPr>
      <w:r>
        <w:rPr>
          <w:rFonts w:ascii="Arial" w:cs="Arial" w:eastAsia="Arial" w:hAnsi="Arial"/>
          <w:sz w:val="14"/>
          <w:szCs w:val="14"/>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now referred to as AXS-14, in the U.S. for the treatment of fibromyalgia.</w:t>
      </w:r>
    </w:p>
    <w:p>
      <w:pPr>
        <w:spacing w:after="0" w:line="139" w:lineRule="exact"/>
        <w:rPr>
          <w:sz w:val="20"/>
          <w:szCs w:val="20"/>
          <w:color w:val="auto"/>
        </w:rPr>
      </w:pPr>
    </w:p>
    <w:p>
      <w:pPr>
        <w:ind w:right="20" w:firstLine="751"/>
        <w:spacing w:after="0" w:line="226" w:lineRule="auto"/>
        <w:rPr>
          <w:sz w:val="20"/>
          <w:szCs w:val="20"/>
          <w:color w:val="auto"/>
        </w:rPr>
      </w:pPr>
      <w:r>
        <w:rPr>
          <w:rFonts w:ascii="Arial" w:cs="Arial" w:eastAsia="Arial" w:hAnsi="Arial"/>
          <w:sz w:val="15"/>
          <w:szCs w:val="15"/>
          <w:color w:val="auto"/>
        </w:rPr>
        <w:t>Under the terms of the agreement, Pfizer received 82,019 shares of the Company’s common stock having a stated value of $8.0 million, based on the average closing price of the Company’s common stock for the ten prior trading days of $97.538,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twelve months ended December 31, 2020.</w:t>
      </w:r>
    </w:p>
    <w:p>
      <w:pPr>
        <w:spacing w:after="0" w:line="148" w:lineRule="exact"/>
        <w:rPr>
          <w:sz w:val="20"/>
          <w:szCs w:val="20"/>
          <w:color w:val="auto"/>
        </w:rPr>
      </w:pPr>
    </w:p>
    <w:p>
      <w:pPr>
        <w:ind w:firstLine="751"/>
        <w:spacing w:after="0" w:line="232" w:lineRule="auto"/>
        <w:rPr>
          <w:sz w:val="20"/>
          <w:szCs w:val="20"/>
          <w:color w:val="auto"/>
        </w:rPr>
      </w:pPr>
      <w:r>
        <w:rPr>
          <w:rFonts w:ascii="Arial" w:cs="Arial" w:eastAsia="Arial" w:hAnsi="Arial"/>
          <w:sz w:val="15"/>
          <w:szCs w:val="15"/>
          <w:color w:val="auto"/>
        </w:rPr>
        <w:t>Pfizer can also receive up to $323 million in regulatory and sales milestones, and tiered mid-single to low double-digit royalties on future sales. Pfizer will also have a right of first negotiation on any potential future strategic transactions involving AXS-12 and AXS-14. During the twelve months ended December 31, 2021, no milestone payments or royalties were paid to Pfizer by the Company.</w:t>
      </w:r>
    </w:p>
    <w:p>
      <w:pPr>
        <w:spacing w:after="0" w:line="148" w:lineRule="exact"/>
        <w:rPr>
          <w:sz w:val="20"/>
          <w:szCs w:val="20"/>
          <w:color w:val="auto"/>
        </w:rPr>
      </w:pPr>
    </w:p>
    <w:p>
      <w:pPr>
        <w:ind w:right="60" w:firstLine="751"/>
        <w:spacing w:after="0" w:line="159" w:lineRule="exact"/>
        <w:rPr>
          <w:sz w:val="20"/>
          <w:szCs w:val="20"/>
          <w:color w:val="auto"/>
        </w:rPr>
      </w:pPr>
      <w:r>
        <w:rPr>
          <w:rFonts w:ascii="Arial" w:cs="Arial" w:eastAsia="Arial" w:hAnsi="Arial"/>
          <w:sz w:val="13"/>
          <w:szCs w:val="13"/>
          <w:color w:val="auto"/>
        </w:rPr>
        <w:t>In 2012, the Company entered into three exclusive license agreements with Antecip Bioventures II LLC, or Antecip, an entity owned by Axsome’s Chief Executive Officer and Chairman of the Board, Herriot Tabuteau, M.D., in which it was granted exclusive licenses to develop, manufacture, and commercialize Antecip’s patents and applications related to the development of AXS</w:t>
      </w:r>
      <w:r>
        <w:rPr>
          <w:rFonts w:ascii="MS PGothic" w:cs="MS PGothic" w:eastAsia="MS PGothic" w:hAnsi="MS PGothic"/>
          <w:sz w:val="13"/>
          <w:szCs w:val="13"/>
          <w:color w:val="auto"/>
        </w:rPr>
        <w:t>‑</w:t>
      </w:r>
      <w:r>
        <w:rPr>
          <w:rFonts w:ascii="Arial" w:cs="Arial" w:eastAsia="Arial" w:hAnsi="Arial"/>
          <w:sz w:val="13"/>
          <w:szCs w:val="13"/>
          <w:color w:val="auto"/>
        </w:rPr>
        <w:t>05 and two product candidate that are not currently in development, anywhere in the world for veterinary and human therapeutic and diagnostic use. Pursuant to the agreements, the Company is required to use commercially reasonable efforts to develop, obtain regulatory approval for and commercialize AXS</w:t>
      </w:r>
      <w:r>
        <w:rPr>
          <w:rFonts w:ascii="MS PGothic" w:cs="MS PGothic" w:eastAsia="MS PGothic" w:hAnsi="MS PGothic"/>
          <w:sz w:val="13"/>
          <w:szCs w:val="13"/>
          <w:color w:val="auto"/>
        </w:rPr>
        <w:t>‑</w:t>
      </w:r>
      <w:r>
        <w:rPr>
          <w:rFonts w:ascii="Arial" w:cs="Arial" w:eastAsia="Arial" w:hAnsi="Arial"/>
          <w:sz w:val="13"/>
          <w:szCs w:val="13"/>
          <w:color w:val="auto"/>
        </w:rPr>
        <w:t>05. Under the terms of the agreements, the Company is required to pay to Antecip a royalty equal to 3.0% for AXS</w:t>
      </w:r>
      <w:r>
        <w:rPr>
          <w:rFonts w:ascii="MS PGothic" w:cs="MS PGothic" w:eastAsia="MS PGothic" w:hAnsi="MS PGothic"/>
          <w:sz w:val="13"/>
          <w:szCs w:val="13"/>
          <w:color w:val="auto"/>
        </w:rPr>
        <w:t>‑</w:t>
      </w:r>
      <w:r>
        <w:rPr>
          <w:rFonts w:ascii="Arial" w:cs="Arial" w:eastAsia="Arial" w:hAnsi="Arial"/>
          <w:sz w:val="13"/>
          <w:szCs w:val="13"/>
          <w:color w:val="auto"/>
        </w:rPr>
        <w:t>05,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w:t>
      </w:r>
      <w:r>
        <w:rPr>
          <w:rFonts w:ascii="MS PGothic" w:cs="MS PGothic" w:eastAsia="MS PGothic" w:hAnsi="MS PGothic"/>
          <w:sz w:val="13"/>
          <w:szCs w:val="13"/>
          <w:color w:val="auto"/>
        </w:rPr>
        <w:t>‑</w:t>
      </w:r>
      <w:r>
        <w:rPr>
          <w:rFonts w:ascii="Arial" w:cs="Arial" w:eastAsia="Arial" w:hAnsi="Arial"/>
          <w:sz w:val="13"/>
          <w:szCs w:val="13"/>
          <w:color w:val="auto"/>
        </w:rPr>
        <w:t>by</w:t>
      </w:r>
      <w:r>
        <w:rPr>
          <w:rFonts w:ascii="MS PGothic" w:cs="MS PGothic" w:eastAsia="MS PGothic" w:hAnsi="MS PGothic"/>
          <w:sz w:val="13"/>
          <w:szCs w:val="13"/>
          <w:color w:val="auto"/>
        </w:rPr>
        <w:t>‑</w:t>
      </w:r>
      <w:r>
        <w:rPr>
          <w:rFonts w:ascii="Arial" w:cs="Arial" w:eastAsia="Arial" w:hAnsi="Arial"/>
          <w:sz w:val="13"/>
          <w:szCs w:val="13"/>
          <w:color w:val="auto"/>
        </w:rPr>
        <w:t>product and country</w:t>
      </w:r>
      <w:r>
        <w:rPr>
          <w:rFonts w:ascii="MS PGothic" w:cs="MS PGothic" w:eastAsia="MS PGothic" w:hAnsi="MS PGothic"/>
          <w:sz w:val="13"/>
          <w:szCs w:val="13"/>
          <w:color w:val="auto"/>
        </w:rPr>
        <w:t>‑</w:t>
      </w:r>
      <w:r>
        <w:rPr>
          <w:rFonts w:ascii="Arial" w:cs="Arial" w:eastAsia="Arial" w:hAnsi="Arial"/>
          <w:sz w:val="13"/>
          <w:szCs w:val="13"/>
          <w:color w:val="auto"/>
        </w:rPr>
        <w:t>by</w:t>
      </w:r>
      <w:r>
        <w:rPr>
          <w:rFonts w:ascii="MS PGothic" w:cs="MS PGothic" w:eastAsia="MS PGothic" w:hAnsi="MS PGothic"/>
          <w:sz w:val="13"/>
          <w:szCs w:val="13"/>
          <w:color w:val="auto"/>
        </w:rPr>
        <w:t>‑</w:t>
      </w:r>
      <w:r>
        <w:rPr>
          <w:rFonts w:ascii="Arial" w:cs="Arial" w:eastAsia="Arial" w:hAnsi="Arial"/>
          <w:sz w:val="13"/>
          <w:szCs w:val="13"/>
          <w:color w:val="auto"/>
        </w:rPr>
        <w:t>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w:t>
      </w:r>
      <w:r>
        <w:rPr>
          <w:rFonts w:ascii="MS PGothic" w:cs="MS PGothic" w:eastAsia="MS PGothic" w:hAnsi="MS PGothic"/>
          <w:sz w:val="13"/>
          <w:szCs w:val="13"/>
          <w:color w:val="auto"/>
        </w:rPr>
        <w:t>‑</w:t>
      </w:r>
      <w:r>
        <w:rPr>
          <w:rFonts w:ascii="Arial" w:cs="Arial" w:eastAsia="Arial" w:hAnsi="Arial"/>
          <w:sz w:val="13"/>
          <w:szCs w:val="13"/>
          <w:color w:val="auto"/>
        </w:rPr>
        <w:t>up, royalty</w:t>
      </w:r>
      <w:r>
        <w:rPr>
          <w:rFonts w:ascii="MS PGothic" w:cs="MS PGothic" w:eastAsia="MS PGothic" w:hAnsi="MS PGothic"/>
          <w:sz w:val="13"/>
          <w:szCs w:val="13"/>
          <w:color w:val="auto"/>
        </w:rPr>
        <w:t>‑</w:t>
      </w:r>
      <w:r>
        <w:rPr>
          <w:rFonts w:ascii="Arial" w:cs="Arial" w:eastAsia="Arial" w:hAnsi="Arial"/>
          <w:sz w:val="13"/>
          <w:szCs w:val="13"/>
          <w:color w:val="auto"/>
        </w:rPr>
        <w:t>free, perpetual non</w:t>
      </w:r>
      <w:r>
        <w:rPr>
          <w:rFonts w:ascii="MS PGothic" w:cs="MS PGothic" w:eastAsia="MS PGothic" w:hAnsi="MS PGothic"/>
          <w:sz w:val="13"/>
          <w:szCs w:val="13"/>
          <w:color w:val="auto"/>
        </w:rPr>
        <w:t>‑</w:t>
      </w:r>
      <w:r>
        <w:rPr>
          <w:rFonts w:ascii="Arial" w:cs="Arial" w:eastAsia="Arial" w:hAnsi="Arial"/>
          <w:sz w:val="13"/>
          <w:szCs w:val="13"/>
          <w:color w:val="auto"/>
        </w:rPr>
        <w:t>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151" w:lineRule="exact"/>
        <w:rPr>
          <w:sz w:val="20"/>
          <w:szCs w:val="20"/>
          <w:color w:val="auto"/>
        </w:rPr>
      </w:pPr>
    </w:p>
    <w:p>
      <w:pPr>
        <w:ind w:right="220" w:firstLine="751"/>
        <w:spacing w:after="0"/>
        <w:rPr>
          <w:sz w:val="20"/>
          <w:szCs w:val="20"/>
          <w:color w:val="auto"/>
        </w:rPr>
      </w:pPr>
      <w:r>
        <w:rPr>
          <w:rFonts w:ascii="Arial" w:cs="Arial" w:eastAsia="Arial" w:hAnsi="Arial"/>
          <w:sz w:val="15"/>
          <w:szCs w:val="15"/>
          <w:color w:val="auto"/>
        </w:rPr>
        <w:t>In connection with the 2020 Term Loan, the Company entered into a Direct Agreement with Antecip pursuant to which Antecip consented to the collateral assignment of the License Agreement to Hercules, among other things.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Income Taxes</w:t>
      </w:r>
    </w:p>
    <w:p>
      <w:pPr>
        <w:spacing w:after="0" w:line="178" w:lineRule="exact"/>
        <w:rPr>
          <w:sz w:val="20"/>
          <w:szCs w:val="20"/>
          <w:color w:val="auto"/>
        </w:rPr>
      </w:pPr>
    </w:p>
    <w:p>
      <w:pPr>
        <w:ind w:right="40" w:firstLine="751"/>
        <w:spacing w:after="0" w:line="284" w:lineRule="auto"/>
        <w:rPr>
          <w:sz w:val="20"/>
          <w:szCs w:val="20"/>
          <w:color w:val="auto"/>
        </w:rPr>
      </w:pPr>
      <w:r>
        <w:rPr>
          <w:rFonts w:ascii="Arial" w:cs="Arial" w:eastAsia="Arial" w:hAnsi="Arial"/>
          <w:sz w:val="13"/>
          <w:szCs w:val="13"/>
          <w:color w:val="auto"/>
        </w:rPr>
        <w:t>As of December 31, 2021, the Company has U.S. federal net operating loss (“NOL”) carryforwards of approximately $364 million. NOLs amounting to $60 million generated before the 2018 tax year will start expiring beginning 2032, and the NOL of approximately $304 million generated in 2018 and later have an indefinite carryforward period. 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2" w:name="page143"/>
    <w:bookmarkEnd w:id="142"/>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6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components of the Company’s deferred tax assets and deferred tax liabilities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w w:val="99"/>
              </w:rPr>
              <w:t>December 31, 2021</w:t>
            </w: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w w:val="98"/>
              </w:rPr>
              <w:t>December 31, 2020</w:t>
            </w:r>
          </w:p>
        </w:tc>
      </w:tr>
      <w:tr>
        <w:trPr>
          <w:trHeight w:val="159"/>
        </w:trPr>
        <w:tc>
          <w:tcPr>
            <w:tcW w:w="76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b w:val="1"/>
                <w:bCs w:val="1"/>
                <w:color w:val="auto"/>
              </w:rPr>
              <w:t>Deferred tax assets:</w:t>
            </w: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Net federal operating loss carryforward</w:t>
            </w:r>
          </w:p>
        </w:tc>
        <w:tc>
          <w:tcPr>
            <w:tcW w:w="200" w:type="dxa"/>
            <w:vAlign w:val="bottom"/>
          </w:tcPr>
          <w:p>
            <w:pPr>
              <w:jc w:val="right"/>
              <w:ind w:right="46"/>
              <w:spacing w:after="0" w:line="168" w:lineRule="exact"/>
              <w:rPr>
                <w:sz w:val="20"/>
                <w:szCs w:val="20"/>
                <w:color w:val="auto"/>
              </w:rPr>
            </w:pPr>
            <w:r>
              <w:rPr>
                <w:rFonts w:ascii="Arial" w:cs="Arial" w:eastAsia="Arial" w:hAnsi="Arial"/>
                <w:sz w:val="15"/>
                <w:szCs w:val="15"/>
                <w:color w:val="auto"/>
                <w:w w:val="71"/>
              </w:rPr>
              <w:t>$</w:t>
            </w: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76,470,431</w:t>
            </w:r>
          </w:p>
        </w:tc>
        <w:tc>
          <w:tcPr>
            <w:tcW w:w="380" w:type="dxa"/>
            <w:vAlign w:val="bottom"/>
            <w:gridSpan w:val="2"/>
          </w:tcPr>
          <w:p>
            <w:pPr>
              <w:jc w:val="right"/>
              <w:ind w:right="120"/>
              <w:spacing w:after="0" w:line="168" w:lineRule="exact"/>
              <w:rPr>
                <w:sz w:val="20"/>
                <w:szCs w:val="20"/>
                <w:color w:val="auto"/>
              </w:rPr>
            </w:pPr>
            <w:r>
              <w:rPr>
                <w:rFonts w:ascii="Arial" w:cs="Arial" w:eastAsia="Arial" w:hAnsi="Arial"/>
                <w:sz w:val="15"/>
                <w:szCs w:val="15"/>
                <w:color w:val="auto"/>
              </w:rPr>
              <w:t>$</w:t>
            </w: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52,329,877</w:t>
            </w:r>
          </w:p>
        </w:tc>
      </w:tr>
      <w:tr>
        <w:trPr>
          <w:trHeight w:val="168"/>
        </w:trPr>
        <w:tc>
          <w:tcPr>
            <w:tcW w:w="76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Net foreign operating loss carryforward</w:t>
            </w: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88,480</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86,829</w:t>
            </w: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Net state operating loss carryforward</w:t>
            </w:r>
          </w:p>
        </w:tc>
        <w:tc>
          <w:tcPr>
            <w:tcW w:w="200" w:type="dxa"/>
            <w:vAlign w:val="bottom"/>
          </w:tcPr>
          <w:p>
            <w:pPr>
              <w:spacing w:after="0"/>
              <w:rPr>
                <w:sz w:val="14"/>
                <w:szCs w:val="14"/>
                <w:color w:val="auto"/>
              </w:rPr>
            </w:pP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47,672,157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32,410,604</w:t>
            </w:r>
          </w:p>
        </w:tc>
      </w:tr>
      <w:tr>
        <w:trPr>
          <w:trHeight w:val="168"/>
        </w:trPr>
        <w:tc>
          <w:tcPr>
            <w:tcW w:w="76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Non-cash compensation</w:t>
            </w: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13,228,425</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7,329,228</w:t>
            </w: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Research and development credits</w:t>
            </w:r>
          </w:p>
        </w:tc>
        <w:tc>
          <w:tcPr>
            <w:tcW w:w="200" w:type="dxa"/>
            <w:vAlign w:val="bottom"/>
          </w:tcPr>
          <w:p>
            <w:pPr>
              <w:spacing w:after="0"/>
              <w:rPr>
                <w:sz w:val="14"/>
                <w:szCs w:val="14"/>
                <w:color w:val="auto"/>
              </w:rPr>
            </w:pP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14,455,797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13,028,222</w:t>
            </w:r>
          </w:p>
        </w:tc>
      </w:tr>
      <w:tr>
        <w:trPr>
          <w:trHeight w:val="168"/>
        </w:trPr>
        <w:tc>
          <w:tcPr>
            <w:tcW w:w="76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Interest Expense</w:t>
            </w: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4,117,655</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1,765,452</w:t>
            </w: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Charitable Contribution</w:t>
            </w:r>
          </w:p>
        </w:tc>
        <w:tc>
          <w:tcPr>
            <w:tcW w:w="200" w:type="dxa"/>
            <w:vAlign w:val="bottom"/>
          </w:tcPr>
          <w:p>
            <w:pPr>
              <w:spacing w:after="0"/>
              <w:rPr>
                <w:sz w:val="14"/>
                <w:szCs w:val="14"/>
                <w:color w:val="auto"/>
              </w:rPr>
            </w:pP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5,418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5,408</w:t>
            </w:r>
          </w:p>
        </w:tc>
      </w:tr>
      <w:tr>
        <w:trPr>
          <w:trHeight w:val="168"/>
        </w:trPr>
        <w:tc>
          <w:tcPr>
            <w:tcW w:w="76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Fixed Assets</w:t>
            </w: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2,840</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7,883</w:t>
            </w: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Lease Liability</w:t>
            </w:r>
          </w:p>
        </w:tc>
        <w:tc>
          <w:tcPr>
            <w:tcW w:w="200" w:type="dxa"/>
            <w:vAlign w:val="bottom"/>
          </w:tcPr>
          <w:p>
            <w:pPr>
              <w:spacing w:after="0"/>
              <w:rPr>
                <w:sz w:val="14"/>
                <w:szCs w:val="14"/>
                <w:color w:val="auto"/>
              </w:rPr>
            </w:pP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211,502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612,973</w:t>
            </w:r>
          </w:p>
        </w:tc>
      </w:tr>
      <w:tr>
        <w:trPr>
          <w:trHeight w:val="168"/>
        </w:trPr>
        <w:tc>
          <w:tcPr>
            <w:tcW w:w="766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Accrued expenses</w:t>
            </w:r>
          </w:p>
        </w:tc>
        <w:tc>
          <w:tcPr>
            <w:tcW w:w="2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1,479,728</w:t>
            </w: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ind w:right="46"/>
              <w:spacing w:after="0" w:line="168" w:lineRule="exact"/>
              <w:rPr>
                <w:sz w:val="20"/>
                <w:szCs w:val="20"/>
                <w:color w:val="auto"/>
              </w:rPr>
            </w:pPr>
            <w:r>
              <w:rPr>
                <w:rFonts w:ascii="Arial" w:cs="Arial" w:eastAsia="Arial" w:hAnsi="Arial"/>
                <w:sz w:val="15"/>
                <w:szCs w:val="15"/>
                <w:color w:val="auto"/>
              </w:rPr>
              <w:t>968,709</w:t>
            </w:r>
          </w:p>
        </w:tc>
      </w:tr>
      <w:tr>
        <w:trPr>
          <w:trHeight w:val="159"/>
        </w:trPr>
        <w:tc>
          <w:tcPr>
            <w:tcW w:w="7660" w:type="dxa"/>
            <w:vAlign w:val="bottom"/>
          </w:tcPr>
          <w:p>
            <w:pPr>
              <w:ind w:left="20"/>
              <w:spacing w:after="0" w:line="159" w:lineRule="exact"/>
              <w:rPr>
                <w:sz w:val="20"/>
                <w:szCs w:val="20"/>
                <w:color w:val="auto"/>
              </w:rPr>
            </w:pPr>
            <w:r>
              <w:rPr>
                <w:rFonts w:ascii="Arial" w:cs="Arial" w:eastAsia="Arial" w:hAnsi="Arial"/>
                <w:sz w:val="15"/>
                <w:szCs w:val="15"/>
                <w:color w:val="auto"/>
              </w:rPr>
              <w:t>Deferred tax asset, excluding valuation allowance</w:t>
            </w:r>
          </w:p>
        </w:tc>
        <w:tc>
          <w:tcPr>
            <w:tcW w:w="200" w:type="dxa"/>
            <w:vAlign w:val="bottom"/>
          </w:tcPr>
          <w:p>
            <w:pPr>
              <w:spacing w:after="0"/>
              <w:rPr>
                <w:sz w:val="13"/>
                <w:szCs w:val="13"/>
                <w:color w:val="auto"/>
              </w:rPr>
            </w:pPr>
          </w:p>
        </w:tc>
        <w:tc>
          <w:tcPr>
            <w:tcW w:w="1520" w:type="dxa"/>
            <w:vAlign w:val="bottom"/>
          </w:tcPr>
          <w:p>
            <w:pPr>
              <w:jc w:val="right"/>
              <w:ind w:right="46"/>
              <w:spacing w:after="0" w:line="159" w:lineRule="exact"/>
              <w:rPr>
                <w:sz w:val="20"/>
                <w:szCs w:val="20"/>
                <w:color w:val="auto"/>
              </w:rPr>
            </w:pPr>
            <w:r>
              <w:rPr>
                <w:rFonts w:ascii="Arial" w:cs="Arial" w:eastAsia="Arial" w:hAnsi="Arial"/>
                <w:sz w:val="15"/>
                <w:szCs w:val="15"/>
                <w:color w:val="auto"/>
              </w:rPr>
              <w:t>157,732,433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ind w:right="46"/>
              <w:spacing w:after="0" w:line="159" w:lineRule="exact"/>
              <w:rPr>
                <w:sz w:val="20"/>
                <w:szCs w:val="20"/>
                <w:color w:val="auto"/>
              </w:rPr>
            </w:pPr>
            <w:r>
              <w:rPr>
                <w:rFonts w:ascii="Arial" w:cs="Arial" w:eastAsia="Arial" w:hAnsi="Arial"/>
                <w:sz w:val="15"/>
                <w:szCs w:val="15"/>
                <w:color w:val="auto"/>
              </w:rPr>
              <w:t>108,545,185</w:t>
            </w:r>
          </w:p>
        </w:tc>
      </w:tr>
      <w:tr>
        <w:trPr>
          <w:trHeight w:val="168"/>
        </w:trPr>
        <w:tc>
          <w:tcPr>
            <w:tcW w:w="766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b w:val="1"/>
                <w:bCs w:val="1"/>
                <w:color w:val="auto"/>
              </w:rPr>
              <w:t>Deferred tax liabilities:</w:t>
            </w: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r>
      <w:tr>
        <w:trPr>
          <w:trHeight w:val="168"/>
        </w:trPr>
        <w:tc>
          <w:tcPr>
            <w:tcW w:w="7660" w:type="dxa"/>
            <w:vAlign w:val="bottom"/>
          </w:tcPr>
          <w:p>
            <w:pPr>
              <w:ind w:left="20"/>
              <w:spacing w:after="0" w:line="168" w:lineRule="exact"/>
              <w:rPr>
                <w:sz w:val="20"/>
                <w:szCs w:val="20"/>
                <w:color w:val="auto"/>
              </w:rPr>
            </w:pPr>
            <w:r>
              <w:rPr>
                <w:rFonts w:ascii="Arial" w:cs="Arial" w:eastAsia="Arial" w:hAnsi="Arial"/>
                <w:sz w:val="15"/>
                <w:szCs w:val="15"/>
                <w:color w:val="auto"/>
              </w:rPr>
              <w:t>Lease Asset</w:t>
            </w: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(224,958 )</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5"/>
                <w:szCs w:val="15"/>
                <w:color w:val="auto"/>
              </w:rPr>
              <w:t>(591,607 )</w:t>
            </w:r>
          </w:p>
        </w:tc>
      </w:tr>
      <w:tr>
        <w:trPr>
          <w:trHeight w:val="159"/>
        </w:trPr>
        <w:tc>
          <w:tcPr>
            <w:tcW w:w="766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Deferred tax liability, excluding valuation allowance</w:t>
            </w: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line="159" w:lineRule="exact"/>
              <w:rPr>
                <w:sz w:val="20"/>
                <w:szCs w:val="20"/>
                <w:color w:val="auto"/>
              </w:rPr>
            </w:pPr>
            <w:r>
              <w:rPr>
                <w:rFonts w:ascii="Arial" w:cs="Arial" w:eastAsia="Arial" w:hAnsi="Arial"/>
                <w:sz w:val="15"/>
                <w:szCs w:val="15"/>
                <w:color w:val="auto"/>
              </w:rPr>
              <w:t>(224,958 )</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line="159" w:lineRule="exact"/>
              <w:rPr>
                <w:sz w:val="20"/>
                <w:szCs w:val="20"/>
                <w:color w:val="auto"/>
              </w:rPr>
            </w:pPr>
            <w:r>
              <w:rPr>
                <w:rFonts w:ascii="Arial" w:cs="Arial" w:eastAsia="Arial" w:hAnsi="Arial"/>
                <w:sz w:val="15"/>
                <w:szCs w:val="15"/>
                <w:color w:val="auto"/>
              </w:rPr>
              <w:t>(591,607 )</w:t>
            </w:r>
          </w:p>
        </w:tc>
      </w:tr>
      <w:tr>
        <w:trPr>
          <w:trHeight w:val="168"/>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8"/>
        </w:trPr>
        <w:tc>
          <w:tcPr>
            <w:tcW w:w="7660" w:type="dxa"/>
            <w:vAlign w:val="bottom"/>
            <w:tcBorders>
              <w:bottom w:val="single" w:sz="8" w:color="CFF0FC"/>
            </w:tcBorders>
            <w:shd w:val="clear" w:color="auto" w:fill="CFF0FC"/>
          </w:tcPr>
          <w:p>
            <w:pPr>
              <w:ind w:left="20"/>
              <w:spacing w:after="0" w:line="168" w:lineRule="exact"/>
              <w:rPr>
                <w:sz w:val="20"/>
                <w:szCs w:val="20"/>
                <w:color w:val="auto"/>
              </w:rPr>
            </w:pPr>
            <w:r>
              <w:rPr>
                <w:rFonts w:ascii="Arial" w:cs="Arial" w:eastAsia="Arial" w:hAnsi="Arial"/>
                <w:sz w:val="15"/>
                <w:szCs w:val="15"/>
                <w:color w:val="auto"/>
              </w:rPr>
              <w:t>Less valuation allowance</w:t>
            </w:r>
          </w:p>
        </w:tc>
        <w:tc>
          <w:tcPr>
            <w:tcW w:w="2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(157,507,475 )</w:t>
            </w: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line="168" w:lineRule="exact"/>
              <w:rPr>
                <w:sz w:val="20"/>
                <w:szCs w:val="20"/>
                <w:color w:val="auto"/>
              </w:rPr>
            </w:pPr>
            <w:r>
              <w:rPr>
                <w:rFonts w:ascii="Arial" w:cs="Arial" w:eastAsia="Arial" w:hAnsi="Arial"/>
                <w:sz w:val="15"/>
                <w:szCs w:val="15"/>
                <w:color w:val="auto"/>
              </w:rPr>
              <w:t>(107,953,578 )</w:t>
            </w:r>
          </w:p>
        </w:tc>
      </w:tr>
      <w:tr>
        <w:trPr>
          <w:trHeight w:val="159"/>
        </w:trPr>
        <w:tc>
          <w:tcPr>
            <w:tcW w:w="7660" w:type="dxa"/>
            <w:vAlign w:val="bottom"/>
          </w:tcPr>
          <w:p>
            <w:pPr>
              <w:ind w:left="20"/>
              <w:spacing w:after="0" w:line="159" w:lineRule="exact"/>
              <w:rPr>
                <w:sz w:val="20"/>
                <w:szCs w:val="20"/>
                <w:color w:val="auto"/>
              </w:rPr>
            </w:pPr>
            <w:r>
              <w:rPr>
                <w:rFonts w:ascii="Arial" w:cs="Arial" w:eastAsia="Arial" w:hAnsi="Arial"/>
                <w:sz w:val="15"/>
                <w:szCs w:val="15"/>
                <w:b w:val="1"/>
                <w:bCs w:val="1"/>
                <w:color w:val="auto"/>
              </w:rPr>
              <w:t>Net deferred tax assets</w:t>
            </w:r>
          </w:p>
        </w:tc>
        <w:tc>
          <w:tcPr>
            <w:tcW w:w="200" w:type="dxa"/>
            <w:vAlign w:val="bottom"/>
          </w:tcPr>
          <w:p>
            <w:pPr>
              <w:jc w:val="right"/>
              <w:ind w:right="46"/>
              <w:spacing w:after="0" w:line="159" w:lineRule="exact"/>
              <w:rPr>
                <w:sz w:val="20"/>
                <w:szCs w:val="20"/>
                <w:color w:val="auto"/>
              </w:rPr>
            </w:pPr>
            <w:r>
              <w:rPr>
                <w:rFonts w:ascii="Arial" w:cs="Arial" w:eastAsia="Arial" w:hAnsi="Arial"/>
                <w:sz w:val="15"/>
                <w:szCs w:val="15"/>
                <w:color w:val="auto"/>
                <w:w w:val="71"/>
              </w:rPr>
              <w:t>$</w:t>
            </w:r>
          </w:p>
        </w:tc>
        <w:tc>
          <w:tcPr>
            <w:tcW w:w="1520" w:type="dxa"/>
            <w:vAlign w:val="bottom"/>
          </w:tcPr>
          <w:p>
            <w:pPr>
              <w:jc w:val="right"/>
              <w:ind w:right="46"/>
              <w:spacing w:after="0" w:line="159" w:lineRule="exact"/>
              <w:rPr>
                <w:sz w:val="20"/>
                <w:szCs w:val="20"/>
                <w:color w:val="auto"/>
              </w:rPr>
            </w:pPr>
            <w:r>
              <w:rPr>
                <w:rFonts w:ascii="Arial" w:cs="Arial" w:eastAsia="Arial" w:hAnsi="Arial"/>
                <w:sz w:val="15"/>
                <w:szCs w:val="15"/>
                <w:color w:val="auto"/>
              </w:rPr>
              <w:t>—</w:t>
            </w:r>
          </w:p>
        </w:tc>
        <w:tc>
          <w:tcPr>
            <w:tcW w:w="380" w:type="dxa"/>
            <w:vAlign w:val="bottom"/>
            <w:gridSpan w:val="2"/>
          </w:tcPr>
          <w:p>
            <w:pPr>
              <w:jc w:val="right"/>
              <w:ind w:right="120"/>
              <w:spacing w:after="0" w:line="159" w:lineRule="exact"/>
              <w:rPr>
                <w:sz w:val="20"/>
                <w:szCs w:val="20"/>
                <w:color w:val="auto"/>
              </w:rPr>
            </w:pPr>
            <w:r>
              <w:rPr>
                <w:rFonts w:ascii="Arial" w:cs="Arial" w:eastAsia="Arial" w:hAnsi="Arial"/>
                <w:sz w:val="15"/>
                <w:szCs w:val="15"/>
                <w:color w:val="auto"/>
              </w:rPr>
              <w:t>$</w:t>
            </w:r>
          </w:p>
        </w:tc>
        <w:tc>
          <w:tcPr>
            <w:tcW w:w="1520" w:type="dxa"/>
            <w:vAlign w:val="bottom"/>
          </w:tcPr>
          <w:p>
            <w:pPr>
              <w:jc w:val="right"/>
              <w:ind w:right="46"/>
              <w:spacing w:after="0" w:line="159" w:lineRule="exact"/>
              <w:rPr>
                <w:sz w:val="20"/>
                <w:szCs w:val="20"/>
                <w:color w:val="auto"/>
              </w:rPr>
            </w:pPr>
            <w:r>
              <w:rPr>
                <w:rFonts w:ascii="Arial" w:cs="Arial" w:eastAsia="Arial" w:hAnsi="Arial"/>
                <w:sz w:val="15"/>
                <w:szCs w:val="15"/>
                <w:color w:val="auto"/>
              </w:rPr>
              <w:t>—</w:t>
            </w:r>
          </w:p>
        </w:tc>
      </w:tr>
      <w:tr>
        <w:trPr>
          <w:trHeight w:val="20"/>
        </w:trPr>
        <w:tc>
          <w:tcPr>
            <w:tcW w:w="7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5956300</wp:posOffset>
            </wp:positionH>
            <wp:positionV relativeFrom="paragraph">
              <wp:posOffset>-784225</wp:posOffset>
            </wp:positionV>
            <wp:extent cx="113665" cy="4763"/>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3665" cy="4763"/>
                    </a:xfrm>
                    <a:prstGeom prst="rect">
                      <a:avLst/>
                    </a:prstGeom>
                    <a:noFill/>
                  </pic:spPr>
                </pic:pic>
              </a:graphicData>
            </a:graphic>
          </wp:anchor>
        </w:drawing>
        <w:drawing>
          <wp:anchor simplePos="0" relativeHeight="251657728" behindDoc="1" locked="0" layoutInCell="0" allowOverlap="1">
            <wp:simplePos x="0" y="0"/>
            <wp:positionH relativeFrom="column">
              <wp:posOffset>5956300</wp:posOffset>
            </wp:positionH>
            <wp:positionV relativeFrom="paragraph">
              <wp:posOffset>-131445</wp:posOffset>
            </wp:positionV>
            <wp:extent cx="113665" cy="4763"/>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3665" cy="4763"/>
                    </a:xfrm>
                    <a:prstGeom prst="rect">
                      <a:avLst/>
                    </a:prstGeom>
                    <a:noFill/>
                  </pic:spPr>
                </pic:pic>
              </a:graphicData>
            </a:graphic>
          </wp:anchor>
        </w:drawing>
      </w:r>
    </w:p>
    <w:p>
      <w:pPr>
        <w:spacing w:after="0" w:line="170" w:lineRule="exact"/>
        <w:rPr>
          <w:sz w:val="20"/>
          <w:szCs w:val="20"/>
          <w:color w:val="auto"/>
        </w:rPr>
      </w:pPr>
    </w:p>
    <w:p>
      <w:pPr>
        <w:ind w:right="20" w:firstLine="751"/>
        <w:spacing w:after="0" w:line="238" w:lineRule="auto"/>
        <w:rPr>
          <w:sz w:val="20"/>
          <w:szCs w:val="20"/>
          <w:color w:val="auto"/>
        </w:rPr>
      </w:pPr>
      <w:r>
        <w:rPr>
          <w:rFonts w:ascii="Arial" w:cs="Arial" w:eastAsia="Arial" w:hAnsi="Arial"/>
          <w:sz w:val="15"/>
          <w:szCs w:val="15"/>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full valuation allowance against the deferred tax assets resulting from the tax loss and credits carried forward. Valuation allowance increased $49.6 million, $39.7 million, and $27.0 million, in 2021, 2020, and 2019, respectively, as a result of the increase of the deferred tax assets.</w:t>
      </w:r>
    </w:p>
    <w:p>
      <w:pPr>
        <w:spacing w:after="0" w:line="161" w:lineRule="exact"/>
        <w:rPr>
          <w:sz w:val="20"/>
          <w:szCs w:val="20"/>
          <w:color w:val="auto"/>
        </w:rPr>
      </w:pPr>
    </w:p>
    <w:p>
      <w:pPr>
        <w:ind w:right="60" w:firstLine="751"/>
        <w:spacing w:after="0" w:line="331" w:lineRule="auto"/>
        <w:rPr>
          <w:sz w:val="20"/>
          <w:szCs w:val="20"/>
          <w:color w:val="auto"/>
        </w:rPr>
      </w:pPr>
      <w:r>
        <w:rPr>
          <w:rFonts w:ascii="Arial" w:cs="Arial" w:eastAsia="Arial" w:hAnsi="Arial"/>
          <w:sz w:val="13"/>
          <w:szCs w:val="13"/>
          <w:color w:val="auto"/>
        </w:rPr>
        <w:t>There was no income tax expense (benefit) recorded by the Company due to its net loss tax position and full valuation allowance during the years ended December 31, 2021, 2020, and 2019. A reconciliation of income tax expense (benefit) at the statutory federal income tax rate and income taxes as reflected in the consolidated financial statements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6500" w:type="dxa"/>
            <w:vAlign w:val="bottom"/>
          </w:tcPr>
          <w:p>
            <w:pPr>
              <w:spacing w:after="0"/>
              <w:rPr>
                <w:sz w:val="13"/>
                <w:szCs w:val="13"/>
                <w:color w:val="auto"/>
              </w:rPr>
            </w:pPr>
          </w:p>
        </w:tc>
        <w:tc>
          <w:tcPr>
            <w:tcW w:w="154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December 31, 2021</w:t>
            </w:r>
          </w:p>
        </w:tc>
        <w:tc>
          <w:tcPr>
            <w:tcW w:w="120" w:type="dxa"/>
            <w:vAlign w:val="bottom"/>
          </w:tcPr>
          <w:p>
            <w:pPr>
              <w:spacing w:after="0"/>
              <w:rPr>
                <w:sz w:val="13"/>
                <w:szCs w:val="13"/>
                <w:color w:val="auto"/>
              </w:rPr>
            </w:pPr>
          </w:p>
        </w:tc>
        <w:tc>
          <w:tcPr>
            <w:tcW w:w="152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Pr>
          <w:p>
            <w:pPr>
              <w:spacing w:after="0"/>
              <w:rPr>
                <w:sz w:val="13"/>
                <w:szCs w:val="13"/>
                <w:color w:val="auto"/>
              </w:rPr>
            </w:pPr>
          </w:p>
        </w:tc>
        <w:tc>
          <w:tcPr>
            <w:tcW w:w="150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w w:val="99"/>
              </w:rPr>
              <w:t>December 31, 2019</w:t>
            </w:r>
          </w:p>
        </w:tc>
      </w:tr>
      <w:tr>
        <w:trPr>
          <w:trHeight w:val="159"/>
        </w:trPr>
        <w:tc>
          <w:tcPr>
            <w:tcW w:w="6500" w:type="dxa"/>
            <w:vAlign w:val="bottom"/>
            <w:shd w:val="clear" w:color="auto" w:fill="CFF0FC"/>
          </w:tcPr>
          <w:p>
            <w:pPr>
              <w:ind w:left="20"/>
              <w:spacing w:after="0" w:line="159" w:lineRule="exact"/>
              <w:rPr>
                <w:sz w:val="20"/>
                <w:szCs w:val="20"/>
                <w:color w:val="auto"/>
              </w:rPr>
            </w:pPr>
            <w:r>
              <w:rPr>
                <w:rFonts w:ascii="Arial" w:cs="Arial" w:eastAsia="Arial" w:hAnsi="Arial"/>
                <w:sz w:val="15"/>
                <w:szCs w:val="15"/>
                <w:color w:val="auto"/>
              </w:rPr>
              <w:t>U.S. federal statutory income tax rate</w:t>
            </w:r>
          </w:p>
        </w:tc>
        <w:tc>
          <w:tcPr>
            <w:tcW w:w="1540" w:type="dxa"/>
            <w:vAlign w:val="bottom"/>
            <w:shd w:val="clear" w:color="auto" w:fill="CFF0FC"/>
          </w:tcPr>
          <w:p>
            <w:pPr>
              <w:jc w:val="right"/>
              <w:ind w:right="47"/>
              <w:spacing w:after="0" w:line="159" w:lineRule="exact"/>
              <w:rPr>
                <w:sz w:val="20"/>
                <w:szCs w:val="20"/>
                <w:color w:val="auto"/>
              </w:rPr>
            </w:pPr>
            <w:r>
              <w:rPr>
                <w:rFonts w:ascii="Arial" w:cs="Arial" w:eastAsia="Arial" w:hAnsi="Arial"/>
                <w:sz w:val="15"/>
                <w:szCs w:val="15"/>
                <w:color w:val="auto"/>
              </w:rPr>
              <w:t>21.0 %</w:t>
            </w:r>
          </w:p>
        </w:tc>
        <w:tc>
          <w:tcPr>
            <w:tcW w:w="120" w:type="dxa"/>
            <w:vAlign w:val="bottom"/>
            <w:shd w:val="clear" w:color="auto" w:fill="CFF0FC"/>
          </w:tcPr>
          <w:p>
            <w:pPr>
              <w:spacing w:after="0"/>
              <w:rPr>
                <w:sz w:val="13"/>
                <w:szCs w:val="13"/>
                <w:color w:val="auto"/>
              </w:rPr>
            </w:pPr>
          </w:p>
        </w:tc>
        <w:tc>
          <w:tcPr>
            <w:tcW w:w="1520" w:type="dxa"/>
            <w:vAlign w:val="bottom"/>
            <w:shd w:val="clear" w:color="auto" w:fill="CFF0FC"/>
          </w:tcPr>
          <w:p>
            <w:pPr>
              <w:jc w:val="right"/>
              <w:ind w:right="51"/>
              <w:spacing w:after="0" w:line="159" w:lineRule="exact"/>
              <w:rPr>
                <w:sz w:val="20"/>
                <w:szCs w:val="20"/>
                <w:color w:val="auto"/>
              </w:rPr>
            </w:pPr>
            <w:r>
              <w:rPr>
                <w:rFonts w:ascii="Arial" w:cs="Arial" w:eastAsia="Arial" w:hAnsi="Arial"/>
                <w:sz w:val="15"/>
                <w:szCs w:val="15"/>
                <w:color w:val="auto"/>
              </w:rPr>
              <w:t>21.0 %</w:t>
            </w:r>
          </w:p>
        </w:tc>
        <w:tc>
          <w:tcPr>
            <w:tcW w:w="10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51"/>
              <w:spacing w:after="0" w:line="159" w:lineRule="exact"/>
              <w:rPr>
                <w:sz w:val="20"/>
                <w:szCs w:val="20"/>
                <w:color w:val="auto"/>
              </w:rPr>
            </w:pPr>
            <w:r>
              <w:rPr>
                <w:rFonts w:ascii="Arial" w:cs="Arial" w:eastAsia="Arial" w:hAnsi="Arial"/>
                <w:sz w:val="15"/>
                <w:szCs w:val="15"/>
                <w:color w:val="auto"/>
              </w:rPr>
              <w:t>21.0 %</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State taxes, net of federal benefit</w:t>
            </w:r>
          </w:p>
        </w:tc>
        <w:tc>
          <w:tcPr>
            <w:tcW w:w="1540" w:type="dxa"/>
            <w:vAlign w:val="bottom"/>
          </w:tcPr>
          <w:p>
            <w:pPr>
              <w:jc w:val="right"/>
              <w:ind w:right="187"/>
              <w:spacing w:after="0" w:line="168" w:lineRule="exact"/>
              <w:rPr>
                <w:sz w:val="20"/>
                <w:szCs w:val="20"/>
                <w:color w:val="auto"/>
              </w:rPr>
            </w:pPr>
            <w:r>
              <w:rPr>
                <w:rFonts w:ascii="Arial" w:cs="Arial" w:eastAsia="Arial" w:hAnsi="Arial"/>
                <w:sz w:val="15"/>
                <w:szCs w:val="15"/>
                <w:color w:val="auto"/>
              </w:rPr>
              <w:t>14.0</w:t>
            </w:r>
          </w:p>
        </w:tc>
        <w:tc>
          <w:tcPr>
            <w:tcW w:w="1640" w:type="dxa"/>
            <w:vAlign w:val="bottom"/>
            <w:gridSpan w:val="2"/>
          </w:tcPr>
          <w:p>
            <w:pPr>
              <w:jc w:val="right"/>
              <w:ind w:right="191"/>
              <w:spacing w:after="0" w:line="168" w:lineRule="exact"/>
              <w:rPr>
                <w:sz w:val="20"/>
                <w:szCs w:val="20"/>
                <w:color w:val="auto"/>
              </w:rPr>
            </w:pPr>
            <w:r>
              <w:rPr>
                <w:rFonts w:ascii="Arial" w:cs="Arial" w:eastAsia="Arial" w:hAnsi="Arial"/>
                <w:sz w:val="15"/>
                <w:szCs w:val="15"/>
                <w:color w:val="auto"/>
              </w:rPr>
              <w:t>13.7</w:t>
            </w:r>
          </w:p>
        </w:tc>
        <w:tc>
          <w:tcPr>
            <w:tcW w:w="1600" w:type="dxa"/>
            <w:vAlign w:val="bottom"/>
            <w:gridSpan w:val="2"/>
          </w:tcPr>
          <w:p>
            <w:pPr>
              <w:jc w:val="right"/>
              <w:ind w:right="191"/>
              <w:spacing w:after="0" w:line="168" w:lineRule="exact"/>
              <w:rPr>
                <w:sz w:val="20"/>
                <w:szCs w:val="20"/>
                <w:color w:val="auto"/>
              </w:rPr>
            </w:pPr>
            <w:r>
              <w:rPr>
                <w:rFonts w:ascii="Arial" w:cs="Arial" w:eastAsia="Arial" w:hAnsi="Arial"/>
                <w:sz w:val="15"/>
                <w:szCs w:val="15"/>
                <w:color w:val="auto"/>
              </w:rPr>
              <w:t>13.5</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Stock based compensation - Excess tax benefit</w:t>
            </w:r>
          </w:p>
        </w:tc>
        <w:tc>
          <w:tcPr>
            <w:tcW w:w="1540" w:type="dxa"/>
            <w:vAlign w:val="bottom"/>
            <w:shd w:val="clear" w:color="auto" w:fill="CFF0FC"/>
          </w:tcPr>
          <w:p>
            <w:pPr>
              <w:jc w:val="right"/>
              <w:ind w:right="187"/>
              <w:spacing w:after="0" w:line="168" w:lineRule="exact"/>
              <w:rPr>
                <w:sz w:val="20"/>
                <w:szCs w:val="20"/>
                <w:color w:val="auto"/>
              </w:rPr>
            </w:pPr>
            <w:r>
              <w:rPr>
                <w:rFonts w:ascii="Arial" w:cs="Arial" w:eastAsia="Arial" w:hAnsi="Arial"/>
                <w:sz w:val="15"/>
                <w:szCs w:val="15"/>
                <w:color w:val="auto"/>
              </w:rPr>
              <w:t>1.8</w:t>
            </w:r>
          </w:p>
        </w:tc>
        <w:tc>
          <w:tcPr>
            <w:tcW w:w="1640" w:type="dxa"/>
            <w:vAlign w:val="bottom"/>
            <w:gridSpan w:val="2"/>
            <w:shd w:val="clear" w:color="auto" w:fill="CFF0FC"/>
          </w:tcPr>
          <w:p>
            <w:pPr>
              <w:jc w:val="right"/>
              <w:ind w:right="191"/>
              <w:spacing w:after="0" w:line="168" w:lineRule="exact"/>
              <w:rPr>
                <w:sz w:val="20"/>
                <w:szCs w:val="20"/>
                <w:color w:val="auto"/>
              </w:rPr>
            </w:pPr>
            <w:r>
              <w:rPr>
                <w:rFonts w:ascii="Arial" w:cs="Arial" w:eastAsia="Arial" w:hAnsi="Arial"/>
                <w:sz w:val="15"/>
                <w:szCs w:val="15"/>
                <w:color w:val="auto"/>
              </w:rPr>
              <w:t>1.8</w:t>
            </w:r>
          </w:p>
        </w:tc>
        <w:tc>
          <w:tcPr>
            <w:tcW w:w="1600" w:type="dxa"/>
            <w:vAlign w:val="bottom"/>
            <w:gridSpan w:val="2"/>
            <w:shd w:val="clear" w:color="auto" w:fill="CFF0FC"/>
          </w:tcPr>
          <w:p>
            <w:pPr>
              <w:jc w:val="right"/>
              <w:ind w:right="191"/>
              <w:spacing w:after="0" w:line="168" w:lineRule="exact"/>
              <w:rPr>
                <w:sz w:val="20"/>
                <w:szCs w:val="20"/>
                <w:color w:val="auto"/>
              </w:rPr>
            </w:pPr>
            <w:r>
              <w:rPr>
                <w:rFonts w:ascii="Arial" w:cs="Arial" w:eastAsia="Arial" w:hAnsi="Arial"/>
                <w:sz w:val="15"/>
                <w:szCs w:val="15"/>
                <w:color w:val="auto"/>
              </w:rPr>
              <w:t>1.2</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Other permanent differences</w:t>
            </w:r>
          </w:p>
        </w:tc>
        <w:tc>
          <w:tcPr>
            <w:tcW w:w="1540" w:type="dxa"/>
            <w:vAlign w:val="bottom"/>
          </w:tcPr>
          <w:p>
            <w:pPr>
              <w:jc w:val="right"/>
              <w:ind w:right="127"/>
              <w:spacing w:after="0" w:line="168" w:lineRule="exact"/>
              <w:rPr>
                <w:sz w:val="20"/>
                <w:szCs w:val="20"/>
                <w:color w:val="auto"/>
              </w:rPr>
            </w:pPr>
            <w:r>
              <w:rPr>
                <w:rFonts w:ascii="Arial" w:cs="Arial" w:eastAsia="Arial" w:hAnsi="Arial"/>
                <w:sz w:val="15"/>
                <w:szCs w:val="15"/>
                <w:color w:val="auto"/>
              </w:rPr>
              <w:t>(0.1 )</w:t>
            </w:r>
          </w:p>
        </w:tc>
        <w:tc>
          <w:tcPr>
            <w:tcW w:w="1640" w:type="dxa"/>
            <w:vAlign w:val="bottom"/>
            <w:gridSpan w:val="2"/>
          </w:tcPr>
          <w:p>
            <w:pPr>
              <w:jc w:val="right"/>
              <w:ind w:right="131"/>
              <w:spacing w:after="0" w:line="168" w:lineRule="exact"/>
              <w:rPr>
                <w:sz w:val="20"/>
                <w:szCs w:val="20"/>
                <w:color w:val="auto"/>
              </w:rPr>
            </w:pPr>
            <w:r>
              <w:rPr>
                <w:rFonts w:ascii="Arial" w:cs="Arial" w:eastAsia="Arial" w:hAnsi="Arial"/>
                <w:sz w:val="15"/>
                <w:szCs w:val="15"/>
                <w:color w:val="auto"/>
              </w:rPr>
              <w:t>(0.6 )</w:t>
            </w:r>
          </w:p>
        </w:tc>
        <w:tc>
          <w:tcPr>
            <w:tcW w:w="1600" w:type="dxa"/>
            <w:vAlign w:val="bottom"/>
            <w:gridSpan w:val="2"/>
          </w:tcPr>
          <w:p>
            <w:pPr>
              <w:jc w:val="right"/>
              <w:ind w:right="111"/>
              <w:spacing w:after="0" w:line="168" w:lineRule="exact"/>
              <w:rPr>
                <w:sz w:val="20"/>
                <w:szCs w:val="20"/>
                <w:color w:val="auto"/>
              </w:rPr>
            </w:pPr>
            <w:r>
              <w:rPr>
                <w:rFonts w:ascii="Arial" w:cs="Arial" w:eastAsia="Arial" w:hAnsi="Arial"/>
                <w:sz w:val="15"/>
                <w:szCs w:val="15"/>
                <w:color w:val="auto"/>
              </w:rPr>
              <w:t>(0.1 )</w:t>
            </w:r>
          </w:p>
        </w:tc>
      </w:tr>
      <w:tr>
        <w:trPr>
          <w:trHeight w:val="168"/>
        </w:trPr>
        <w:tc>
          <w:tcPr>
            <w:tcW w:w="6500" w:type="dxa"/>
            <w:vAlign w:val="bottom"/>
            <w:shd w:val="clear" w:color="auto" w:fill="CFF0FC"/>
          </w:tcPr>
          <w:p>
            <w:pPr>
              <w:ind w:left="20"/>
              <w:spacing w:after="0" w:line="168" w:lineRule="exact"/>
              <w:rPr>
                <w:sz w:val="20"/>
                <w:szCs w:val="20"/>
                <w:color w:val="auto"/>
              </w:rPr>
            </w:pPr>
            <w:r>
              <w:rPr>
                <w:rFonts w:ascii="Arial" w:cs="Arial" w:eastAsia="Arial" w:hAnsi="Arial"/>
                <w:sz w:val="15"/>
                <w:szCs w:val="15"/>
                <w:color w:val="auto"/>
              </w:rPr>
              <w:t>Tax credit</w:t>
            </w:r>
          </w:p>
        </w:tc>
        <w:tc>
          <w:tcPr>
            <w:tcW w:w="1540" w:type="dxa"/>
            <w:vAlign w:val="bottom"/>
            <w:shd w:val="clear" w:color="auto" w:fill="CFF0FC"/>
          </w:tcPr>
          <w:p>
            <w:pPr>
              <w:jc w:val="right"/>
              <w:ind w:right="187"/>
              <w:spacing w:after="0" w:line="168" w:lineRule="exact"/>
              <w:rPr>
                <w:sz w:val="20"/>
                <w:szCs w:val="20"/>
                <w:color w:val="auto"/>
              </w:rPr>
            </w:pPr>
            <w:r>
              <w:rPr>
                <w:rFonts w:ascii="Arial" w:cs="Arial" w:eastAsia="Arial" w:hAnsi="Arial"/>
                <w:sz w:val="15"/>
                <w:szCs w:val="15"/>
                <w:color w:val="auto"/>
              </w:rPr>
              <w:t>1.3</w:t>
            </w:r>
          </w:p>
        </w:tc>
        <w:tc>
          <w:tcPr>
            <w:tcW w:w="1640" w:type="dxa"/>
            <w:vAlign w:val="bottom"/>
            <w:gridSpan w:val="2"/>
            <w:shd w:val="clear" w:color="auto" w:fill="CFF0FC"/>
          </w:tcPr>
          <w:p>
            <w:pPr>
              <w:jc w:val="right"/>
              <w:ind w:right="191"/>
              <w:spacing w:after="0" w:line="168" w:lineRule="exact"/>
              <w:rPr>
                <w:sz w:val="20"/>
                <w:szCs w:val="20"/>
                <w:color w:val="auto"/>
              </w:rPr>
            </w:pPr>
            <w:r>
              <w:rPr>
                <w:rFonts w:ascii="Arial" w:cs="Arial" w:eastAsia="Arial" w:hAnsi="Arial"/>
                <w:sz w:val="15"/>
                <w:szCs w:val="15"/>
                <w:color w:val="auto"/>
              </w:rPr>
              <w:t>2.5</w:t>
            </w:r>
          </w:p>
        </w:tc>
        <w:tc>
          <w:tcPr>
            <w:tcW w:w="1600" w:type="dxa"/>
            <w:vAlign w:val="bottom"/>
            <w:gridSpan w:val="2"/>
            <w:shd w:val="clear" w:color="auto" w:fill="CFF0FC"/>
          </w:tcPr>
          <w:p>
            <w:pPr>
              <w:jc w:val="right"/>
              <w:ind w:right="191"/>
              <w:spacing w:after="0" w:line="168" w:lineRule="exact"/>
              <w:rPr>
                <w:sz w:val="20"/>
                <w:szCs w:val="20"/>
                <w:color w:val="auto"/>
              </w:rPr>
            </w:pPr>
            <w:r>
              <w:rPr>
                <w:rFonts w:ascii="Arial" w:cs="Arial" w:eastAsia="Arial" w:hAnsi="Arial"/>
                <w:sz w:val="15"/>
                <w:szCs w:val="15"/>
                <w:color w:val="auto"/>
              </w:rPr>
              <w:t>4.2</w:t>
            </w:r>
          </w:p>
        </w:tc>
      </w:tr>
      <w:tr>
        <w:trPr>
          <w:trHeight w:val="168"/>
        </w:trPr>
        <w:tc>
          <w:tcPr>
            <w:tcW w:w="6500" w:type="dxa"/>
            <w:vAlign w:val="bottom"/>
          </w:tcPr>
          <w:p>
            <w:pPr>
              <w:ind w:left="20"/>
              <w:spacing w:after="0" w:line="168" w:lineRule="exact"/>
              <w:rPr>
                <w:sz w:val="20"/>
                <w:szCs w:val="20"/>
                <w:color w:val="auto"/>
              </w:rPr>
            </w:pPr>
            <w:r>
              <w:rPr>
                <w:rFonts w:ascii="Arial" w:cs="Arial" w:eastAsia="Arial" w:hAnsi="Arial"/>
                <w:sz w:val="15"/>
                <w:szCs w:val="15"/>
                <w:color w:val="auto"/>
              </w:rPr>
              <w:t>Change in valuation allowance</w:t>
            </w:r>
          </w:p>
        </w:tc>
        <w:tc>
          <w:tcPr>
            <w:tcW w:w="1540" w:type="dxa"/>
            <w:vAlign w:val="bottom"/>
          </w:tcPr>
          <w:p>
            <w:pPr>
              <w:jc w:val="right"/>
              <w:ind w:right="127"/>
              <w:spacing w:after="0" w:line="168" w:lineRule="exact"/>
              <w:rPr>
                <w:sz w:val="20"/>
                <w:szCs w:val="20"/>
                <w:color w:val="auto"/>
              </w:rPr>
            </w:pPr>
            <w:r>
              <w:rPr>
                <w:rFonts w:ascii="Arial" w:cs="Arial" w:eastAsia="Arial" w:hAnsi="Arial"/>
                <w:sz w:val="15"/>
                <w:szCs w:val="15"/>
                <w:color w:val="auto"/>
              </w:rPr>
              <w:t>(38.0 )</w:t>
            </w:r>
          </w:p>
        </w:tc>
        <w:tc>
          <w:tcPr>
            <w:tcW w:w="1640" w:type="dxa"/>
            <w:vAlign w:val="bottom"/>
            <w:gridSpan w:val="2"/>
          </w:tcPr>
          <w:p>
            <w:pPr>
              <w:jc w:val="right"/>
              <w:ind w:right="131"/>
              <w:spacing w:after="0" w:line="168" w:lineRule="exact"/>
              <w:rPr>
                <w:sz w:val="20"/>
                <w:szCs w:val="20"/>
                <w:color w:val="auto"/>
              </w:rPr>
            </w:pPr>
            <w:r>
              <w:rPr>
                <w:rFonts w:ascii="Arial" w:cs="Arial" w:eastAsia="Arial" w:hAnsi="Arial"/>
                <w:sz w:val="15"/>
                <w:szCs w:val="15"/>
                <w:color w:val="auto"/>
              </w:rPr>
              <w:t>(38.4 )</w:t>
            </w:r>
          </w:p>
        </w:tc>
        <w:tc>
          <w:tcPr>
            <w:tcW w:w="1600" w:type="dxa"/>
            <w:vAlign w:val="bottom"/>
            <w:gridSpan w:val="2"/>
          </w:tcPr>
          <w:p>
            <w:pPr>
              <w:jc w:val="right"/>
              <w:ind w:right="111"/>
              <w:spacing w:after="0" w:line="168" w:lineRule="exact"/>
              <w:rPr>
                <w:sz w:val="20"/>
                <w:szCs w:val="20"/>
                <w:color w:val="auto"/>
              </w:rPr>
            </w:pPr>
            <w:r>
              <w:rPr>
                <w:rFonts w:ascii="Arial" w:cs="Arial" w:eastAsia="Arial" w:hAnsi="Arial"/>
                <w:sz w:val="15"/>
                <w:szCs w:val="15"/>
                <w:color w:val="auto"/>
              </w:rPr>
              <w:t>(39.8 )</w:t>
            </w:r>
          </w:p>
        </w:tc>
      </w:tr>
      <w:tr>
        <w:trPr>
          <w:trHeight w:val="199"/>
        </w:trPr>
        <w:tc>
          <w:tcPr>
            <w:tcW w:w="6500" w:type="dxa"/>
            <w:vAlign w:val="bottom"/>
            <w:tcBorders>
              <w:bottom w:val="single" w:sz="8" w:color="CFF0FC"/>
            </w:tcBorders>
            <w:shd w:val="clear" w:color="auto" w:fill="CFF0FC"/>
          </w:tcPr>
          <w:p>
            <w:pPr>
              <w:ind w:left="20"/>
              <w:spacing w:after="0" w:line="159" w:lineRule="exact"/>
              <w:rPr>
                <w:sz w:val="20"/>
                <w:szCs w:val="20"/>
                <w:color w:val="auto"/>
              </w:rPr>
            </w:pPr>
            <w:r>
              <w:rPr>
                <w:rFonts w:ascii="Arial" w:cs="Arial" w:eastAsia="Arial" w:hAnsi="Arial"/>
                <w:sz w:val="15"/>
                <w:szCs w:val="15"/>
                <w:color w:val="auto"/>
              </w:rPr>
              <w:t>Effective tax rate</w:t>
            </w:r>
          </w:p>
        </w:tc>
        <w:tc>
          <w:tcPr>
            <w:tcW w:w="1540" w:type="dxa"/>
            <w:vAlign w:val="bottom"/>
            <w:tcBorders>
              <w:top w:val="single" w:sz="8" w:color="auto"/>
              <w:bottom w:val="single" w:sz="8" w:color="auto"/>
            </w:tcBorders>
            <w:shd w:val="clear" w:color="auto" w:fill="CFF0FC"/>
          </w:tcPr>
          <w:p>
            <w:pPr>
              <w:jc w:val="right"/>
              <w:ind w:right="47"/>
              <w:spacing w:after="0" w:line="159" w:lineRule="exact"/>
              <w:rPr>
                <w:sz w:val="20"/>
                <w:szCs w:val="20"/>
                <w:color w:val="auto"/>
              </w:rPr>
            </w:pPr>
            <w:r>
              <w:rPr>
                <w:rFonts w:ascii="Arial" w:cs="Arial" w:eastAsia="Arial" w:hAnsi="Arial"/>
                <w:sz w:val="15"/>
                <w:szCs w:val="15"/>
                <w:color w:val="auto"/>
              </w:rPr>
              <w:t>— %</w:t>
            </w: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ind w:right="51"/>
              <w:spacing w:after="0" w:line="159" w:lineRule="exact"/>
              <w:rPr>
                <w:sz w:val="20"/>
                <w:szCs w:val="20"/>
                <w:color w:val="auto"/>
              </w:rPr>
            </w:pPr>
            <w:r>
              <w:rPr>
                <w:rFonts w:ascii="Arial" w:cs="Arial" w:eastAsia="Arial" w:hAnsi="Arial"/>
                <w:sz w:val="15"/>
                <w:szCs w:val="15"/>
                <w:color w:val="auto"/>
              </w:rPr>
              <w:t>— %</w:t>
            </w:r>
          </w:p>
        </w:tc>
        <w:tc>
          <w:tcPr>
            <w:tcW w:w="1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top w:val="single" w:sz="8" w:color="auto"/>
              <w:bottom w:val="single" w:sz="8" w:color="auto"/>
            </w:tcBorders>
            <w:shd w:val="clear" w:color="auto" w:fill="CFF0FC"/>
          </w:tcPr>
          <w:p>
            <w:pPr>
              <w:jc w:val="right"/>
              <w:ind w:right="51"/>
              <w:spacing w:after="0" w:line="159" w:lineRule="exact"/>
              <w:rPr>
                <w:sz w:val="20"/>
                <w:szCs w:val="20"/>
                <w:color w:val="auto"/>
              </w:rPr>
            </w:pPr>
            <w:r>
              <w:rPr>
                <w:rFonts w:ascii="Arial" w:cs="Arial" w:eastAsia="Arial" w:hAnsi="Arial"/>
                <w:sz w:val="15"/>
                <w:szCs w:val="15"/>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-20955</wp:posOffset>
            </wp:positionV>
            <wp:extent cx="7810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-6350</wp:posOffset>
            </wp:positionV>
            <wp:extent cx="7810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8105"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-20955</wp:posOffset>
            </wp:positionV>
            <wp:extent cx="7112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120"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-6350</wp:posOffset>
            </wp:positionV>
            <wp:extent cx="7112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120" cy="6985"/>
                    </a:xfrm>
                    <a:prstGeom prst="rect">
                      <a:avLst/>
                    </a:prstGeom>
                    <a:noFill/>
                  </pic:spPr>
                </pic:pic>
              </a:graphicData>
            </a:graphic>
          </wp:anchor>
        </w:drawing>
      </w:r>
    </w:p>
    <w:p>
      <w:pPr>
        <w:spacing w:after="0" w:line="170" w:lineRule="exact"/>
        <w:rPr>
          <w:sz w:val="20"/>
          <w:szCs w:val="20"/>
          <w:color w:val="auto"/>
        </w:rPr>
      </w:pPr>
    </w:p>
    <w:p>
      <w:pPr>
        <w:ind w:right="60" w:firstLine="751"/>
        <w:spacing w:after="0" w:line="270" w:lineRule="auto"/>
        <w:rPr>
          <w:sz w:val="20"/>
          <w:szCs w:val="20"/>
          <w:color w:val="auto"/>
        </w:rPr>
      </w:pPr>
      <w:r>
        <w:rPr>
          <w:rFonts w:ascii="Arial" w:cs="Arial" w:eastAsia="Arial" w:hAnsi="Arial"/>
          <w:sz w:val="14"/>
          <w:szCs w:val="14"/>
          <w:color w:val="auto"/>
        </w:rPr>
        <w:t>The Company is not currently under examination at the federal or state levels and as of the date of the consolidated financial statements, there were no known assessments.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27" w:lineRule="exact"/>
        <w:rPr>
          <w:sz w:val="20"/>
          <w:szCs w:val="20"/>
          <w:color w:val="auto"/>
        </w:rPr>
      </w:pPr>
    </w:p>
    <w:p>
      <w:pPr>
        <w:ind w:right="20" w:firstLine="751"/>
        <w:spacing w:after="0"/>
        <w:rPr>
          <w:sz w:val="20"/>
          <w:szCs w:val="20"/>
          <w:color w:val="auto"/>
        </w:rPr>
      </w:pPr>
      <w:r>
        <w:rPr>
          <w:rFonts w:ascii="Arial" w:cs="Arial" w:eastAsia="Arial" w:hAnsi="Arial"/>
          <w:sz w:val="15"/>
          <w:szCs w:val="15"/>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3" w:name="page144"/>
    <w:bookmarkEnd w:id="143"/>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Related Party Transactions</w:t>
      </w:r>
    </w:p>
    <w:p>
      <w:pPr>
        <w:spacing w:after="0" w:line="178" w:lineRule="exact"/>
        <w:rPr>
          <w:sz w:val="20"/>
          <w:szCs w:val="20"/>
          <w:color w:val="auto"/>
        </w:rPr>
      </w:pPr>
    </w:p>
    <w:p>
      <w:pPr>
        <w:ind w:right="200" w:firstLine="751"/>
        <w:spacing w:after="0" w:line="270" w:lineRule="auto"/>
        <w:rPr>
          <w:sz w:val="20"/>
          <w:szCs w:val="20"/>
          <w:color w:val="auto"/>
        </w:rPr>
      </w:pPr>
      <w:r>
        <w:rPr>
          <w:rFonts w:ascii="Arial" w:cs="Arial" w:eastAsia="Arial" w:hAnsi="Arial"/>
          <w:sz w:val="14"/>
          <w:szCs w:val="14"/>
          <w:color w:val="auto"/>
        </w:rPr>
        <w:t>From the Company’s inception, Herriot Tabuteau, M.D. has been the Company’s founder, Chief Executive Officer, Chairman of the Company’s board of directors, and the beneficial owner of more than 5% of the outstanding shares of the Company’s common stock. In connection with the formation of the Company, in January 2012, the Company issued to Antecip Capital LLC, an entity controlled by Dr. Tabuteau, an aggregate of 7,344,500 shares of the Company’s common stock for nominal consideration.</w:t>
      </w:r>
    </w:p>
    <w:p>
      <w:pPr>
        <w:spacing w:after="0" w:line="138" w:lineRule="exact"/>
        <w:rPr>
          <w:sz w:val="20"/>
          <w:szCs w:val="20"/>
          <w:color w:val="auto"/>
        </w:rPr>
      </w:pPr>
    </w:p>
    <w:p>
      <w:pPr>
        <w:ind w:right="20" w:firstLine="751"/>
        <w:spacing w:after="0" w:line="255" w:lineRule="auto"/>
        <w:rPr>
          <w:sz w:val="20"/>
          <w:szCs w:val="20"/>
          <w:color w:val="auto"/>
        </w:rPr>
      </w:pPr>
      <w:r>
        <w:rPr>
          <w:rFonts w:ascii="Arial" w:cs="Arial" w:eastAsia="Arial" w:hAnsi="Arial"/>
          <w:sz w:val="15"/>
          <w:szCs w:val="15"/>
          <w:color w:val="auto"/>
        </w:rPr>
        <w:t>The Company is a party to three exclusive license agreements with Antecip Bioventures II LLC, an entity owned by Dr. Tabuteau. See Note 9 – License Agreements for further information regarding the license agreements.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40"/>
          </w:cols>
          <w:pgMar w:left="300" w:top="124" w:right="359" w:bottom="1440" w:gutter="0" w:footer="0" w:header="0"/>
        </w:sectPr>
      </w:pPr>
    </w:p>
    <w:bookmarkStart w:id="144" w:name="page145"/>
    <w:bookmarkEnd w:id="144"/>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 Subsequent Events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In January 2022, the Company entered into an agreement to extend the lease of 22 Cortlandt Street for a term of six months from August 1, 2022, through January 31, 2023.</w:t>
      </w:r>
    </w:p>
    <w:p>
      <w:pPr>
        <w:spacing w:after="0" w:line="197" w:lineRule="exact"/>
        <w:rPr>
          <w:sz w:val="20"/>
          <w:szCs w:val="20"/>
          <w:color w:val="auto"/>
        </w:rPr>
      </w:pPr>
    </w:p>
    <w:p>
      <w:pPr>
        <w:ind w:right="140" w:firstLine="751"/>
        <w:spacing w:after="0" w:line="241" w:lineRule="auto"/>
        <w:rPr>
          <w:sz w:val="20"/>
          <w:szCs w:val="20"/>
          <w:color w:val="auto"/>
        </w:rPr>
      </w:pPr>
      <w:r>
        <w:rPr>
          <w:rFonts w:ascii="Arial" w:cs="Arial" w:eastAsia="Arial" w:hAnsi="Arial"/>
          <w:sz w:val="15"/>
          <w:szCs w:val="15"/>
          <w:color w:val="auto"/>
        </w:rPr>
        <w:t>In February 2022, the Company received approximately $20.0 million in gross proceeds through the sale of 645,160 shares of which net proceeds were $19.4 million utilizing the December 2019 Sales Agreement.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20" w:type="dxa"/>
            <w:vAlign w:val="bottom"/>
            <w:gridSpan w:val="19"/>
          </w:tcPr>
          <w:p>
            <w:pPr>
              <w:jc w:val="center"/>
              <w:ind w:right="4360"/>
              <w:spacing w:after="0"/>
              <w:rPr>
                <w:sz w:val="20"/>
                <w:szCs w:val="20"/>
                <w:color w:val="auto"/>
              </w:rPr>
            </w:pPr>
            <w:r>
              <w:rPr>
                <w:rFonts w:ascii="Arial" w:cs="Arial" w:eastAsia="Arial" w:hAnsi="Arial"/>
                <w:sz w:val="15"/>
                <w:szCs w:val="15"/>
                <w:b w:val="1"/>
                <w:bCs w:val="1"/>
                <w:color w:val="auto"/>
              </w:rPr>
              <w:t>INDEX EXHIBITS</w:t>
            </w:r>
          </w:p>
        </w:tc>
      </w:tr>
      <w:tr>
        <w:trPr>
          <w:trHeight w:val="258"/>
        </w:trPr>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89"/>
              </w:rPr>
              <w:t>Exhibit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52"/>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80" w:type="dxa"/>
            <w:vAlign w:val="bottom"/>
            <w:tcBorders>
              <w:bottom w:val="single" w:sz="8" w:color="auto"/>
            </w:tcBorders>
            <w:gridSpan w:val="17"/>
          </w:tcPr>
          <w:p>
            <w:pPr>
              <w:ind w:left="340"/>
              <w:spacing w:after="0"/>
              <w:rPr>
                <w:sz w:val="20"/>
                <w:szCs w:val="20"/>
                <w:color w:val="auto"/>
              </w:rPr>
            </w:pPr>
            <w:r>
              <w:rPr>
                <w:rFonts w:ascii="Arial" w:cs="Arial" w:eastAsia="Arial" w:hAnsi="Arial"/>
                <w:sz w:val="12"/>
                <w:szCs w:val="12"/>
                <w:b w:val="1"/>
                <w:bCs w:val="1"/>
                <w:color w:val="auto"/>
              </w:rPr>
              <w:t>Description</w:t>
            </w:r>
          </w:p>
        </w:tc>
      </w:tr>
      <w:tr>
        <w:trPr>
          <w:trHeight w:val="226"/>
        </w:trPr>
        <w:tc>
          <w:tcPr>
            <w:tcW w:w="1140" w:type="dxa"/>
            <w:vAlign w:val="bottom"/>
          </w:tcPr>
          <w:p>
            <w:pPr>
              <w:jc w:val="center"/>
              <w:ind w:right="548"/>
              <w:spacing w:after="0"/>
              <w:rPr>
                <w:sz w:val="20"/>
                <w:szCs w:val="20"/>
                <w:color w:val="auto"/>
              </w:rPr>
            </w:pPr>
            <w:r>
              <w:rPr>
                <w:rFonts w:ascii="Arial" w:cs="Arial" w:eastAsia="Arial" w:hAnsi="Arial"/>
                <w:sz w:val="15"/>
                <w:szCs w:val="15"/>
                <w:color w:val="auto"/>
                <w:w w:val="95"/>
              </w:rPr>
              <w:t>3.1</w:t>
            </w:r>
          </w:p>
        </w:tc>
        <w:tc>
          <w:tcPr>
            <w:tcW w:w="40" w:type="dxa"/>
            <w:vAlign w:val="bottom"/>
          </w:tcPr>
          <w:p>
            <w:pPr>
              <w:spacing w:after="0"/>
              <w:rPr>
                <w:sz w:val="19"/>
                <w:szCs w:val="19"/>
                <w:color w:val="auto"/>
              </w:rPr>
            </w:pPr>
          </w:p>
        </w:tc>
        <w:tc>
          <w:tcPr>
            <w:tcW w:w="10100" w:type="dxa"/>
            <w:vAlign w:val="bottom"/>
            <w:gridSpan w:val="25"/>
          </w:tcPr>
          <w:p>
            <w:pPr>
              <w:spacing w:after="0"/>
              <w:rPr>
                <w:rFonts w:ascii="Arial" w:cs="Arial" w:eastAsia="Arial" w:hAnsi="Arial"/>
                <w:sz w:val="15"/>
                <w:szCs w:val="15"/>
                <w:color w:val="auto"/>
                <w:w w:val="96"/>
              </w:rPr>
            </w:pPr>
            <w:hyperlink r:id="rId405">
              <w:r>
                <w:rPr>
                  <w:rFonts w:ascii="Arial" w:cs="Arial" w:eastAsia="Arial" w:hAnsi="Arial"/>
                  <w:sz w:val="15"/>
                  <w:szCs w:val="15"/>
                  <w:color w:val="auto"/>
                  <w:w w:val="96"/>
                </w:rPr>
                <w:t>Amended and Restated Certificate of Incorporation of the Company (Incorporated by reference, Exhibit 3.1 to the Company’s Form 8-K (No. 001-37635) filed</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1260" w:type="dxa"/>
            <w:vAlign w:val="bottom"/>
            <w:tcBorders>
              <w:top w:val="single" w:sz="8" w:color="0000EE"/>
              <w:bottom w:val="single" w:sz="8" w:color="0000EE"/>
            </w:tcBorders>
            <w:gridSpan w:val="2"/>
          </w:tcPr>
          <w:p>
            <w:pPr>
              <w:spacing w:after="0" w:line="125" w:lineRule="exact"/>
              <w:rPr>
                <w:rFonts w:ascii="Arial" w:cs="Arial" w:eastAsia="Arial" w:hAnsi="Arial"/>
                <w:sz w:val="14"/>
                <w:szCs w:val="14"/>
                <w:color w:val="auto"/>
                <w:w w:val="94"/>
              </w:rPr>
            </w:pPr>
            <w:hyperlink r:id="rId405">
              <w:r>
                <w:rPr>
                  <w:rFonts w:ascii="Arial" w:cs="Arial" w:eastAsia="Arial" w:hAnsi="Arial"/>
                  <w:sz w:val="14"/>
                  <w:szCs w:val="14"/>
                  <w:color w:val="auto"/>
                  <w:w w:val="94"/>
                </w:rPr>
                <w:t>November 24, 2015).</w:t>
              </w:r>
            </w:hyperlink>
          </w:p>
        </w:tc>
        <w:tc>
          <w:tcPr>
            <w:tcW w:w="8240" w:type="dxa"/>
            <w:vAlign w:val="bottom"/>
            <w:tcBorders>
              <w:top w:val="single" w:sz="8" w:color="0000EE"/>
            </w:tcBorders>
            <w:gridSpan w:val="11"/>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1140" w:type="dxa"/>
            <w:vAlign w:val="bottom"/>
          </w:tcPr>
          <w:p>
            <w:pPr>
              <w:jc w:val="center"/>
              <w:ind w:right="548"/>
              <w:spacing w:after="0"/>
              <w:rPr>
                <w:sz w:val="20"/>
                <w:szCs w:val="20"/>
                <w:color w:val="auto"/>
              </w:rPr>
            </w:pPr>
            <w:r>
              <w:rPr>
                <w:rFonts w:ascii="Arial" w:cs="Arial" w:eastAsia="Arial" w:hAnsi="Arial"/>
                <w:sz w:val="15"/>
                <w:szCs w:val="15"/>
                <w:color w:val="auto"/>
                <w:w w:val="95"/>
              </w:rPr>
              <w:t>3.2</w:t>
            </w:r>
          </w:p>
        </w:tc>
        <w:tc>
          <w:tcPr>
            <w:tcW w:w="40" w:type="dxa"/>
            <w:vAlign w:val="bottom"/>
          </w:tcPr>
          <w:p>
            <w:pPr>
              <w:spacing w:after="0"/>
              <w:rPr>
                <w:sz w:val="20"/>
                <w:szCs w:val="20"/>
                <w:color w:val="auto"/>
              </w:rPr>
            </w:pPr>
          </w:p>
        </w:tc>
        <w:tc>
          <w:tcPr>
            <w:tcW w:w="9600" w:type="dxa"/>
            <w:vAlign w:val="bottom"/>
            <w:tcBorders>
              <w:bottom w:val="single" w:sz="8" w:color="0000EE"/>
            </w:tcBorders>
            <w:gridSpan w:val="15"/>
          </w:tcPr>
          <w:p>
            <w:pPr>
              <w:spacing w:after="0"/>
              <w:rPr>
                <w:rFonts w:ascii="Arial" w:cs="Arial" w:eastAsia="Arial" w:hAnsi="Arial"/>
                <w:sz w:val="15"/>
                <w:szCs w:val="15"/>
                <w:color w:val="auto"/>
                <w:w w:val="90"/>
              </w:rPr>
            </w:pPr>
            <w:hyperlink r:id="rId406">
              <w:r>
                <w:rPr>
                  <w:rFonts w:ascii="Arial" w:cs="Arial" w:eastAsia="Arial" w:hAnsi="Arial"/>
                  <w:sz w:val="15"/>
                  <w:szCs w:val="15"/>
                  <w:color w:val="auto"/>
                  <w:w w:val="90"/>
                </w:rPr>
                <w:t>Amended and Restated Bylaws of the Company (Incorporated by reference, Exhibit 3.2 to the Company’s Form 8-K (No. 001-37635) filed November 24, 2015).</w:t>
              </w:r>
            </w:hyperlink>
          </w:p>
        </w:tc>
        <w:tc>
          <w:tcPr>
            <w:tcW w:w="500" w:type="dxa"/>
            <w:vAlign w:val="bottom"/>
            <w:gridSpan w:val="10"/>
          </w:tcPr>
          <w:p>
            <w:pPr>
              <w:spacing w:after="0"/>
              <w:rPr>
                <w:sz w:val="20"/>
                <w:szCs w:val="20"/>
                <w:color w:val="auto"/>
              </w:rPr>
            </w:pPr>
          </w:p>
        </w:tc>
      </w:tr>
      <w:tr>
        <w:trPr>
          <w:trHeight w:val="237"/>
        </w:trPr>
        <w:tc>
          <w:tcPr>
            <w:tcW w:w="1140" w:type="dxa"/>
            <w:vAlign w:val="bottom"/>
          </w:tcPr>
          <w:p>
            <w:pPr>
              <w:jc w:val="center"/>
              <w:ind w:right="548"/>
              <w:spacing w:after="0"/>
              <w:rPr>
                <w:sz w:val="20"/>
                <w:szCs w:val="20"/>
                <w:color w:val="auto"/>
              </w:rPr>
            </w:pPr>
            <w:r>
              <w:rPr>
                <w:rFonts w:ascii="Arial" w:cs="Arial" w:eastAsia="Arial" w:hAnsi="Arial"/>
                <w:sz w:val="15"/>
                <w:szCs w:val="15"/>
                <w:color w:val="auto"/>
                <w:w w:val="95"/>
              </w:rPr>
              <w:t>4.1</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w w:val="94"/>
              </w:rPr>
            </w:pPr>
            <w:hyperlink r:id="rId407">
              <w:r>
                <w:rPr>
                  <w:rFonts w:ascii="Arial" w:cs="Arial" w:eastAsia="Arial" w:hAnsi="Arial"/>
                  <w:sz w:val="15"/>
                  <w:szCs w:val="15"/>
                  <w:color w:val="auto"/>
                  <w:w w:val="94"/>
                </w:rPr>
                <w:t>Specimen Certificate evidencing shares of Company’s common stock (Incorporated by reference, Exhibit 4.1 to Amendment No. 1 to the Company’s Registration</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3960" w:type="dxa"/>
            <w:vAlign w:val="bottom"/>
            <w:tcBorders>
              <w:top w:val="single" w:sz="8" w:color="0000EE"/>
              <w:bottom w:val="single" w:sz="8" w:color="0000EE"/>
            </w:tcBorders>
            <w:gridSpan w:val="6"/>
          </w:tcPr>
          <w:p>
            <w:pPr>
              <w:spacing w:after="0" w:line="125" w:lineRule="exact"/>
              <w:rPr>
                <w:rFonts w:ascii="Arial" w:cs="Arial" w:eastAsia="Arial" w:hAnsi="Arial"/>
                <w:sz w:val="14"/>
                <w:szCs w:val="14"/>
                <w:color w:val="auto"/>
                <w:w w:val="96"/>
              </w:rPr>
            </w:pPr>
            <w:hyperlink r:id="rId407">
              <w:r>
                <w:rPr>
                  <w:rFonts w:ascii="Arial" w:cs="Arial" w:eastAsia="Arial" w:hAnsi="Arial"/>
                  <w:sz w:val="14"/>
                  <w:szCs w:val="14"/>
                  <w:color w:val="auto"/>
                  <w:w w:val="96"/>
                </w:rPr>
                <w:t>Statement on Form S-1 (No. 333</w:t>
              </w:r>
              <w:r>
                <w:rPr>
                  <w:rFonts w:ascii="MS PGothic" w:cs="MS PGothic" w:eastAsia="MS PGothic" w:hAnsi="MS PGothic"/>
                  <w:sz w:val="14"/>
                  <w:szCs w:val="14"/>
                  <w:color w:val="auto"/>
                  <w:w w:val="96"/>
                </w:rPr>
                <w:t>‑</w:t>
              </w:r>
              <w:r>
                <w:rPr>
                  <w:rFonts w:ascii="Arial" w:cs="Arial" w:eastAsia="Arial" w:hAnsi="Arial"/>
                  <w:sz w:val="14"/>
                  <w:szCs w:val="14"/>
                  <w:color w:val="auto"/>
                  <w:w w:val="96"/>
                </w:rPr>
                <w:t>207393) filed October 30, 2015).</w:t>
              </w:r>
            </w:hyperlink>
          </w:p>
        </w:tc>
        <w:tc>
          <w:tcPr>
            <w:tcW w:w="5700" w:type="dxa"/>
            <w:vAlign w:val="bottom"/>
            <w:tcBorders>
              <w:top w:val="single" w:sz="8" w:color="0000EE"/>
            </w:tcBorders>
            <w:gridSpan w:val="9"/>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1140" w:type="dxa"/>
            <w:vAlign w:val="bottom"/>
          </w:tcPr>
          <w:p>
            <w:pPr>
              <w:jc w:val="center"/>
              <w:ind w:right="548"/>
              <w:spacing w:after="0"/>
              <w:rPr>
                <w:sz w:val="20"/>
                <w:szCs w:val="20"/>
                <w:color w:val="auto"/>
              </w:rPr>
            </w:pPr>
            <w:r>
              <w:rPr>
                <w:rFonts w:ascii="Arial" w:cs="Arial" w:eastAsia="Arial" w:hAnsi="Arial"/>
                <w:sz w:val="15"/>
                <w:szCs w:val="15"/>
                <w:color w:val="auto"/>
                <w:w w:val="95"/>
              </w:rPr>
              <w:t>4.2</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w w:val="92"/>
              </w:rPr>
            </w:pPr>
            <w:hyperlink r:id="rId408">
              <w:r>
                <w:rPr>
                  <w:rFonts w:ascii="Arial" w:cs="Arial" w:eastAsia="Arial" w:hAnsi="Arial"/>
                  <w:sz w:val="15"/>
                  <w:szCs w:val="15"/>
                  <w:color w:val="auto"/>
                  <w:w w:val="92"/>
                </w:rPr>
                <w:t>Form of warrant to purchase shares of Company’s common stock issued in 2013 (Incorporated by reference, Exhibit 4.2 to the Company’s Registration Statement on</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3160" w:type="dxa"/>
            <w:vAlign w:val="bottom"/>
            <w:tcBorders>
              <w:top w:val="single" w:sz="8" w:color="0000EE"/>
              <w:bottom w:val="single" w:sz="8" w:color="0000EE"/>
            </w:tcBorders>
            <w:gridSpan w:val="5"/>
          </w:tcPr>
          <w:p>
            <w:pPr>
              <w:spacing w:after="0" w:line="125" w:lineRule="exact"/>
              <w:rPr>
                <w:rFonts w:ascii="Arial" w:cs="Arial" w:eastAsia="Arial" w:hAnsi="Arial"/>
                <w:sz w:val="14"/>
                <w:szCs w:val="14"/>
                <w:color w:val="auto"/>
                <w:w w:val="97"/>
              </w:rPr>
            </w:pPr>
            <w:hyperlink r:id="rId408">
              <w:r>
                <w:rPr>
                  <w:rFonts w:ascii="Arial" w:cs="Arial" w:eastAsia="Arial" w:hAnsi="Arial"/>
                  <w:sz w:val="14"/>
                  <w:szCs w:val="14"/>
                  <w:color w:val="auto"/>
                  <w:w w:val="97"/>
                </w:rPr>
                <w:t>Form S-1 (No. 333-207393) filed October 13, 2015).</w:t>
              </w:r>
            </w:hyperlink>
          </w:p>
        </w:tc>
        <w:tc>
          <w:tcPr>
            <w:tcW w:w="6680" w:type="dxa"/>
            <w:vAlign w:val="bottom"/>
            <w:tcBorders>
              <w:top w:val="single" w:sz="8" w:color="0000EE"/>
            </w:tcBorders>
            <w:gridSpan w:val="13"/>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1140" w:type="dxa"/>
            <w:vAlign w:val="bottom"/>
          </w:tcPr>
          <w:p>
            <w:pPr>
              <w:jc w:val="center"/>
              <w:ind w:right="548"/>
              <w:spacing w:after="0"/>
              <w:rPr>
                <w:sz w:val="20"/>
                <w:szCs w:val="20"/>
                <w:color w:val="auto"/>
              </w:rPr>
            </w:pPr>
            <w:r>
              <w:rPr>
                <w:rFonts w:ascii="Arial" w:cs="Arial" w:eastAsia="Arial" w:hAnsi="Arial"/>
                <w:sz w:val="15"/>
                <w:szCs w:val="15"/>
                <w:color w:val="auto"/>
                <w:w w:val="95"/>
              </w:rPr>
              <w:t>4.3</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w w:val="92"/>
              </w:rPr>
            </w:pPr>
            <w:hyperlink r:id="rId409">
              <w:r>
                <w:rPr>
                  <w:rFonts w:ascii="Arial" w:cs="Arial" w:eastAsia="Arial" w:hAnsi="Arial"/>
                  <w:sz w:val="15"/>
                  <w:szCs w:val="15"/>
                  <w:color w:val="auto"/>
                  <w:w w:val="92"/>
                </w:rPr>
                <w:t>Form of warrant to purchase shares of Company’s common stock issued in 2014 (Incorporated by reference, Exhibit 4.3 to the Company’s Registration Statement on</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3140" w:type="dxa"/>
            <w:vAlign w:val="bottom"/>
            <w:tcBorders>
              <w:top w:val="single" w:sz="8" w:color="0000EE"/>
              <w:bottom w:val="single" w:sz="8" w:color="0000EE"/>
            </w:tcBorders>
            <w:gridSpan w:val="4"/>
          </w:tcPr>
          <w:p>
            <w:pPr>
              <w:spacing w:after="0" w:line="125" w:lineRule="exact"/>
              <w:rPr>
                <w:rFonts w:ascii="Arial" w:cs="Arial" w:eastAsia="Arial" w:hAnsi="Arial"/>
                <w:sz w:val="14"/>
                <w:szCs w:val="14"/>
                <w:color w:val="auto"/>
                <w:w w:val="96"/>
              </w:rPr>
            </w:pPr>
            <w:hyperlink r:id="rId409">
              <w:r>
                <w:rPr>
                  <w:rFonts w:ascii="Arial" w:cs="Arial" w:eastAsia="Arial" w:hAnsi="Arial"/>
                  <w:sz w:val="14"/>
                  <w:szCs w:val="14"/>
                  <w:color w:val="auto"/>
                  <w:w w:val="96"/>
                </w:rPr>
                <w:t>Form S-1 (No. 333-207393) filed October 13, 2015).</w:t>
              </w:r>
            </w:hyperlink>
          </w:p>
        </w:tc>
        <w:tc>
          <w:tcPr>
            <w:tcW w:w="6700" w:type="dxa"/>
            <w:vAlign w:val="bottom"/>
            <w:tcBorders>
              <w:top w:val="single" w:sz="8" w:color="0000EE"/>
            </w:tcBorders>
            <w:gridSpan w:val="14"/>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1140" w:type="dxa"/>
            <w:vAlign w:val="bottom"/>
          </w:tcPr>
          <w:p>
            <w:pPr>
              <w:jc w:val="center"/>
              <w:ind w:right="548"/>
              <w:spacing w:after="0"/>
              <w:rPr>
                <w:sz w:val="20"/>
                <w:szCs w:val="20"/>
                <w:color w:val="auto"/>
              </w:rPr>
            </w:pPr>
            <w:r>
              <w:rPr>
                <w:rFonts w:ascii="Arial" w:cs="Arial" w:eastAsia="Arial" w:hAnsi="Arial"/>
                <w:sz w:val="15"/>
                <w:szCs w:val="15"/>
                <w:color w:val="auto"/>
                <w:w w:val="95"/>
              </w:rPr>
              <w:t>4.4</w:t>
            </w:r>
          </w:p>
        </w:tc>
        <w:tc>
          <w:tcPr>
            <w:tcW w:w="40" w:type="dxa"/>
            <w:vAlign w:val="bottom"/>
          </w:tcPr>
          <w:p>
            <w:pPr>
              <w:spacing w:after="0"/>
              <w:rPr>
                <w:sz w:val="20"/>
                <w:szCs w:val="20"/>
                <w:color w:val="auto"/>
              </w:rPr>
            </w:pPr>
          </w:p>
        </w:tc>
        <w:tc>
          <w:tcPr>
            <w:tcW w:w="10100" w:type="dxa"/>
            <w:vAlign w:val="bottom"/>
            <w:gridSpan w:val="25"/>
          </w:tcPr>
          <w:p>
            <w:pPr>
              <w:spacing w:after="0" w:line="173" w:lineRule="exact"/>
              <w:rPr>
                <w:rFonts w:ascii="Arial" w:cs="Arial" w:eastAsia="Arial" w:hAnsi="Arial"/>
                <w:sz w:val="15"/>
                <w:szCs w:val="15"/>
                <w:color w:val="auto"/>
              </w:rPr>
            </w:pPr>
            <w:hyperlink r:id="rId410">
              <w:r>
                <w:rPr>
                  <w:rFonts w:ascii="Arial" w:cs="Arial" w:eastAsia="Arial" w:hAnsi="Arial"/>
                  <w:sz w:val="15"/>
                  <w:szCs w:val="15"/>
                  <w:color w:val="auto"/>
                </w:rPr>
                <w:t>Form of Warrant (Incorporated by reference, Exhibit 4.1 to the Company’s Current Report on Form 8</w:t>
              </w:r>
              <w:r>
                <w:rPr>
                  <w:rFonts w:ascii="MS PGothic" w:cs="MS PGothic" w:eastAsia="MS PGothic" w:hAnsi="MS PGothic"/>
                  <w:sz w:val="15"/>
                  <w:szCs w:val="15"/>
                  <w:color w:val="auto"/>
                </w:rPr>
                <w:t>‑</w:t>
              </w:r>
              <w:r>
                <w:rPr>
                  <w:rFonts w:ascii="Arial" w:cs="Arial" w:eastAsia="Arial" w:hAnsi="Arial"/>
                  <w:sz w:val="15"/>
                  <w:szCs w:val="15"/>
                  <w:color w:val="auto"/>
                </w:rPr>
                <w:t>K filed December 4, 2017).</w:t>
              </w:r>
            </w:hyperlink>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40" w:type="dxa"/>
            <w:vAlign w:val="bottom"/>
          </w:tcPr>
          <w:p>
            <w:pPr>
              <w:jc w:val="center"/>
              <w:ind w:right="548"/>
              <w:spacing w:after="0"/>
              <w:rPr>
                <w:sz w:val="20"/>
                <w:szCs w:val="20"/>
                <w:color w:val="auto"/>
              </w:rPr>
            </w:pPr>
            <w:r>
              <w:rPr>
                <w:rFonts w:ascii="Arial" w:cs="Arial" w:eastAsia="Arial" w:hAnsi="Arial"/>
                <w:sz w:val="15"/>
                <w:szCs w:val="15"/>
                <w:color w:val="auto"/>
                <w:w w:val="95"/>
              </w:rPr>
              <w:t>4.5</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w w:val="91"/>
              </w:rPr>
            </w:pPr>
            <w:hyperlink r:id="rId411">
              <w:r>
                <w:rPr>
                  <w:rFonts w:ascii="Arial" w:cs="Arial" w:eastAsia="Arial" w:hAnsi="Arial"/>
                  <w:sz w:val="15"/>
                  <w:szCs w:val="15"/>
                  <w:color w:val="auto"/>
                  <w:w w:val="91"/>
                </w:rPr>
                <w:t>Warrant Agreement, dated as of September 25, 2020, by and between Axsome Therapeutics, Inc. and Hercules Capital, Inc (Incorporated by reference, Exhibit 10.4 to</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EE"/>
            </w:tcBorders>
            <w:gridSpan w:val="20"/>
          </w:tcPr>
          <w:p>
            <w:pPr>
              <w:spacing w:after="0" w:line="125" w:lineRule="exact"/>
              <w:rPr>
                <w:rFonts w:ascii="Arial" w:cs="Arial" w:eastAsia="Arial" w:hAnsi="Arial"/>
                <w:sz w:val="14"/>
                <w:szCs w:val="14"/>
                <w:color w:val="auto"/>
              </w:rPr>
            </w:pPr>
            <w:hyperlink r:id="rId411">
              <w:r>
                <w:rPr>
                  <w:rFonts w:ascii="Arial" w:cs="Arial" w:eastAsia="Arial" w:hAnsi="Arial"/>
                  <w:sz w:val="14"/>
                  <w:szCs w:val="14"/>
                  <w:color w:val="auto"/>
                </w:rPr>
                <w:t>the Company’s Quarterly Report on Form 10-Q, filed November 5, 2020).</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40" w:type="dxa"/>
            <w:vAlign w:val="bottom"/>
          </w:tcPr>
          <w:p>
            <w:pPr>
              <w:jc w:val="center"/>
              <w:ind w:right="548"/>
              <w:spacing w:after="0"/>
              <w:rPr>
                <w:sz w:val="20"/>
                <w:szCs w:val="20"/>
                <w:color w:val="auto"/>
              </w:rPr>
            </w:pPr>
            <w:r>
              <w:rPr>
                <w:rFonts w:ascii="Arial" w:cs="Arial" w:eastAsia="Arial" w:hAnsi="Arial"/>
                <w:sz w:val="15"/>
                <w:szCs w:val="15"/>
                <w:color w:val="auto"/>
                <w:w w:val="95"/>
              </w:rPr>
              <w:t>4.6</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rPr>
            </w:pPr>
            <w:hyperlink r:id="rId412">
              <w:r>
                <w:rPr>
                  <w:rFonts w:ascii="Arial" w:cs="Arial" w:eastAsia="Arial" w:hAnsi="Arial"/>
                  <w:sz w:val="15"/>
                  <w:szCs w:val="15"/>
                  <w:color w:val="auto"/>
                </w:rPr>
                <w:t>Description of Securities (Incorporated by reference, Exhibit 4.13, to the Company’s Annual Report on Form 10-K, filed March 12, 2020).</w:t>
              </w:r>
            </w:hyperlink>
          </w:p>
        </w:tc>
      </w:tr>
      <w:tr>
        <w:trPr>
          <w:trHeight w:val="20"/>
        </w:trPr>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140" w:type="dxa"/>
            <w:vAlign w:val="bottom"/>
          </w:tcPr>
          <w:p>
            <w:pPr>
              <w:jc w:val="center"/>
              <w:ind w:right="528"/>
              <w:spacing w:after="0"/>
              <w:rPr>
                <w:sz w:val="20"/>
                <w:szCs w:val="20"/>
                <w:color w:val="auto"/>
              </w:rPr>
            </w:pPr>
            <w:r>
              <w:rPr>
                <w:rFonts w:ascii="Arial" w:cs="Arial" w:eastAsia="Arial" w:hAnsi="Arial"/>
                <w:sz w:val="15"/>
                <w:szCs w:val="15"/>
                <w:color w:val="auto"/>
                <w:w w:val="89"/>
              </w:rPr>
              <w:t>10.1+</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w w:val="91"/>
              </w:rPr>
            </w:pPr>
            <w:hyperlink r:id="rId413">
              <w:r>
                <w:rPr>
                  <w:rFonts w:ascii="Arial" w:cs="Arial" w:eastAsia="Arial" w:hAnsi="Arial"/>
                  <w:sz w:val="15"/>
                  <w:szCs w:val="15"/>
                  <w:color w:val="auto"/>
                  <w:w w:val="91"/>
                </w:rPr>
                <w:t>Axsome Therapeutics, Inc. 2013 Equity Compensation Plan and Form of Nonqualified Stock Option Agreement thereunder (Incorporated by reference, Exhibit 10.1 to</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5660" w:type="dxa"/>
            <w:vAlign w:val="bottom"/>
            <w:tcBorders>
              <w:top w:val="single" w:sz="8" w:color="0000EE"/>
              <w:bottom w:val="single" w:sz="8" w:color="0000EE"/>
            </w:tcBorders>
            <w:gridSpan w:val="8"/>
          </w:tcPr>
          <w:p>
            <w:pPr>
              <w:spacing w:after="0" w:line="125" w:lineRule="exact"/>
              <w:rPr>
                <w:rFonts w:ascii="Arial" w:cs="Arial" w:eastAsia="Arial" w:hAnsi="Arial"/>
                <w:sz w:val="14"/>
                <w:szCs w:val="14"/>
                <w:color w:val="auto"/>
                <w:w w:val="96"/>
              </w:rPr>
            </w:pPr>
            <w:hyperlink r:id="rId413">
              <w:r>
                <w:rPr>
                  <w:rFonts w:ascii="Arial" w:cs="Arial" w:eastAsia="Arial" w:hAnsi="Arial"/>
                  <w:sz w:val="14"/>
                  <w:szCs w:val="14"/>
                  <w:color w:val="auto"/>
                  <w:w w:val="96"/>
                </w:rPr>
                <w:t>the Company’s Registration Statement on Form S-1 (No. 333-207393) filed October 13, 2015).</w:t>
              </w:r>
            </w:hyperlink>
          </w:p>
        </w:tc>
        <w:tc>
          <w:tcPr>
            <w:tcW w:w="4320" w:type="dxa"/>
            <w:vAlign w:val="bottom"/>
            <w:tcBorders>
              <w:top w:val="single" w:sz="8" w:color="0000EE"/>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1140" w:type="dxa"/>
            <w:vAlign w:val="bottom"/>
          </w:tcPr>
          <w:p>
            <w:pPr>
              <w:jc w:val="center"/>
              <w:ind w:right="528"/>
              <w:spacing w:after="0"/>
              <w:rPr>
                <w:sz w:val="20"/>
                <w:szCs w:val="20"/>
                <w:color w:val="auto"/>
              </w:rPr>
            </w:pPr>
            <w:r>
              <w:rPr>
                <w:rFonts w:ascii="Arial" w:cs="Arial" w:eastAsia="Arial" w:hAnsi="Arial"/>
                <w:sz w:val="15"/>
                <w:szCs w:val="15"/>
                <w:color w:val="auto"/>
                <w:w w:val="89"/>
              </w:rPr>
              <w:t>10.2+</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w w:val="92"/>
              </w:rPr>
            </w:pPr>
            <w:hyperlink r:id="rId414">
              <w:r>
                <w:rPr>
                  <w:rFonts w:ascii="Arial" w:cs="Arial" w:eastAsia="Arial" w:hAnsi="Arial"/>
                  <w:sz w:val="15"/>
                  <w:szCs w:val="15"/>
                  <w:color w:val="auto"/>
                  <w:w w:val="92"/>
                </w:rPr>
                <w:t>Axsome Therapeutics, Inc. Amended and Restated 2015 Omnibus Incentive Compensation Plan (Incorporated by reference, Exhibit 10.2 to the Company’s Quarterly</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2700" w:type="dxa"/>
            <w:vAlign w:val="bottom"/>
            <w:tcBorders>
              <w:top w:val="single" w:sz="8" w:color="0000EE"/>
              <w:bottom w:val="single" w:sz="8" w:color="0000EE"/>
            </w:tcBorders>
            <w:gridSpan w:val="3"/>
          </w:tcPr>
          <w:p>
            <w:pPr>
              <w:spacing w:after="0" w:line="125" w:lineRule="exact"/>
              <w:rPr>
                <w:rFonts w:ascii="Arial" w:cs="Arial" w:eastAsia="Arial" w:hAnsi="Arial"/>
                <w:sz w:val="14"/>
                <w:szCs w:val="14"/>
                <w:color w:val="auto"/>
                <w:w w:val="96"/>
              </w:rPr>
            </w:pPr>
            <w:hyperlink r:id="rId414">
              <w:r>
                <w:rPr>
                  <w:rFonts w:ascii="Arial" w:cs="Arial" w:eastAsia="Arial" w:hAnsi="Arial"/>
                  <w:sz w:val="14"/>
                  <w:szCs w:val="14"/>
                  <w:color w:val="auto"/>
                  <w:w w:val="96"/>
                </w:rPr>
                <w:t>Report on Form 10-Q filed August 10, 2020).</w:t>
              </w:r>
            </w:hyperlink>
          </w:p>
        </w:tc>
        <w:tc>
          <w:tcPr>
            <w:tcW w:w="7180" w:type="dxa"/>
            <w:vAlign w:val="bottom"/>
            <w:tcBorders>
              <w:top w:val="single" w:sz="8" w:color="0000EE"/>
            </w:tcBorders>
            <w:gridSpan w:val="16"/>
          </w:tcPr>
          <w:p>
            <w:pPr>
              <w:spacing w:after="0"/>
              <w:rPr>
                <w:sz w:val="10"/>
                <w:szCs w:val="10"/>
                <w:color w:val="auto"/>
              </w:rPr>
            </w:pPr>
          </w:p>
        </w:tc>
        <w:tc>
          <w:tcPr>
            <w:tcW w:w="1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1140" w:type="dxa"/>
            <w:vAlign w:val="bottom"/>
          </w:tcPr>
          <w:p>
            <w:pPr>
              <w:jc w:val="center"/>
              <w:ind w:right="528"/>
              <w:spacing w:after="0"/>
              <w:rPr>
                <w:sz w:val="20"/>
                <w:szCs w:val="20"/>
                <w:color w:val="auto"/>
              </w:rPr>
            </w:pPr>
            <w:r>
              <w:rPr>
                <w:rFonts w:ascii="Arial" w:cs="Arial" w:eastAsia="Arial" w:hAnsi="Arial"/>
                <w:sz w:val="15"/>
                <w:szCs w:val="15"/>
                <w:color w:val="auto"/>
                <w:w w:val="89"/>
              </w:rPr>
              <w:t>10.3+</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w w:val="93"/>
              </w:rPr>
            </w:pPr>
            <w:hyperlink r:id="rId415">
              <w:r>
                <w:rPr>
                  <w:rFonts w:ascii="Arial" w:cs="Arial" w:eastAsia="Arial" w:hAnsi="Arial"/>
                  <w:sz w:val="15"/>
                  <w:szCs w:val="15"/>
                  <w:color w:val="auto"/>
                  <w:w w:val="93"/>
                </w:rPr>
                <w:t>Axsome Therapeutics, Inc. Form of Stock Option Agreement pursuant to the Amended and Restated 2015 Omnibus Incentive Compensation Plan (Incorporated by</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7340" w:type="dxa"/>
            <w:vAlign w:val="bottom"/>
            <w:tcBorders>
              <w:top w:val="single" w:sz="8" w:color="0000EE"/>
              <w:bottom w:val="single" w:sz="8" w:color="0000EE"/>
            </w:tcBorders>
            <w:gridSpan w:val="9"/>
          </w:tcPr>
          <w:p>
            <w:pPr>
              <w:spacing w:after="0" w:line="125" w:lineRule="exact"/>
              <w:rPr>
                <w:rFonts w:ascii="Arial" w:cs="Arial" w:eastAsia="Arial" w:hAnsi="Arial"/>
                <w:sz w:val="14"/>
                <w:szCs w:val="14"/>
                <w:color w:val="auto"/>
                <w:w w:val="96"/>
              </w:rPr>
            </w:pPr>
            <w:hyperlink r:id="rId415">
              <w:r>
                <w:rPr>
                  <w:rFonts w:ascii="Arial" w:cs="Arial" w:eastAsia="Arial" w:hAnsi="Arial"/>
                  <w:sz w:val="14"/>
                  <w:szCs w:val="14"/>
                  <w:color w:val="auto"/>
                  <w:w w:val="96"/>
                </w:rPr>
                <w:t>reference, Exhibit 99.2 to the Company’s Registration Statement on Form S-8 (No. 333-208579) filed December 16, 2015).</w:t>
              </w:r>
            </w:hyperlink>
          </w:p>
        </w:tc>
        <w:tc>
          <w:tcPr>
            <w:tcW w:w="2420" w:type="dxa"/>
            <w:vAlign w:val="bottom"/>
            <w:tcBorders>
              <w:top w:val="single" w:sz="8" w:color="0000EE"/>
            </w:tcBorders>
            <w:gridSpan w:val="8"/>
          </w:tcPr>
          <w:p>
            <w:pPr>
              <w:spacing w:after="0"/>
              <w:rPr>
                <w:sz w:val="10"/>
                <w:szCs w:val="10"/>
                <w:color w:val="auto"/>
              </w:rPr>
            </w:pPr>
          </w:p>
        </w:tc>
        <w:tc>
          <w:tcPr>
            <w:tcW w:w="2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1140" w:type="dxa"/>
            <w:vAlign w:val="bottom"/>
          </w:tcPr>
          <w:p>
            <w:pPr>
              <w:jc w:val="center"/>
              <w:ind w:right="528"/>
              <w:spacing w:after="0"/>
              <w:rPr>
                <w:sz w:val="20"/>
                <w:szCs w:val="20"/>
                <w:color w:val="auto"/>
              </w:rPr>
            </w:pPr>
            <w:r>
              <w:rPr>
                <w:rFonts w:ascii="Arial" w:cs="Arial" w:eastAsia="Arial" w:hAnsi="Arial"/>
                <w:sz w:val="15"/>
                <w:szCs w:val="15"/>
                <w:color w:val="auto"/>
                <w:w w:val="89"/>
              </w:rPr>
              <w:t>10.4+</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w w:val="91"/>
              </w:rPr>
            </w:pPr>
            <w:hyperlink r:id="rId416">
              <w:r>
                <w:rPr>
                  <w:rFonts w:ascii="Arial" w:cs="Arial" w:eastAsia="Arial" w:hAnsi="Arial"/>
                  <w:sz w:val="15"/>
                  <w:szCs w:val="15"/>
                  <w:color w:val="auto"/>
                  <w:w w:val="91"/>
                </w:rPr>
                <w:t>Axsome Therapeutics, Inc. Form of Restricted Stock Unit Agreement (Non-Executives) pursuant to the Amended and Restated 2015 Omnibus Incentive Compensation</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8640" w:type="dxa"/>
            <w:vAlign w:val="bottom"/>
            <w:tcBorders>
              <w:top w:val="single" w:sz="8" w:color="0000EE"/>
              <w:bottom w:val="single" w:sz="8" w:color="0000EE"/>
            </w:tcBorders>
            <w:gridSpan w:val="12"/>
          </w:tcPr>
          <w:p>
            <w:pPr>
              <w:spacing w:after="0" w:line="125" w:lineRule="exact"/>
              <w:rPr>
                <w:rFonts w:ascii="Arial" w:cs="Arial" w:eastAsia="Arial" w:hAnsi="Arial"/>
                <w:sz w:val="14"/>
                <w:szCs w:val="14"/>
                <w:color w:val="auto"/>
                <w:w w:val="96"/>
              </w:rPr>
            </w:pPr>
            <w:hyperlink r:id="rId416">
              <w:r>
                <w:rPr>
                  <w:rFonts w:ascii="Arial" w:cs="Arial" w:eastAsia="Arial" w:hAnsi="Arial"/>
                  <w:sz w:val="14"/>
                  <w:szCs w:val="14"/>
                  <w:color w:val="auto"/>
                  <w:w w:val="96"/>
                </w:rPr>
                <w:t>Plan (Incorporated by reference, Exhibit 99.3 to the Company’s Registration Statement on Form S-8 (File No. 333-238174), filed May 11, 2020).</w:t>
              </w:r>
            </w:hyperlink>
          </w:p>
        </w:tc>
        <w:tc>
          <w:tcPr>
            <w:tcW w:w="1380" w:type="dxa"/>
            <w:vAlign w:val="bottom"/>
            <w:tcBorders>
              <w:top w:val="single" w:sz="8" w:color="0000EE"/>
            </w:tcBorders>
            <w:gridSpan w:val="11"/>
          </w:tcPr>
          <w:p>
            <w:pPr>
              <w:spacing w:after="0"/>
              <w:rPr>
                <w:sz w:val="10"/>
                <w:szCs w:val="10"/>
                <w:color w:val="auto"/>
              </w:rPr>
            </w:pPr>
          </w:p>
        </w:tc>
        <w:tc>
          <w:tcPr>
            <w:tcW w:w="60" w:type="dxa"/>
            <w:vAlign w:val="bottom"/>
          </w:tcPr>
          <w:p>
            <w:pPr>
              <w:spacing w:after="0"/>
              <w:rPr>
                <w:sz w:val="10"/>
                <w:szCs w:val="10"/>
                <w:color w:val="auto"/>
              </w:rPr>
            </w:pPr>
          </w:p>
        </w:tc>
      </w:tr>
      <w:tr>
        <w:trPr>
          <w:trHeight w:val="237"/>
        </w:trPr>
        <w:tc>
          <w:tcPr>
            <w:tcW w:w="1140" w:type="dxa"/>
            <w:vAlign w:val="bottom"/>
          </w:tcPr>
          <w:p>
            <w:pPr>
              <w:jc w:val="center"/>
              <w:ind w:right="528"/>
              <w:spacing w:after="0"/>
              <w:rPr>
                <w:sz w:val="20"/>
                <w:szCs w:val="20"/>
                <w:color w:val="auto"/>
              </w:rPr>
            </w:pPr>
            <w:r>
              <w:rPr>
                <w:rFonts w:ascii="Arial" w:cs="Arial" w:eastAsia="Arial" w:hAnsi="Arial"/>
                <w:sz w:val="15"/>
                <w:szCs w:val="15"/>
                <w:color w:val="auto"/>
                <w:w w:val="89"/>
              </w:rPr>
              <w:t>10.5+</w:t>
            </w:r>
          </w:p>
        </w:tc>
        <w:tc>
          <w:tcPr>
            <w:tcW w:w="40" w:type="dxa"/>
            <w:vAlign w:val="bottom"/>
          </w:tcPr>
          <w:p>
            <w:pPr>
              <w:spacing w:after="0"/>
              <w:rPr>
                <w:sz w:val="20"/>
                <w:szCs w:val="20"/>
                <w:color w:val="auto"/>
              </w:rPr>
            </w:pPr>
          </w:p>
        </w:tc>
        <w:tc>
          <w:tcPr>
            <w:tcW w:w="10100" w:type="dxa"/>
            <w:vAlign w:val="bottom"/>
            <w:gridSpan w:val="25"/>
          </w:tcPr>
          <w:p>
            <w:pPr>
              <w:spacing w:after="0"/>
              <w:rPr>
                <w:rFonts w:ascii="Arial" w:cs="Arial" w:eastAsia="Arial" w:hAnsi="Arial"/>
                <w:sz w:val="15"/>
                <w:szCs w:val="15"/>
                <w:color w:val="auto"/>
                <w:w w:val="91"/>
              </w:rPr>
            </w:pPr>
            <w:hyperlink r:id="rId417">
              <w:r>
                <w:rPr>
                  <w:rFonts w:ascii="Arial" w:cs="Arial" w:eastAsia="Arial" w:hAnsi="Arial"/>
                  <w:sz w:val="15"/>
                  <w:szCs w:val="15"/>
                  <w:color w:val="auto"/>
                  <w:w w:val="91"/>
                </w:rPr>
                <w:t>Axsome Therapeutics, Inc. Form of Restricted Stock Unit Agreement (Executives and Non-Employee Directors) pursuant to the Amended and Restated 2015 Omnibus</w:t>
              </w:r>
            </w:hyperlink>
          </w:p>
        </w:tc>
      </w:tr>
      <w:tr>
        <w:trPr>
          <w:trHeight w:val="125"/>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EE"/>
            </w:tcBorders>
            <w:gridSpan w:val="22"/>
          </w:tcPr>
          <w:p>
            <w:pPr>
              <w:spacing w:after="0" w:line="125" w:lineRule="exact"/>
              <w:rPr>
                <w:rFonts w:ascii="Arial" w:cs="Arial" w:eastAsia="Arial" w:hAnsi="Arial"/>
                <w:sz w:val="14"/>
                <w:szCs w:val="14"/>
                <w:color w:val="auto"/>
                <w:w w:val="99"/>
              </w:rPr>
            </w:pPr>
            <w:hyperlink r:id="rId417">
              <w:r>
                <w:rPr>
                  <w:rFonts w:ascii="Arial" w:cs="Arial" w:eastAsia="Arial" w:hAnsi="Arial"/>
                  <w:sz w:val="14"/>
                  <w:szCs w:val="14"/>
                  <w:color w:val="auto"/>
                  <w:w w:val="99"/>
                </w:rPr>
                <w:t>Incentive Compensation Plan (Incorporated by reference, Exhibit 99.4 to the Company’s Registration Statement on Form S-8 (File No. 333-238174), filed May 11,</w:t>
              </w:r>
            </w:hyperlink>
          </w:p>
        </w:tc>
        <w:tc>
          <w:tcPr>
            <w:tcW w:w="80" w:type="dxa"/>
            <w:vAlign w:val="bottom"/>
            <w:gridSpan w:val="2"/>
          </w:tcPr>
          <w:p>
            <w:pPr>
              <w:spacing w:after="0"/>
              <w:rPr>
                <w:sz w:val="10"/>
                <w:szCs w:val="10"/>
                <w:color w:val="auto"/>
              </w:rPr>
            </w:pPr>
          </w:p>
        </w:tc>
      </w:tr>
      <w:tr>
        <w:trPr>
          <w:trHeight w:val="125"/>
        </w:trPr>
        <w:tc>
          <w:tcPr>
            <w:tcW w:w="11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1260" w:type="dxa"/>
            <w:vAlign w:val="bottom"/>
            <w:tcBorders>
              <w:top w:val="single" w:sz="8" w:color="0000EE"/>
            </w:tcBorders>
            <w:gridSpan w:val="2"/>
          </w:tcPr>
          <w:p>
            <w:pPr>
              <w:spacing w:after="0" w:line="125" w:lineRule="exact"/>
              <w:rPr>
                <w:rFonts w:ascii="Arial" w:cs="Arial" w:eastAsia="Arial" w:hAnsi="Arial"/>
                <w:sz w:val="14"/>
                <w:szCs w:val="14"/>
                <w:color w:val="auto"/>
              </w:rPr>
            </w:pPr>
            <w:hyperlink r:id="rId417">
              <w:r>
                <w:rPr>
                  <w:rFonts w:ascii="Arial" w:cs="Arial" w:eastAsia="Arial" w:hAnsi="Arial"/>
                  <w:sz w:val="14"/>
                  <w:szCs w:val="14"/>
                  <w:color w:val="auto"/>
                </w:rPr>
                <w:t>2020).</w:t>
              </w:r>
            </w:hyperlink>
          </w:p>
        </w:tc>
        <w:tc>
          <w:tcPr>
            <w:tcW w:w="144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800" w:type="dxa"/>
            <w:vAlign w:val="bottom"/>
            <w:tcBorders>
              <w:top w:val="single" w:sz="8" w:color="0000EE"/>
            </w:tcBorders>
          </w:tcPr>
          <w:p>
            <w:pPr>
              <w:spacing w:after="0"/>
              <w:rPr>
                <w:sz w:val="10"/>
                <w:szCs w:val="10"/>
                <w:color w:val="auto"/>
              </w:rPr>
            </w:pPr>
          </w:p>
        </w:tc>
        <w:tc>
          <w:tcPr>
            <w:tcW w:w="440" w:type="dxa"/>
            <w:vAlign w:val="bottom"/>
            <w:tcBorders>
              <w:top w:val="single" w:sz="8" w:color="0000EE"/>
            </w:tcBorders>
          </w:tcPr>
          <w:p>
            <w:pPr>
              <w:spacing w:after="0"/>
              <w:rPr>
                <w:sz w:val="10"/>
                <w:szCs w:val="10"/>
                <w:color w:val="auto"/>
              </w:rPr>
            </w:pPr>
          </w:p>
        </w:tc>
        <w:tc>
          <w:tcPr>
            <w:tcW w:w="1260" w:type="dxa"/>
            <w:vAlign w:val="bottom"/>
            <w:tcBorders>
              <w:top w:val="single" w:sz="8" w:color="0000EE"/>
            </w:tcBorders>
          </w:tcPr>
          <w:p>
            <w:pPr>
              <w:spacing w:after="0"/>
              <w:rPr>
                <w:sz w:val="10"/>
                <w:szCs w:val="10"/>
                <w:color w:val="auto"/>
              </w:rPr>
            </w:pPr>
          </w:p>
        </w:tc>
        <w:tc>
          <w:tcPr>
            <w:tcW w:w="1680" w:type="dxa"/>
            <w:vAlign w:val="bottom"/>
            <w:tcBorders>
              <w:top w:val="single" w:sz="8" w:color="0000EE"/>
            </w:tcBorders>
          </w:tcPr>
          <w:p>
            <w:pPr>
              <w:spacing w:after="0"/>
              <w:rPr>
                <w:sz w:val="10"/>
                <w:szCs w:val="10"/>
                <w:color w:val="auto"/>
              </w:rPr>
            </w:pPr>
          </w:p>
        </w:tc>
        <w:tc>
          <w:tcPr>
            <w:tcW w:w="360" w:type="dxa"/>
            <w:vAlign w:val="bottom"/>
            <w:tcBorders>
              <w:top w:val="single" w:sz="8" w:color="0000EE"/>
            </w:tcBorders>
          </w:tcPr>
          <w:p>
            <w:pPr>
              <w:spacing w:after="0"/>
              <w:rPr>
                <w:sz w:val="10"/>
                <w:szCs w:val="10"/>
                <w:color w:val="auto"/>
              </w:rPr>
            </w:pPr>
          </w:p>
        </w:tc>
        <w:tc>
          <w:tcPr>
            <w:tcW w:w="54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8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616"/>
        </w:trPr>
        <w:tc>
          <w:tcPr>
            <w:tcW w:w="11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300" w:type="dxa"/>
            <w:vAlign w:val="bottom"/>
            <w:gridSpan w:val="7"/>
          </w:tcPr>
          <w:p>
            <w:pPr>
              <w:jc w:val="right"/>
              <w:ind w:right="1040"/>
              <w:spacing w:after="0"/>
              <w:rPr>
                <w:sz w:val="20"/>
                <w:szCs w:val="20"/>
                <w:color w:val="auto"/>
              </w:rPr>
            </w:pPr>
            <w:r>
              <w:rPr>
                <w:rFonts w:ascii="Arial" w:cs="Arial" w:eastAsia="Arial" w:hAnsi="Arial"/>
                <w:sz w:val="15"/>
                <w:szCs w:val="15"/>
                <w:color w:val="auto"/>
              </w:rPr>
              <w:t>134</w:t>
            </w: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1"/>
        </w:trPr>
        <w:tc>
          <w:tcPr>
            <w:tcW w:w="1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38"/>
        </w:trPr>
        <w:tc>
          <w:tcPr>
            <w:tcW w:w="1180" w:type="dxa"/>
            <w:vAlign w:val="bottom"/>
            <w:gridSpan w:val="2"/>
          </w:tcPr>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860" w:type="dxa"/>
            <w:vAlign w:val="bottom"/>
            <w:tcBorders>
              <w:top w:val="single" w:sz="8" w:color="0000EE"/>
            </w:tcBorders>
          </w:tcPr>
          <w:p>
            <w:pPr>
              <w:ind w:left="100"/>
              <w:spacing w:after="0"/>
              <w:rPr>
                <w:sz w:val="20"/>
                <w:szCs w:val="20"/>
                <w:color w:val="auto"/>
              </w:rPr>
            </w:pPr>
            <w:r>
              <w:rPr>
                <w:rFonts w:ascii="Arial" w:cs="Arial" w:eastAsia="Arial" w:hAnsi="Arial"/>
                <w:sz w:val="15"/>
                <w:szCs w:val="15"/>
                <w:color w:val="auto"/>
              </w:rPr>
              <w:t>10.6++</w:t>
            </w:r>
          </w:p>
        </w:tc>
        <w:tc>
          <w:tcPr>
            <w:tcW w:w="320" w:type="dxa"/>
            <w:vAlign w:val="bottom"/>
          </w:tcPr>
          <w:p>
            <w:pPr>
              <w:spacing w:after="0"/>
              <w:rPr>
                <w:sz w:val="20"/>
                <w:szCs w:val="20"/>
                <w:color w:val="auto"/>
              </w:rPr>
            </w:pPr>
          </w:p>
        </w:tc>
        <w:tc>
          <w:tcPr>
            <w:tcW w:w="10120" w:type="dxa"/>
            <w:vAlign w:val="bottom"/>
            <w:gridSpan w:val="30"/>
          </w:tcPr>
          <w:p>
            <w:pPr>
              <w:spacing w:after="0"/>
              <w:rPr>
                <w:rFonts w:ascii="Arial" w:cs="Arial" w:eastAsia="Arial" w:hAnsi="Arial"/>
                <w:sz w:val="15"/>
                <w:szCs w:val="15"/>
                <w:color w:val="auto"/>
                <w:w w:val="90"/>
              </w:rPr>
            </w:pPr>
            <w:hyperlink r:id="rId420">
              <w:r>
                <w:rPr>
                  <w:rFonts w:ascii="Arial" w:cs="Arial" w:eastAsia="Arial" w:hAnsi="Arial"/>
                  <w:sz w:val="15"/>
                  <w:szCs w:val="15"/>
                  <w:color w:val="auto"/>
                  <w:w w:val="90"/>
                </w:rPr>
                <w:t>License Agreement, dated January 12, 2012, by and between the Company and Antecip Bioventures II LLC, as modified by the First Amendment to License Agreement,</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tcBorders>
              <w:top w:val="single" w:sz="8" w:color="0000EE"/>
              <w:bottom w:val="single" w:sz="8" w:color="0000EE"/>
            </w:tcBorders>
            <w:gridSpan w:val="28"/>
          </w:tcPr>
          <w:p>
            <w:pPr>
              <w:spacing w:after="0" w:line="125" w:lineRule="exact"/>
              <w:rPr>
                <w:rFonts w:ascii="Arial" w:cs="Arial" w:eastAsia="Arial" w:hAnsi="Arial"/>
                <w:sz w:val="14"/>
                <w:szCs w:val="14"/>
                <w:color w:val="auto"/>
                <w:w w:val="96"/>
              </w:rPr>
            </w:pPr>
            <w:hyperlink r:id="rId420">
              <w:r>
                <w:rPr>
                  <w:rFonts w:ascii="Arial" w:cs="Arial" w:eastAsia="Arial" w:hAnsi="Arial"/>
                  <w:sz w:val="14"/>
                  <w:szCs w:val="14"/>
                  <w:color w:val="auto"/>
                  <w:w w:val="96"/>
                </w:rPr>
                <w:t>dated August 21, 2015, by and between the Company and Antecip Bioventures II LLC (Incorporated by reference, Exhibit 10.2 to the Company’s Registration Statement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3320" w:type="dxa"/>
            <w:vAlign w:val="bottom"/>
            <w:tcBorders>
              <w:bottom w:val="single" w:sz="8" w:color="0000EE"/>
            </w:tcBorders>
            <w:gridSpan w:val="5"/>
          </w:tcPr>
          <w:p>
            <w:pPr>
              <w:spacing w:after="0" w:line="125" w:lineRule="exact"/>
              <w:rPr>
                <w:rFonts w:ascii="Arial" w:cs="Arial" w:eastAsia="Arial" w:hAnsi="Arial"/>
                <w:sz w:val="14"/>
                <w:szCs w:val="14"/>
                <w:color w:val="auto"/>
                <w:w w:val="96"/>
              </w:rPr>
            </w:pPr>
            <w:hyperlink r:id="rId420">
              <w:r>
                <w:rPr>
                  <w:rFonts w:ascii="Arial" w:cs="Arial" w:eastAsia="Arial" w:hAnsi="Arial"/>
                  <w:sz w:val="14"/>
                  <w:szCs w:val="14"/>
                  <w:color w:val="auto"/>
                  <w:w w:val="96"/>
                </w:rPr>
                <w:t>on Form S-1 (No. 333-207393) filed October 13, 2015).</w:t>
              </w:r>
            </w:hyperlink>
          </w:p>
        </w:tc>
        <w:tc>
          <w:tcPr>
            <w:tcW w:w="6760" w:type="dxa"/>
            <w:vAlign w:val="bottom"/>
            <w:gridSpan w:val="2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9"/>
        </w:trPr>
        <w:tc>
          <w:tcPr>
            <w:tcW w:w="860" w:type="dxa"/>
            <w:vAlign w:val="bottom"/>
          </w:tcPr>
          <w:p>
            <w:pPr>
              <w:ind w:left="100"/>
              <w:spacing w:after="0"/>
              <w:rPr>
                <w:sz w:val="20"/>
                <w:szCs w:val="20"/>
                <w:color w:val="auto"/>
              </w:rPr>
            </w:pPr>
            <w:r>
              <w:rPr>
                <w:rFonts w:ascii="Arial" w:cs="Arial" w:eastAsia="Arial" w:hAnsi="Arial"/>
                <w:sz w:val="15"/>
                <w:szCs w:val="15"/>
                <w:color w:val="auto"/>
              </w:rPr>
              <w:t>10.7++</w:t>
            </w:r>
          </w:p>
        </w:tc>
        <w:tc>
          <w:tcPr>
            <w:tcW w:w="320" w:type="dxa"/>
            <w:vAlign w:val="bottom"/>
          </w:tcPr>
          <w:p>
            <w:pPr>
              <w:spacing w:after="0"/>
              <w:rPr>
                <w:sz w:val="24"/>
                <w:szCs w:val="24"/>
                <w:color w:val="auto"/>
              </w:rPr>
            </w:pPr>
          </w:p>
        </w:tc>
        <w:tc>
          <w:tcPr>
            <w:tcW w:w="10120" w:type="dxa"/>
            <w:vAlign w:val="bottom"/>
            <w:gridSpan w:val="30"/>
          </w:tcPr>
          <w:p>
            <w:pPr>
              <w:spacing w:after="0"/>
              <w:rPr>
                <w:rFonts w:ascii="Arial" w:cs="Arial" w:eastAsia="Arial" w:hAnsi="Arial"/>
                <w:sz w:val="15"/>
                <w:szCs w:val="15"/>
                <w:color w:val="auto"/>
                <w:w w:val="92"/>
              </w:rPr>
            </w:pPr>
            <w:hyperlink r:id="rId421">
              <w:r>
                <w:rPr>
                  <w:rFonts w:ascii="Arial" w:cs="Arial" w:eastAsia="Arial" w:hAnsi="Arial"/>
                  <w:sz w:val="15"/>
                  <w:szCs w:val="15"/>
                  <w:color w:val="auto"/>
                  <w:w w:val="92"/>
                </w:rPr>
                <w:t>License Agreement, dated June 6, 2012, by and between the Company and Antecip Bioventures II LLC, as modified by the First Amendment to License Agreement,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0100" w:type="dxa"/>
            <w:vAlign w:val="bottom"/>
            <w:gridSpan w:val="29"/>
          </w:tcPr>
          <w:p>
            <w:pPr>
              <w:spacing w:after="0" w:line="125" w:lineRule="exact"/>
              <w:rPr>
                <w:rFonts w:ascii="Arial" w:cs="Arial" w:eastAsia="Arial" w:hAnsi="Arial"/>
                <w:sz w:val="14"/>
                <w:szCs w:val="14"/>
                <w:color w:val="auto"/>
                <w:w w:val="96"/>
              </w:rPr>
            </w:pPr>
            <w:hyperlink r:id="rId421">
              <w:r>
                <w:rPr>
                  <w:rFonts w:ascii="Arial" w:cs="Arial" w:eastAsia="Arial" w:hAnsi="Arial"/>
                  <w:sz w:val="14"/>
                  <w:szCs w:val="14"/>
                  <w:color w:val="auto"/>
                  <w:w w:val="96"/>
                </w:rPr>
                <w:t>dated August 21, 2015, by and between the Company and Antecip Bioventures II LLC (Incorporated by reference, Exhibit 10.4 to the Company’s Registration Statement</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3320" w:type="dxa"/>
            <w:vAlign w:val="bottom"/>
            <w:tcBorders>
              <w:top w:val="single" w:sz="8" w:color="0000EE"/>
              <w:bottom w:val="single" w:sz="8" w:color="0000EE"/>
            </w:tcBorders>
            <w:gridSpan w:val="5"/>
          </w:tcPr>
          <w:p>
            <w:pPr>
              <w:spacing w:after="0" w:line="125" w:lineRule="exact"/>
              <w:rPr>
                <w:rFonts w:ascii="Arial" w:cs="Arial" w:eastAsia="Arial" w:hAnsi="Arial"/>
                <w:sz w:val="14"/>
                <w:szCs w:val="14"/>
                <w:color w:val="auto"/>
                <w:w w:val="96"/>
              </w:rPr>
            </w:pPr>
            <w:hyperlink r:id="rId421">
              <w:r>
                <w:rPr>
                  <w:rFonts w:ascii="Arial" w:cs="Arial" w:eastAsia="Arial" w:hAnsi="Arial"/>
                  <w:sz w:val="14"/>
                  <w:szCs w:val="14"/>
                  <w:color w:val="auto"/>
                  <w:w w:val="96"/>
                </w:rPr>
                <w:t>on Form S-1 (No. 333-207393) filed October 13, 2015).</w:t>
              </w:r>
            </w:hyperlink>
          </w:p>
        </w:tc>
        <w:tc>
          <w:tcPr>
            <w:tcW w:w="6760" w:type="dxa"/>
            <w:vAlign w:val="bottom"/>
            <w:tcBorders>
              <w:top w:val="single" w:sz="8" w:color="0000EE"/>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10.8+</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2"/>
              </w:rPr>
            </w:pPr>
            <w:hyperlink r:id="rId422">
              <w:r>
                <w:rPr>
                  <w:rFonts w:ascii="Arial" w:cs="Arial" w:eastAsia="Arial" w:hAnsi="Arial"/>
                  <w:sz w:val="15"/>
                  <w:szCs w:val="15"/>
                  <w:color w:val="auto"/>
                  <w:w w:val="92"/>
                </w:rPr>
                <w:t>Consulting Agreement, dated April 13, 2012, by and between the Company and Mark Coleman, M.D., as modified by the First Amendment to Consulting Agreement,</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60" w:type="dxa"/>
            <w:vAlign w:val="bottom"/>
            <w:tcBorders>
              <w:top w:val="single" w:sz="8" w:color="0000EE"/>
              <w:bottom w:val="single" w:sz="8" w:color="0000EE"/>
            </w:tcBorders>
            <w:gridSpan w:val="22"/>
          </w:tcPr>
          <w:p>
            <w:pPr>
              <w:spacing w:after="0" w:line="125" w:lineRule="exact"/>
              <w:rPr>
                <w:rFonts w:ascii="Arial" w:cs="Arial" w:eastAsia="Arial" w:hAnsi="Arial"/>
                <w:sz w:val="14"/>
                <w:szCs w:val="14"/>
                <w:color w:val="auto"/>
                <w:w w:val="96"/>
              </w:rPr>
            </w:pPr>
            <w:hyperlink r:id="rId422">
              <w:r>
                <w:rPr>
                  <w:rFonts w:ascii="Arial" w:cs="Arial" w:eastAsia="Arial" w:hAnsi="Arial"/>
                  <w:sz w:val="14"/>
                  <w:szCs w:val="14"/>
                  <w:color w:val="auto"/>
                  <w:w w:val="96"/>
                </w:rPr>
                <w:t>dated June 2, 2014, by and between the Company and Mark Coleman, M.D (Incorporated by reference, Exhibit 10.5 to the Company’s Registration Statement on Form</w:t>
              </w:r>
            </w:hyperlink>
          </w:p>
        </w:tc>
        <w:tc>
          <w:tcPr>
            <w:tcW w:w="20" w:type="dxa"/>
            <w:vAlign w:val="bottom"/>
            <w:tcBorders>
              <w:bottom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2780" w:type="dxa"/>
            <w:vAlign w:val="bottom"/>
            <w:tcBorders>
              <w:bottom w:val="single" w:sz="8" w:color="0000EE"/>
            </w:tcBorders>
            <w:gridSpan w:val="4"/>
          </w:tcPr>
          <w:p>
            <w:pPr>
              <w:spacing w:after="0" w:line="125" w:lineRule="exact"/>
              <w:rPr>
                <w:rFonts w:ascii="Arial" w:cs="Arial" w:eastAsia="Arial" w:hAnsi="Arial"/>
                <w:sz w:val="14"/>
                <w:szCs w:val="14"/>
                <w:color w:val="auto"/>
                <w:w w:val="96"/>
              </w:rPr>
            </w:pPr>
            <w:hyperlink r:id="rId422">
              <w:r>
                <w:rPr>
                  <w:rFonts w:ascii="Arial" w:cs="Arial" w:eastAsia="Arial" w:hAnsi="Arial"/>
                  <w:sz w:val="14"/>
                  <w:szCs w:val="14"/>
                  <w:color w:val="auto"/>
                  <w:w w:val="96"/>
                </w:rPr>
                <w:t>S-1 (No. 333-207393) filed October 13, 2015).</w:t>
              </w:r>
            </w:hyperlink>
          </w:p>
        </w:tc>
        <w:tc>
          <w:tcPr>
            <w:tcW w:w="7200" w:type="dxa"/>
            <w:vAlign w:val="bottom"/>
            <w:gridSpan w:val="1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10.9</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89"/>
              </w:rPr>
            </w:pPr>
            <w:hyperlink r:id="rId423">
              <w:r>
                <w:rPr>
                  <w:rFonts w:ascii="Arial" w:cs="Arial" w:eastAsia="Arial" w:hAnsi="Arial"/>
                  <w:sz w:val="15"/>
                  <w:szCs w:val="15"/>
                  <w:color w:val="auto"/>
                  <w:w w:val="89"/>
                </w:rPr>
                <w:t>Form of Purchase Agreement, dated as of November 30, 2017 among Axsome Therapeutics, Inc. and the purchasers thereunder (Incorporated by reference, Exhibit 10.1</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4320" w:type="dxa"/>
            <w:vAlign w:val="bottom"/>
            <w:tcBorders>
              <w:top w:val="single" w:sz="8" w:color="0000EE"/>
              <w:bottom w:val="single" w:sz="8" w:color="0000EE"/>
            </w:tcBorders>
            <w:gridSpan w:val="9"/>
          </w:tcPr>
          <w:p>
            <w:pPr>
              <w:spacing w:after="0" w:line="125" w:lineRule="exact"/>
              <w:rPr>
                <w:rFonts w:ascii="Arial" w:cs="Arial" w:eastAsia="Arial" w:hAnsi="Arial"/>
                <w:sz w:val="14"/>
                <w:szCs w:val="14"/>
                <w:color w:val="auto"/>
                <w:w w:val="96"/>
              </w:rPr>
            </w:pPr>
            <w:hyperlink r:id="rId423">
              <w:r>
                <w:rPr>
                  <w:rFonts w:ascii="Arial" w:cs="Arial" w:eastAsia="Arial" w:hAnsi="Arial"/>
                  <w:sz w:val="14"/>
                  <w:szCs w:val="14"/>
                  <w:color w:val="auto"/>
                  <w:w w:val="96"/>
                </w:rPr>
                <w:t>to the Company’s Current Report on Form 8-K filed December 4, 2017).</w:t>
              </w:r>
            </w:hyperlink>
          </w:p>
        </w:tc>
        <w:tc>
          <w:tcPr>
            <w:tcW w:w="5740" w:type="dxa"/>
            <w:vAlign w:val="bottom"/>
            <w:tcBorders>
              <w:top w:val="single" w:sz="8" w:color="0000EE"/>
            </w:tcBorders>
            <w:gridSpan w:val="18"/>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10.10+</w:t>
            </w:r>
          </w:p>
        </w:tc>
        <w:tc>
          <w:tcPr>
            <w:tcW w:w="320" w:type="dxa"/>
            <w:vAlign w:val="bottom"/>
          </w:tcPr>
          <w:p>
            <w:pPr>
              <w:spacing w:after="0"/>
              <w:rPr>
                <w:sz w:val="22"/>
                <w:szCs w:val="22"/>
                <w:color w:val="auto"/>
              </w:rPr>
            </w:pPr>
          </w:p>
        </w:tc>
        <w:tc>
          <w:tcPr>
            <w:tcW w:w="9400" w:type="dxa"/>
            <w:vAlign w:val="bottom"/>
            <w:tcBorders>
              <w:bottom w:val="single" w:sz="8" w:color="0000EE"/>
            </w:tcBorders>
            <w:gridSpan w:val="15"/>
          </w:tcPr>
          <w:p>
            <w:pPr>
              <w:spacing w:after="0"/>
              <w:rPr>
                <w:rFonts w:ascii="Arial" w:cs="Arial" w:eastAsia="Arial" w:hAnsi="Arial"/>
                <w:sz w:val="15"/>
                <w:szCs w:val="15"/>
                <w:color w:val="auto"/>
                <w:w w:val="91"/>
              </w:rPr>
            </w:pPr>
            <w:hyperlink r:id="rId424">
              <w:r>
                <w:rPr>
                  <w:rFonts w:ascii="Arial" w:cs="Arial" w:eastAsia="Arial" w:hAnsi="Arial"/>
                  <w:sz w:val="15"/>
                  <w:szCs w:val="15"/>
                  <w:color w:val="auto"/>
                  <w:w w:val="91"/>
                </w:rPr>
                <w:t>Nick Pizzie Offer Letter, dated April 16, 2018 (Incorporated by reference, Exhibit 10.1 to the Company’s Quarterly Report on Form 10-Q filed May 8, 2018).</w:t>
              </w:r>
            </w:hyperlink>
          </w:p>
        </w:tc>
        <w:tc>
          <w:tcPr>
            <w:tcW w:w="72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10.11</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1"/>
              </w:rPr>
            </w:pPr>
            <w:hyperlink r:id="rId425">
              <w:r>
                <w:rPr>
                  <w:rFonts w:ascii="Arial" w:cs="Arial" w:eastAsia="Arial" w:hAnsi="Arial"/>
                  <w:sz w:val="15"/>
                  <w:szCs w:val="15"/>
                  <w:color w:val="auto"/>
                  <w:w w:val="91"/>
                </w:rPr>
                <w:t>Form of Purchase Agreement, dated as of September 27, 2018, by and among the Company and the investors party thereto (Incorporated by reference, Exhibit 10.1 to</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4300" w:type="dxa"/>
            <w:vAlign w:val="bottom"/>
            <w:tcBorders>
              <w:top w:val="single" w:sz="8" w:color="0000EE"/>
              <w:bottom w:val="single" w:sz="8" w:color="0000EE"/>
            </w:tcBorders>
            <w:gridSpan w:val="8"/>
          </w:tcPr>
          <w:p>
            <w:pPr>
              <w:spacing w:after="0" w:line="125" w:lineRule="exact"/>
              <w:rPr>
                <w:rFonts w:ascii="Arial" w:cs="Arial" w:eastAsia="Arial" w:hAnsi="Arial"/>
                <w:sz w:val="14"/>
                <w:szCs w:val="14"/>
                <w:color w:val="auto"/>
                <w:w w:val="96"/>
              </w:rPr>
            </w:pPr>
            <w:hyperlink r:id="rId425">
              <w:r>
                <w:rPr>
                  <w:rFonts w:ascii="Arial" w:cs="Arial" w:eastAsia="Arial" w:hAnsi="Arial"/>
                  <w:sz w:val="14"/>
                  <w:szCs w:val="14"/>
                  <w:color w:val="auto"/>
                  <w:w w:val="96"/>
                </w:rPr>
                <w:t>the Company’s Current Report on Form 8-K, filed September 28, 2018).</w:t>
              </w:r>
            </w:hyperlink>
          </w:p>
        </w:tc>
        <w:tc>
          <w:tcPr>
            <w:tcW w:w="5600" w:type="dxa"/>
            <w:vAlign w:val="bottom"/>
            <w:tcBorders>
              <w:top w:val="single" w:sz="8" w:color="0000EE"/>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10.12+++</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2"/>
              </w:rPr>
            </w:pPr>
            <w:hyperlink r:id="rId426">
              <w:r>
                <w:rPr>
                  <w:rFonts w:ascii="Arial" w:cs="Arial" w:eastAsia="Arial" w:hAnsi="Arial"/>
                  <w:sz w:val="15"/>
                  <w:szCs w:val="15"/>
                  <w:color w:val="auto"/>
                  <w:w w:val="92"/>
                </w:rPr>
                <w:t>License Agreement, dated as of January 10, 2020, by and between the Company and Pfizer Inc. (Incorporated by reference, Exhibit 10.15 to the Company’s Annual</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2660" w:type="dxa"/>
            <w:vAlign w:val="bottom"/>
            <w:tcBorders>
              <w:top w:val="single" w:sz="8" w:color="0000EE"/>
              <w:bottom w:val="single" w:sz="8" w:color="0000EE"/>
            </w:tcBorders>
            <w:gridSpan w:val="3"/>
          </w:tcPr>
          <w:p>
            <w:pPr>
              <w:spacing w:after="0" w:line="125" w:lineRule="exact"/>
              <w:rPr>
                <w:rFonts w:ascii="Arial" w:cs="Arial" w:eastAsia="Arial" w:hAnsi="Arial"/>
                <w:sz w:val="14"/>
                <w:szCs w:val="14"/>
                <w:color w:val="auto"/>
                <w:w w:val="97"/>
              </w:rPr>
            </w:pPr>
            <w:hyperlink r:id="rId426">
              <w:r>
                <w:rPr>
                  <w:rFonts w:ascii="Arial" w:cs="Arial" w:eastAsia="Arial" w:hAnsi="Arial"/>
                  <w:sz w:val="14"/>
                  <w:szCs w:val="14"/>
                  <w:color w:val="auto"/>
                  <w:w w:val="97"/>
                </w:rPr>
                <w:t>Report on Form 10-K, filed March 12 2020).</w:t>
              </w:r>
            </w:hyperlink>
          </w:p>
        </w:tc>
        <w:tc>
          <w:tcPr>
            <w:tcW w:w="7120" w:type="dxa"/>
            <w:vAlign w:val="bottom"/>
            <w:tcBorders>
              <w:top w:val="single" w:sz="8" w:color="0000EE"/>
            </w:tcBorders>
            <w:gridSpan w:val="1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10.13</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2"/>
              </w:rPr>
            </w:pPr>
            <w:hyperlink r:id="rId427">
              <w:r>
                <w:rPr>
                  <w:rFonts w:ascii="Arial" w:cs="Arial" w:eastAsia="Arial" w:hAnsi="Arial"/>
                  <w:sz w:val="15"/>
                  <w:szCs w:val="15"/>
                  <w:color w:val="auto"/>
                  <w:w w:val="92"/>
                </w:rPr>
                <w:t>Share Transfer Agreement by and between the Company and Pfizer Inc. (Incorporated by reference, Exhibit 10.1 to the Company’s Current Report on Form 8-K, filed</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1100" w:type="dxa"/>
            <w:vAlign w:val="bottom"/>
            <w:tcBorders>
              <w:top w:val="single" w:sz="8" w:color="0000EE"/>
              <w:bottom w:val="single" w:sz="8" w:color="0000EE"/>
            </w:tcBorders>
          </w:tcPr>
          <w:p>
            <w:pPr>
              <w:spacing w:after="0" w:line="125" w:lineRule="exact"/>
              <w:rPr>
                <w:rFonts w:ascii="Arial" w:cs="Arial" w:eastAsia="Arial" w:hAnsi="Arial"/>
                <w:sz w:val="14"/>
                <w:szCs w:val="14"/>
                <w:color w:val="auto"/>
                <w:w w:val="92"/>
              </w:rPr>
            </w:pPr>
            <w:hyperlink r:id="rId427">
              <w:r>
                <w:rPr>
                  <w:rFonts w:ascii="Arial" w:cs="Arial" w:eastAsia="Arial" w:hAnsi="Arial"/>
                  <w:sz w:val="14"/>
                  <w:szCs w:val="14"/>
                  <w:color w:val="auto"/>
                  <w:w w:val="92"/>
                </w:rPr>
                <w:t>January 13, 2020).</w:t>
              </w:r>
            </w:hyperlink>
          </w:p>
        </w:tc>
        <w:tc>
          <w:tcPr>
            <w:tcW w:w="8820" w:type="dxa"/>
            <w:vAlign w:val="bottom"/>
            <w:tcBorders>
              <w:top w:val="single" w:sz="8" w:color="0000EE"/>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10.14</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2"/>
              </w:rPr>
            </w:pPr>
            <w:hyperlink r:id="rId428">
              <w:r>
                <w:rPr>
                  <w:rFonts w:ascii="Arial" w:cs="Arial" w:eastAsia="Arial" w:hAnsi="Arial"/>
                  <w:sz w:val="15"/>
                  <w:szCs w:val="15"/>
                  <w:color w:val="auto"/>
                  <w:w w:val="92"/>
                </w:rPr>
                <w:t>WeWork Membership Agreement effective as of August 1, 2020, by and between the Company and 22 Cortlandt Street HBQ LLC (Incorporated by reference, Exhibit</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EE"/>
            </w:tcBorders>
            <w:gridSpan w:val="21"/>
          </w:tcPr>
          <w:p>
            <w:pPr>
              <w:spacing w:after="0" w:line="125" w:lineRule="exact"/>
              <w:rPr>
                <w:rFonts w:ascii="Arial" w:cs="Arial" w:eastAsia="Arial" w:hAnsi="Arial"/>
                <w:sz w:val="14"/>
                <w:szCs w:val="14"/>
                <w:color w:val="auto"/>
              </w:rPr>
            </w:pPr>
            <w:hyperlink r:id="rId428">
              <w:r>
                <w:rPr>
                  <w:rFonts w:ascii="Arial" w:cs="Arial" w:eastAsia="Arial" w:hAnsi="Arial"/>
                  <w:sz w:val="14"/>
                  <w:szCs w:val="14"/>
                  <w:color w:val="auto"/>
                </w:rPr>
                <w:t>10.1 to the Company’s Quarterly Report on Form 10-Q, filed August 10, 2020).</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10.15+++</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2"/>
              </w:rPr>
            </w:pPr>
            <w:hyperlink r:id="rId429">
              <w:r>
                <w:rPr>
                  <w:rFonts w:ascii="Arial" w:cs="Arial" w:eastAsia="Arial" w:hAnsi="Arial"/>
                  <w:sz w:val="15"/>
                  <w:szCs w:val="15"/>
                  <w:color w:val="auto"/>
                  <w:w w:val="92"/>
                </w:rPr>
                <w:t>Agreement, dated as of September 3, 2020, by and between Axsome Therapeutics, Inc. and David Marek (Incorporated by reference, Exhibit 10.2 to the Company’s</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Borders>
              <w:bottom w:val="single" w:sz="8" w:color="0000EE"/>
            </w:tcBorders>
          </w:tcPr>
          <w:p>
            <w:pPr>
              <w:spacing w:after="0"/>
              <w:rPr>
                <w:sz w:val="10"/>
                <w:szCs w:val="10"/>
                <w:color w:val="auto"/>
              </w:rPr>
            </w:pPr>
          </w:p>
        </w:tc>
        <w:tc>
          <w:tcPr>
            <w:tcW w:w="4240" w:type="dxa"/>
            <w:vAlign w:val="bottom"/>
            <w:tcBorders>
              <w:top w:val="single" w:sz="8" w:color="0000EE"/>
              <w:bottom w:val="single" w:sz="8" w:color="0000EE"/>
            </w:tcBorders>
            <w:gridSpan w:val="7"/>
          </w:tcPr>
          <w:p>
            <w:pPr>
              <w:spacing w:after="0" w:line="125" w:lineRule="exact"/>
              <w:rPr>
                <w:rFonts w:ascii="Arial" w:cs="Arial" w:eastAsia="Arial" w:hAnsi="Arial"/>
                <w:sz w:val="14"/>
                <w:szCs w:val="14"/>
                <w:color w:val="auto"/>
                <w:w w:val="97"/>
              </w:rPr>
            </w:pPr>
            <w:hyperlink r:id="rId429">
              <w:r>
                <w:rPr>
                  <w:rFonts w:ascii="Arial" w:cs="Arial" w:eastAsia="Arial" w:hAnsi="Arial"/>
                  <w:sz w:val="14"/>
                  <w:szCs w:val="14"/>
                  <w:color w:val="auto"/>
                  <w:w w:val="97"/>
                </w:rPr>
                <w:t>Amended Quarterly Report on Form 10-Q/A, filed November 6, 2020).</w:t>
              </w:r>
            </w:hyperlink>
          </w:p>
        </w:tc>
        <w:tc>
          <w:tcPr>
            <w:tcW w:w="5600" w:type="dxa"/>
            <w:vAlign w:val="bottom"/>
            <w:tcBorders>
              <w:top w:val="single" w:sz="8" w:color="0000EE"/>
            </w:tcBorders>
            <w:gridSpan w:val="10"/>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10.16</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0"/>
              </w:rPr>
            </w:pPr>
            <w:hyperlink r:id="rId430">
              <w:r>
                <w:rPr>
                  <w:rFonts w:ascii="Arial" w:cs="Arial" w:eastAsia="Arial" w:hAnsi="Arial"/>
                  <w:sz w:val="15"/>
                  <w:szCs w:val="15"/>
                  <w:color w:val="auto"/>
                  <w:w w:val="90"/>
                </w:rPr>
                <w:t>Loan and Security Agreement, dated as of September 25, 2020, by and among Axsome Therapeutics, Inc., the Lenders who from time to time may be party thereto, and</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tcBorders>
              <w:top w:val="single" w:sz="8" w:color="0000EE"/>
            </w:tcBorders>
            <w:gridSpan w:val="26"/>
          </w:tcPr>
          <w:p>
            <w:pPr>
              <w:spacing w:after="0" w:line="125" w:lineRule="exact"/>
              <w:rPr>
                <w:rFonts w:ascii="Arial" w:cs="Arial" w:eastAsia="Arial" w:hAnsi="Arial"/>
                <w:sz w:val="14"/>
                <w:szCs w:val="14"/>
                <w:color w:val="auto"/>
                <w:w w:val="98"/>
              </w:rPr>
            </w:pPr>
            <w:hyperlink r:id="rId430">
              <w:r>
                <w:rPr>
                  <w:rFonts w:ascii="Arial" w:cs="Arial" w:eastAsia="Arial" w:hAnsi="Arial"/>
                  <w:sz w:val="14"/>
                  <w:szCs w:val="14"/>
                  <w:color w:val="auto"/>
                  <w:w w:val="98"/>
                </w:rPr>
                <w:t>Hercules Capital, Inc., in its capacity as administrative agent and collateral agent for itself and the Lenders (Incorporated by reference, Exhibit 10.3 to the Company’s</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80" w:type="dxa"/>
            <w:vAlign w:val="bottom"/>
            <w:tcBorders>
              <w:top w:val="single" w:sz="8" w:color="0000EE"/>
            </w:tcBorders>
            <w:gridSpan w:val="18"/>
          </w:tcPr>
          <w:p>
            <w:pPr>
              <w:spacing w:after="0" w:line="125" w:lineRule="exact"/>
              <w:rPr>
                <w:rFonts w:ascii="Arial" w:cs="Arial" w:eastAsia="Arial" w:hAnsi="Arial"/>
                <w:sz w:val="14"/>
                <w:szCs w:val="14"/>
                <w:color w:val="auto"/>
              </w:rPr>
            </w:pPr>
            <w:hyperlink r:id="rId430">
              <w:r>
                <w:rPr>
                  <w:rFonts w:ascii="Arial" w:cs="Arial" w:eastAsia="Arial" w:hAnsi="Arial"/>
                  <w:sz w:val="14"/>
                  <w:szCs w:val="14"/>
                  <w:color w:val="auto"/>
                </w:rPr>
                <w:t>Quarterly Report on Form 10-Q, filed November 5, 2020).</w:t>
              </w:r>
            </w:hyperlink>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10.17</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1"/>
              </w:rPr>
            </w:pPr>
            <w:hyperlink r:id="rId431">
              <w:r>
                <w:rPr>
                  <w:rFonts w:ascii="Arial" w:cs="Arial" w:eastAsia="Arial" w:hAnsi="Arial"/>
                  <w:sz w:val="15"/>
                  <w:szCs w:val="15"/>
                  <w:color w:val="auto"/>
                  <w:w w:val="91"/>
                </w:rPr>
                <w:t>First Amendment to Loan and Security Agreement, dated as of October 14, 2021, by and among Axsome Therapeutics, Inc., the Lenders who from time to time may be</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20" w:type="dxa"/>
            <w:vAlign w:val="bottom"/>
            <w:tcBorders>
              <w:top w:val="single" w:sz="8" w:color="0000EE"/>
            </w:tcBorders>
            <w:gridSpan w:val="25"/>
          </w:tcPr>
          <w:p>
            <w:pPr>
              <w:spacing w:after="0" w:line="125" w:lineRule="exact"/>
              <w:rPr>
                <w:rFonts w:ascii="Arial" w:cs="Arial" w:eastAsia="Arial" w:hAnsi="Arial"/>
                <w:sz w:val="14"/>
                <w:szCs w:val="14"/>
                <w:color w:val="auto"/>
                <w:w w:val="96"/>
              </w:rPr>
            </w:pPr>
            <w:hyperlink r:id="rId431">
              <w:r>
                <w:rPr>
                  <w:rFonts w:ascii="Arial" w:cs="Arial" w:eastAsia="Arial" w:hAnsi="Arial"/>
                  <w:sz w:val="14"/>
                  <w:szCs w:val="14"/>
                  <w:color w:val="auto"/>
                  <w:w w:val="96"/>
                </w:rPr>
                <w:t>party thereto, and Hercules Capital, Inc., in its capacity as administrative agent and collateral agent for itself and the Lenders (Incorporated by reference, Exhibit 10.1, to</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tcBorders>
              <w:top w:val="single" w:sz="8" w:color="0000EE"/>
              <w:bottom w:val="single" w:sz="8" w:color="0000EE"/>
            </w:tcBorders>
            <w:gridSpan w:val="10"/>
          </w:tcPr>
          <w:p>
            <w:pPr>
              <w:spacing w:after="0" w:line="125" w:lineRule="exact"/>
              <w:rPr>
                <w:rFonts w:ascii="Arial" w:cs="Arial" w:eastAsia="Arial" w:hAnsi="Arial"/>
                <w:sz w:val="14"/>
                <w:szCs w:val="14"/>
                <w:color w:val="auto"/>
                <w:w w:val="97"/>
              </w:rPr>
            </w:pPr>
            <w:hyperlink r:id="rId431">
              <w:r>
                <w:rPr>
                  <w:rFonts w:ascii="Arial" w:cs="Arial" w:eastAsia="Arial" w:hAnsi="Arial"/>
                  <w:sz w:val="14"/>
                  <w:szCs w:val="14"/>
                  <w:color w:val="auto"/>
                  <w:w w:val="97"/>
                </w:rPr>
                <w:t>the Company’s Quarterly Report on Form 10-Q, filed on November 8, 2021).</w:t>
              </w:r>
            </w:hyperlink>
          </w:p>
        </w:tc>
        <w:tc>
          <w:tcPr>
            <w:tcW w:w="5460" w:type="dxa"/>
            <w:vAlign w:val="bottom"/>
            <w:tcBorders>
              <w:top w:val="single" w:sz="8" w:color="0000EE"/>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10.18</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5"/>
              </w:rPr>
            </w:pPr>
            <w:hyperlink r:id="rId432">
              <w:r>
                <w:rPr>
                  <w:rFonts w:ascii="Arial" w:cs="Arial" w:eastAsia="Arial" w:hAnsi="Arial"/>
                  <w:sz w:val="15"/>
                  <w:szCs w:val="15"/>
                  <w:color w:val="auto"/>
                  <w:w w:val="95"/>
                </w:rPr>
                <w:t>Direct Agreement, by and among Axsome Therapeutics, Inc., Antecip Bioventures II LLC, and Hercules Capital Inc., as collateral agent for itself and the Lenders</w:t>
              </w:r>
            </w:hyperlink>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80" w:type="dxa"/>
            <w:vAlign w:val="bottom"/>
            <w:tcBorders>
              <w:top w:val="single" w:sz="8" w:color="0000EE"/>
            </w:tcBorders>
            <w:gridSpan w:val="15"/>
          </w:tcPr>
          <w:p>
            <w:pPr>
              <w:spacing w:after="0" w:line="125" w:lineRule="exact"/>
              <w:rPr>
                <w:rFonts w:ascii="Arial" w:cs="Arial" w:eastAsia="Arial" w:hAnsi="Arial"/>
                <w:sz w:val="14"/>
                <w:szCs w:val="14"/>
                <w:color w:val="auto"/>
              </w:rPr>
            </w:pPr>
            <w:hyperlink r:id="rId432">
              <w:r>
                <w:rPr>
                  <w:rFonts w:ascii="Arial" w:cs="Arial" w:eastAsia="Arial" w:hAnsi="Arial"/>
                  <w:sz w:val="14"/>
                  <w:szCs w:val="14"/>
                  <w:color w:val="auto"/>
                </w:rPr>
                <w:t>(Incorporated by reference, Exhibit 10.5 to the Company’s Quarterly Report on Form 10-Q, filed November 5, 2020).</w:t>
              </w:r>
            </w:hyperlink>
          </w:p>
        </w:tc>
        <w:tc>
          <w:tcPr>
            <w:tcW w:w="320" w:type="dxa"/>
            <w:vAlign w:val="bottom"/>
            <w:gridSpan w:val="9"/>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5100" w:type="dxa"/>
            <w:vAlign w:val="bottom"/>
            <w:gridSpan w:val="10"/>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21.1</w:t>
            </w:r>
          </w:p>
        </w:tc>
        <w:tc>
          <w:tcPr>
            <w:tcW w:w="320" w:type="dxa"/>
            <w:vAlign w:val="bottom"/>
          </w:tcPr>
          <w:p>
            <w:pPr>
              <w:spacing w:after="0"/>
              <w:rPr>
                <w:sz w:val="22"/>
                <w:szCs w:val="22"/>
                <w:color w:val="auto"/>
              </w:rPr>
            </w:pPr>
          </w:p>
        </w:tc>
        <w:tc>
          <w:tcPr>
            <w:tcW w:w="10020" w:type="dxa"/>
            <w:vAlign w:val="bottom"/>
            <w:tcBorders>
              <w:bottom w:val="single" w:sz="8" w:color="0000EE"/>
            </w:tcBorders>
            <w:gridSpan w:val="25"/>
          </w:tcPr>
          <w:p>
            <w:pPr>
              <w:spacing w:after="0"/>
              <w:rPr>
                <w:rFonts w:ascii="Arial" w:cs="Arial" w:eastAsia="Arial" w:hAnsi="Arial"/>
                <w:sz w:val="15"/>
                <w:szCs w:val="15"/>
                <w:color w:val="auto"/>
                <w:w w:val="90"/>
              </w:rPr>
            </w:pPr>
            <w:hyperlink r:id="rId433">
              <w:r>
                <w:rPr>
                  <w:rFonts w:ascii="Arial" w:cs="Arial" w:eastAsia="Arial" w:hAnsi="Arial"/>
                  <w:sz w:val="15"/>
                  <w:szCs w:val="15"/>
                  <w:color w:val="auto"/>
                  <w:w w:val="90"/>
                </w:rPr>
                <w:t>Subsidiaries of the Company (Incorporated by reference, Exhibit 21.1 to the Company’s Registration Statement on Form S-1 (No. 333-207393) filed October 13, 2015).</w:t>
              </w:r>
            </w:hyperlink>
          </w:p>
        </w:tc>
        <w:tc>
          <w:tcPr>
            <w:tcW w:w="10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23.1**</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rPr>
            </w:pPr>
            <w:hyperlink w:anchor="page150">
              <w:r>
                <w:rPr>
                  <w:rFonts w:ascii="Arial" w:cs="Arial" w:eastAsia="Arial" w:hAnsi="Arial"/>
                  <w:sz w:val="15"/>
                  <w:szCs w:val="15"/>
                  <w:color w:val="auto"/>
                </w:rPr>
                <w:t>Consent of Ernst &amp; Young LLP.</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7260" w:type="dxa"/>
            <w:vAlign w:val="bottom"/>
            <w:gridSpan w:val="11"/>
          </w:tcPr>
          <w:p>
            <w:pPr>
              <w:spacing w:after="0" w:line="20" w:lineRule="exact"/>
              <w:rPr>
                <w:sz w:val="1"/>
                <w:szCs w:val="1"/>
                <w:color w:val="auto"/>
              </w:rPr>
            </w:pPr>
          </w:p>
        </w:tc>
        <w:tc>
          <w:tcPr>
            <w:tcW w:w="9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60" w:type="dxa"/>
            <w:vAlign w:val="bottom"/>
          </w:tcPr>
          <w:p>
            <w:pPr>
              <w:ind w:left="100"/>
              <w:spacing w:after="0"/>
              <w:rPr>
                <w:sz w:val="20"/>
                <w:szCs w:val="20"/>
                <w:color w:val="auto"/>
              </w:rPr>
            </w:pPr>
            <w:r>
              <w:rPr>
                <w:rFonts w:ascii="Arial" w:cs="Arial" w:eastAsia="Arial" w:hAnsi="Arial"/>
                <w:sz w:val="15"/>
                <w:szCs w:val="15"/>
                <w:color w:val="auto"/>
              </w:rPr>
              <w:t>31.1**</w:t>
            </w:r>
          </w:p>
        </w:tc>
        <w:tc>
          <w:tcPr>
            <w:tcW w:w="320" w:type="dxa"/>
            <w:vAlign w:val="bottom"/>
          </w:tcPr>
          <w:p>
            <w:pPr>
              <w:spacing w:after="0"/>
              <w:rPr>
                <w:sz w:val="22"/>
                <w:szCs w:val="22"/>
                <w:color w:val="auto"/>
              </w:rPr>
            </w:pPr>
          </w:p>
        </w:tc>
        <w:tc>
          <w:tcPr>
            <w:tcW w:w="10120" w:type="dxa"/>
            <w:vAlign w:val="bottom"/>
            <w:gridSpan w:val="30"/>
          </w:tcPr>
          <w:p>
            <w:pPr>
              <w:spacing w:after="0"/>
              <w:rPr>
                <w:rFonts w:ascii="Arial" w:cs="Arial" w:eastAsia="Arial" w:hAnsi="Arial"/>
                <w:sz w:val="15"/>
                <w:szCs w:val="15"/>
                <w:color w:val="auto"/>
                <w:w w:val="99"/>
              </w:rPr>
            </w:pPr>
            <w:hyperlink w:anchor="page151">
              <w:r>
                <w:rPr>
                  <w:rFonts w:ascii="Arial" w:cs="Arial" w:eastAsia="Arial" w:hAnsi="Arial"/>
                  <w:sz w:val="15"/>
                  <w:szCs w:val="15"/>
                  <w:color w:val="auto"/>
                  <w:w w:val="99"/>
                </w:rPr>
                <w:t>Certification of Principal Executive Officer pursuant to Rule 13a-14(a)/15d-14(a), as adopted pursuant to Section 302 of the Sarbanes-Oxley Act of 2002.</w:t>
              </w:r>
            </w:hyperlink>
          </w:p>
        </w:tc>
        <w:tc>
          <w:tcPr>
            <w:tcW w:w="0" w:type="dxa"/>
            <w:vAlign w:val="bottom"/>
          </w:tcPr>
          <w:p>
            <w:pPr>
              <w:spacing w:after="0"/>
              <w:rPr>
                <w:sz w:val="1"/>
                <w:szCs w:val="1"/>
                <w:color w:val="auto"/>
              </w:rPr>
            </w:pPr>
          </w:p>
        </w:tc>
      </w:tr>
      <w:tr>
        <w:trPr>
          <w:trHeight w:val="638"/>
        </w:trPr>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top w:val="single" w:sz="8" w:color="0000EE"/>
            </w:tcBorders>
            <w:gridSpan w:val="10"/>
          </w:tcPr>
          <w:p>
            <w:pPr>
              <w:jc w:val="right"/>
              <w:ind w:right="60"/>
              <w:spacing w:after="0"/>
              <w:rPr>
                <w:sz w:val="20"/>
                <w:szCs w:val="20"/>
                <w:color w:val="auto"/>
              </w:rPr>
            </w:pPr>
            <w:r>
              <w:rPr>
                <w:rFonts w:ascii="Arial" w:cs="Arial" w:eastAsia="Arial" w:hAnsi="Arial"/>
                <w:sz w:val="15"/>
                <w:szCs w:val="15"/>
                <w:color w:val="auto"/>
              </w:rPr>
              <w:t>135</w:t>
            </w:r>
          </w:p>
        </w:tc>
        <w:tc>
          <w:tcPr>
            <w:tcW w:w="100" w:type="dxa"/>
            <w:vAlign w:val="bottom"/>
            <w:tcBorders>
              <w:top w:val="single" w:sz="8" w:color="0000EE"/>
            </w:tcBorders>
          </w:tcPr>
          <w:p>
            <w:pPr>
              <w:spacing w:after="0"/>
              <w:rPr>
                <w:sz w:val="24"/>
                <w:szCs w:val="24"/>
                <w:color w:val="auto"/>
              </w:rPr>
            </w:pPr>
          </w:p>
        </w:tc>
        <w:tc>
          <w:tcPr>
            <w:tcW w:w="226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6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13" w:right="3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38"/>
        </w:trPr>
        <w:tc>
          <w:tcPr>
            <w:tcW w:w="1180" w:type="dxa"/>
            <w:vAlign w:val="bottom"/>
            <w:gridSpan w:val="2"/>
          </w:tcPr>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tc>
        <w:tc>
          <w:tcPr>
            <w:tcW w:w="9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37"/>
        </w:trPr>
        <w:tc>
          <w:tcPr>
            <w:tcW w:w="860" w:type="dxa"/>
            <w:vAlign w:val="bottom"/>
            <w:tcBorders>
              <w:top w:val="single" w:sz="8" w:color="0000EE"/>
            </w:tcBorders>
          </w:tcPr>
          <w:p>
            <w:pPr>
              <w:jc w:val="center"/>
              <w:ind w:right="187"/>
              <w:spacing w:after="0"/>
              <w:rPr>
                <w:sz w:val="20"/>
                <w:szCs w:val="20"/>
                <w:color w:val="auto"/>
              </w:rPr>
            </w:pPr>
            <w:r>
              <w:rPr>
                <w:rFonts w:ascii="Arial" w:cs="Arial" w:eastAsia="Arial" w:hAnsi="Arial"/>
                <w:sz w:val="15"/>
                <w:szCs w:val="15"/>
                <w:color w:val="auto"/>
                <w:w w:val="97"/>
              </w:rPr>
              <w:t>31.2**</w:t>
            </w:r>
          </w:p>
        </w:tc>
        <w:tc>
          <w:tcPr>
            <w:tcW w:w="320" w:type="dxa"/>
            <w:vAlign w:val="bottom"/>
          </w:tcPr>
          <w:p>
            <w:pPr>
              <w:spacing w:after="0"/>
              <w:rPr>
                <w:sz w:val="20"/>
                <w:szCs w:val="20"/>
                <w:color w:val="auto"/>
              </w:rPr>
            </w:pPr>
          </w:p>
        </w:tc>
        <w:tc>
          <w:tcPr>
            <w:tcW w:w="9120" w:type="dxa"/>
            <w:vAlign w:val="bottom"/>
            <w:tcBorders>
              <w:bottom w:val="single" w:sz="8" w:color="0000EE"/>
            </w:tcBorders>
          </w:tcPr>
          <w:p>
            <w:pPr>
              <w:spacing w:after="0"/>
              <w:rPr>
                <w:rFonts w:ascii="Arial" w:cs="Arial" w:eastAsia="Arial" w:hAnsi="Arial"/>
                <w:sz w:val="15"/>
                <w:szCs w:val="15"/>
                <w:color w:val="auto"/>
                <w:w w:val="90"/>
              </w:rPr>
            </w:pPr>
            <w:hyperlink w:anchor="page152">
              <w:r>
                <w:rPr>
                  <w:rFonts w:ascii="Arial" w:cs="Arial" w:eastAsia="Arial" w:hAnsi="Arial"/>
                  <w:sz w:val="15"/>
                  <w:szCs w:val="15"/>
                  <w:color w:val="auto"/>
                  <w:w w:val="90"/>
                </w:rPr>
                <w:t>Certification of Principal Financial Officer pursuant to Rule 13a-14(a)/15d-14(a), as adopted pursuant to Section 302 of the Sarbanes-Oxley Act of 2002.</w:t>
              </w:r>
            </w:hyperlink>
          </w:p>
        </w:tc>
        <w:tc>
          <w:tcPr>
            <w:tcW w:w="760" w:type="dxa"/>
            <w:vAlign w:val="bottom"/>
            <w:gridSpan w:val="2"/>
          </w:tcPr>
          <w:p>
            <w:pPr>
              <w:spacing w:after="0"/>
              <w:rPr>
                <w:sz w:val="20"/>
                <w:szCs w:val="20"/>
                <w:color w:val="auto"/>
              </w:rPr>
            </w:pPr>
          </w:p>
        </w:tc>
      </w:tr>
      <w:tr>
        <w:trPr>
          <w:trHeight w:val="259"/>
        </w:trPr>
        <w:tc>
          <w:tcPr>
            <w:tcW w:w="860" w:type="dxa"/>
            <w:vAlign w:val="bottom"/>
          </w:tcPr>
          <w:p>
            <w:pPr>
              <w:jc w:val="center"/>
              <w:ind w:right="187"/>
              <w:spacing w:after="0"/>
              <w:rPr>
                <w:sz w:val="20"/>
                <w:szCs w:val="20"/>
                <w:color w:val="auto"/>
              </w:rPr>
            </w:pPr>
            <w:r>
              <w:rPr>
                <w:rFonts w:ascii="Arial" w:cs="Arial" w:eastAsia="Arial" w:hAnsi="Arial"/>
                <w:sz w:val="15"/>
                <w:szCs w:val="15"/>
                <w:color w:val="auto"/>
                <w:w w:val="97"/>
              </w:rPr>
              <w:t>32.1**</w:t>
            </w:r>
          </w:p>
        </w:tc>
        <w:tc>
          <w:tcPr>
            <w:tcW w:w="320" w:type="dxa"/>
            <w:vAlign w:val="bottom"/>
          </w:tcPr>
          <w:p>
            <w:pPr>
              <w:spacing w:after="0"/>
              <w:rPr>
                <w:sz w:val="22"/>
                <w:szCs w:val="22"/>
                <w:color w:val="auto"/>
              </w:rPr>
            </w:pPr>
          </w:p>
        </w:tc>
        <w:tc>
          <w:tcPr>
            <w:tcW w:w="9880" w:type="dxa"/>
            <w:vAlign w:val="bottom"/>
            <w:tcBorders>
              <w:bottom w:val="single" w:sz="8" w:color="0000EE"/>
            </w:tcBorders>
            <w:gridSpan w:val="3"/>
          </w:tcPr>
          <w:p>
            <w:pPr>
              <w:spacing w:after="0"/>
              <w:rPr>
                <w:rFonts w:ascii="Arial" w:cs="Arial" w:eastAsia="Arial" w:hAnsi="Arial"/>
                <w:sz w:val="15"/>
                <w:szCs w:val="15"/>
                <w:color w:val="auto"/>
                <w:w w:val="90"/>
              </w:rPr>
            </w:pPr>
            <w:hyperlink w:anchor="page154">
              <w:r>
                <w:rPr>
                  <w:rFonts w:ascii="Arial" w:cs="Arial" w:eastAsia="Arial" w:hAnsi="Arial"/>
                  <w:sz w:val="15"/>
                  <w:szCs w:val="15"/>
                  <w:color w:val="auto"/>
                  <w:w w:val="90"/>
                </w:rPr>
                <w:t>Certification of Principal Executive Officer pursuant to 18 U.S.C. §1350, as adopted pursuant to Section 906 of the Sarbanes-Oxley Act of 2002 (furnished herewith).</w:t>
              </w:r>
            </w:hyperlink>
          </w:p>
        </w:tc>
      </w:tr>
      <w:tr>
        <w:trPr>
          <w:trHeight w:val="259"/>
        </w:trPr>
        <w:tc>
          <w:tcPr>
            <w:tcW w:w="860" w:type="dxa"/>
            <w:vAlign w:val="bottom"/>
          </w:tcPr>
          <w:p>
            <w:pPr>
              <w:jc w:val="center"/>
              <w:ind w:right="187"/>
              <w:spacing w:after="0"/>
              <w:rPr>
                <w:sz w:val="20"/>
                <w:szCs w:val="20"/>
                <w:color w:val="auto"/>
              </w:rPr>
            </w:pPr>
            <w:r>
              <w:rPr>
                <w:rFonts w:ascii="Arial" w:cs="Arial" w:eastAsia="Arial" w:hAnsi="Arial"/>
                <w:sz w:val="15"/>
                <w:szCs w:val="15"/>
                <w:color w:val="auto"/>
                <w:w w:val="97"/>
              </w:rPr>
              <w:t>32.2**</w:t>
            </w:r>
          </w:p>
        </w:tc>
        <w:tc>
          <w:tcPr>
            <w:tcW w:w="320" w:type="dxa"/>
            <w:vAlign w:val="bottom"/>
          </w:tcPr>
          <w:p>
            <w:pPr>
              <w:spacing w:after="0"/>
              <w:rPr>
                <w:sz w:val="22"/>
                <w:szCs w:val="22"/>
                <w:color w:val="auto"/>
              </w:rPr>
            </w:pPr>
          </w:p>
        </w:tc>
        <w:tc>
          <w:tcPr>
            <w:tcW w:w="9880" w:type="dxa"/>
            <w:vAlign w:val="bottom"/>
            <w:gridSpan w:val="3"/>
          </w:tcPr>
          <w:p>
            <w:pPr>
              <w:spacing w:after="0"/>
              <w:rPr>
                <w:rFonts w:ascii="Arial" w:cs="Arial" w:eastAsia="Arial" w:hAnsi="Arial"/>
                <w:sz w:val="15"/>
                <w:szCs w:val="15"/>
                <w:color w:val="auto"/>
                <w:w w:val="90"/>
              </w:rPr>
            </w:pPr>
            <w:hyperlink w:anchor="page155">
              <w:r>
                <w:rPr>
                  <w:rFonts w:ascii="Arial" w:cs="Arial" w:eastAsia="Arial" w:hAnsi="Arial"/>
                  <w:sz w:val="15"/>
                  <w:szCs w:val="15"/>
                  <w:color w:val="auto"/>
                  <w:w w:val="90"/>
                </w:rPr>
                <w:t>Certification of Principal Financial Officer pursuant to 18 U.S.C. §1350, as adopted pursuant to Section 906 of the Sarbanes-Oxley Act of 2002 (furnished herewith).</w:t>
              </w:r>
            </w:hyperlink>
          </w:p>
        </w:tc>
      </w:tr>
      <w:tr>
        <w:trPr>
          <w:trHeight w:val="249"/>
        </w:trPr>
        <w:tc>
          <w:tcPr>
            <w:tcW w:w="1180" w:type="dxa"/>
            <w:vAlign w:val="bottom"/>
            <w:gridSpan w:val="2"/>
          </w:tcPr>
          <w:p>
            <w:pPr>
              <w:ind w:left="20"/>
              <w:spacing w:after="0"/>
              <w:rPr>
                <w:sz w:val="20"/>
                <w:szCs w:val="20"/>
                <w:color w:val="auto"/>
              </w:rPr>
            </w:pPr>
            <w:r>
              <w:rPr>
                <w:rFonts w:ascii="Arial" w:cs="Arial" w:eastAsia="Arial" w:hAnsi="Arial"/>
                <w:sz w:val="15"/>
                <w:szCs w:val="15"/>
                <w:color w:val="auto"/>
              </w:rPr>
              <w:t>101.INS</w:t>
            </w:r>
          </w:p>
        </w:tc>
        <w:tc>
          <w:tcPr>
            <w:tcW w:w="9840" w:type="dxa"/>
            <w:vAlign w:val="bottom"/>
            <w:tcBorders>
              <w:top w:val="single" w:sz="8" w:color="0000EE"/>
            </w:tcBorders>
            <w:gridSpan w:val="2"/>
          </w:tcPr>
          <w:p>
            <w:pPr>
              <w:spacing w:after="0"/>
              <w:rPr>
                <w:sz w:val="20"/>
                <w:szCs w:val="20"/>
                <w:color w:val="auto"/>
              </w:rPr>
            </w:pPr>
            <w:r>
              <w:rPr>
                <w:rFonts w:ascii="Arial" w:cs="Arial" w:eastAsia="Arial" w:hAnsi="Arial"/>
                <w:sz w:val="15"/>
                <w:szCs w:val="15"/>
                <w:color w:val="auto"/>
                <w:w w:val="91"/>
              </w:rPr>
              <w:t>Inline XBRL Instance Document (the instance document does not appear in the Interactive Data File because its XBRL tags are embedded within the Inline XBRL</w:t>
            </w:r>
          </w:p>
        </w:tc>
        <w:tc>
          <w:tcPr>
            <w:tcW w:w="40" w:type="dxa"/>
            <w:vAlign w:val="bottom"/>
          </w:tcPr>
          <w:p>
            <w:pPr>
              <w:spacing w:after="0"/>
              <w:rPr>
                <w:sz w:val="21"/>
                <w:szCs w:val="21"/>
                <w:color w:val="auto"/>
              </w:rPr>
            </w:pPr>
          </w:p>
        </w:tc>
      </w:tr>
      <w:tr>
        <w:trPr>
          <w:trHeight w:val="189"/>
        </w:trPr>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80" w:type="dxa"/>
            <w:vAlign w:val="bottom"/>
            <w:gridSpan w:val="3"/>
          </w:tcPr>
          <w:p>
            <w:pPr>
              <w:spacing w:after="0"/>
              <w:rPr>
                <w:sz w:val="20"/>
                <w:szCs w:val="20"/>
                <w:color w:val="auto"/>
              </w:rPr>
            </w:pPr>
            <w:r>
              <w:rPr>
                <w:rFonts w:ascii="Arial" w:cs="Arial" w:eastAsia="Arial" w:hAnsi="Arial"/>
                <w:sz w:val="15"/>
                <w:szCs w:val="15"/>
                <w:color w:val="auto"/>
              </w:rPr>
              <w:t>document)</w:t>
            </w:r>
          </w:p>
        </w:tc>
      </w:tr>
      <w:tr>
        <w:trPr>
          <w:trHeight w:val="335"/>
        </w:trPr>
        <w:tc>
          <w:tcPr>
            <w:tcW w:w="1180" w:type="dxa"/>
            <w:vAlign w:val="bottom"/>
            <w:gridSpan w:val="2"/>
          </w:tcPr>
          <w:p>
            <w:pPr>
              <w:jc w:val="center"/>
              <w:ind w:right="580"/>
              <w:spacing w:after="0"/>
              <w:rPr>
                <w:sz w:val="20"/>
                <w:szCs w:val="20"/>
                <w:color w:val="auto"/>
              </w:rPr>
            </w:pPr>
            <w:r>
              <w:rPr>
                <w:rFonts w:ascii="Arial" w:cs="Arial" w:eastAsia="Arial" w:hAnsi="Arial"/>
                <w:sz w:val="15"/>
                <w:szCs w:val="15"/>
                <w:color w:val="auto"/>
                <w:w w:val="91"/>
              </w:rPr>
              <w:t>101.SCH</w:t>
            </w:r>
          </w:p>
        </w:tc>
        <w:tc>
          <w:tcPr>
            <w:tcW w:w="9880" w:type="dxa"/>
            <w:vAlign w:val="bottom"/>
            <w:gridSpan w:val="3"/>
          </w:tcPr>
          <w:p>
            <w:pPr>
              <w:spacing w:after="0"/>
              <w:rPr>
                <w:sz w:val="20"/>
                <w:szCs w:val="20"/>
                <w:color w:val="auto"/>
              </w:rPr>
            </w:pPr>
            <w:r>
              <w:rPr>
                <w:rFonts w:ascii="Arial" w:cs="Arial" w:eastAsia="Arial" w:hAnsi="Arial"/>
                <w:sz w:val="15"/>
                <w:szCs w:val="15"/>
                <w:color w:val="auto"/>
              </w:rPr>
              <w:t>Inline XBRL Taxonomy Extension Schema Document</w:t>
            </w:r>
          </w:p>
        </w:tc>
      </w:tr>
      <w:tr>
        <w:trPr>
          <w:trHeight w:val="335"/>
        </w:trPr>
        <w:tc>
          <w:tcPr>
            <w:tcW w:w="1180" w:type="dxa"/>
            <w:vAlign w:val="bottom"/>
            <w:gridSpan w:val="2"/>
          </w:tcPr>
          <w:p>
            <w:pPr>
              <w:jc w:val="center"/>
              <w:ind w:right="580"/>
              <w:spacing w:after="0"/>
              <w:rPr>
                <w:sz w:val="20"/>
                <w:szCs w:val="20"/>
                <w:color w:val="auto"/>
              </w:rPr>
            </w:pPr>
            <w:r>
              <w:rPr>
                <w:rFonts w:ascii="Arial" w:cs="Arial" w:eastAsia="Arial" w:hAnsi="Arial"/>
                <w:sz w:val="15"/>
                <w:szCs w:val="15"/>
                <w:color w:val="auto"/>
                <w:w w:val="95"/>
              </w:rPr>
              <w:t>101.CAL</w:t>
            </w:r>
          </w:p>
        </w:tc>
        <w:tc>
          <w:tcPr>
            <w:tcW w:w="9880" w:type="dxa"/>
            <w:vAlign w:val="bottom"/>
            <w:gridSpan w:val="3"/>
          </w:tcPr>
          <w:p>
            <w:pPr>
              <w:spacing w:after="0"/>
              <w:rPr>
                <w:sz w:val="20"/>
                <w:szCs w:val="20"/>
                <w:color w:val="auto"/>
              </w:rPr>
            </w:pPr>
            <w:r>
              <w:rPr>
                <w:rFonts w:ascii="Arial" w:cs="Arial" w:eastAsia="Arial" w:hAnsi="Arial"/>
                <w:sz w:val="15"/>
                <w:szCs w:val="15"/>
                <w:color w:val="auto"/>
              </w:rPr>
              <w:t>Inline XBRL Taxonomy Extension Calculation Database Document</w:t>
            </w:r>
          </w:p>
        </w:tc>
      </w:tr>
      <w:tr>
        <w:trPr>
          <w:trHeight w:val="335"/>
        </w:trPr>
        <w:tc>
          <w:tcPr>
            <w:tcW w:w="1180" w:type="dxa"/>
            <w:vAlign w:val="bottom"/>
            <w:gridSpan w:val="2"/>
          </w:tcPr>
          <w:p>
            <w:pPr>
              <w:jc w:val="center"/>
              <w:ind w:right="600"/>
              <w:spacing w:after="0"/>
              <w:rPr>
                <w:sz w:val="20"/>
                <w:szCs w:val="20"/>
                <w:color w:val="auto"/>
              </w:rPr>
            </w:pPr>
            <w:r>
              <w:rPr>
                <w:rFonts w:ascii="Arial" w:cs="Arial" w:eastAsia="Arial" w:hAnsi="Arial"/>
                <w:sz w:val="15"/>
                <w:szCs w:val="15"/>
                <w:color w:val="auto"/>
                <w:w w:val="91"/>
              </w:rPr>
              <w:t>101.DEF</w:t>
            </w:r>
          </w:p>
        </w:tc>
        <w:tc>
          <w:tcPr>
            <w:tcW w:w="9880" w:type="dxa"/>
            <w:vAlign w:val="bottom"/>
            <w:gridSpan w:val="3"/>
          </w:tcPr>
          <w:p>
            <w:pPr>
              <w:spacing w:after="0"/>
              <w:rPr>
                <w:sz w:val="20"/>
                <w:szCs w:val="20"/>
                <w:color w:val="auto"/>
              </w:rPr>
            </w:pPr>
            <w:r>
              <w:rPr>
                <w:rFonts w:ascii="Arial" w:cs="Arial" w:eastAsia="Arial" w:hAnsi="Arial"/>
                <w:sz w:val="15"/>
                <w:szCs w:val="15"/>
                <w:color w:val="auto"/>
              </w:rPr>
              <w:t>Inline XBRL Taxonomy Extension Definition Linkbase Document</w:t>
            </w:r>
          </w:p>
        </w:tc>
      </w:tr>
      <w:tr>
        <w:trPr>
          <w:trHeight w:val="335"/>
        </w:trPr>
        <w:tc>
          <w:tcPr>
            <w:tcW w:w="1180" w:type="dxa"/>
            <w:vAlign w:val="bottom"/>
            <w:gridSpan w:val="2"/>
          </w:tcPr>
          <w:p>
            <w:pPr>
              <w:jc w:val="center"/>
              <w:ind w:right="580"/>
              <w:spacing w:after="0"/>
              <w:rPr>
                <w:sz w:val="20"/>
                <w:szCs w:val="20"/>
                <w:color w:val="auto"/>
              </w:rPr>
            </w:pPr>
            <w:r>
              <w:rPr>
                <w:rFonts w:ascii="Arial" w:cs="Arial" w:eastAsia="Arial" w:hAnsi="Arial"/>
                <w:sz w:val="15"/>
                <w:szCs w:val="15"/>
                <w:color w:val="auto"/>
                <w:w w:val="97"/>
              </w:rPr>
              <w:t>101.LAB</w:t>
            </w:r>
          </w:p>
        </w:tc>
        <w:tc>
          <w:tcPr>
            <w:tcW w:w="9880" w:type="dxa"/>
            <w:vAlign w:val="bottom"/>
            <w:gridSpan w:val="3"/>
          </w:tcPr>
          <w:p>
            <w:pPr>
              <w:spacing w:after="0"/>
              <w:rPr>
                <w:sz w:val="20"/>
                <w:szCs w:val="20"/>
                <w:color w:val="auto"/>
              </w:rPr>
            </w:pPr>
            <w:r>
              <w:rPr>
                <w:rFonts w:ascii="Arial" w:cs="Arial" w:eastAsia="Arial" w:hAnsi="Arial"/>
                <w:sz w:val="15"/>
                <w:szCs w:val="15"/>
                <w:color w:val="auto"/>
              </w:rPr>
              <w:t>Inline XBRL Taxonomy Extension Label Linkbase Document</w:t>
            </w:r>
          </w:p>
        </w:tc>
      </w:tr>
      <w:tr>
        <w:trPr>
          <w:trHeight w:val="335"/>
        </w:trPr>
        <w:tc>
          <w:tcPr>
            <w:tcW w:w="1180" w:type="dxa"/>
            <w:vAlign w:val="bottom"/>
            <w:gridSpan w:val="2"/>
          </w:tcPr>
          <w:p>
            <w:pPr>
              <w:jc w:val="center"/>
              <w:ind w:right="600"/>
              <w:spacing w:after="0"/>
              <w:rPr>
                <w:sz w:val="20"/>
                <w:szCs w:val="20"/>
                <w:color w:val="auto"/>
              </w:rPr>
            </w:pPr>
            <w:r>
              <w:rPr>
                <w:rFonts w:ascii="Arial" w:cs="Arial" w:eastAsia="Arial" w:hAnsi="Arial"/>
                <w:sz w:val="15"/>
                <w:szCs w:val="15"/>
                <w:color w:val="auto"/>
                <w:w w:val="89"/>
              </w:rPr>
              <w:t>101.PRE</w:t>
            </w:r>
          </w:p>
        </w:tc>
        <w:tc>
          <w:tcPr>
            <w:tcW w:w="9880" w:type="dxa"/>
            <w:vAlign w:val="bottom"/>
            <w:gridSpan w:val="3"/>
          </w:tcPr>
          <w:p>
            <w:pPr>
              <w:spacing w:after="0"/>
              <w:rPr>
                <w:sz w:val="20"/>
                <w:szCs w:val="20"/>
                <w:color w:val="auto"/>
              </w:rPr>
            </w:pPr>
            <w:r>
              <w:rPr>
                <w:rFonts w:ascii="Arial" w:cs="Arial" w:eastAsia="Arial" w:hAnsi="Arial"/>
                <w:sz w:val="15"/>
                <w:szCs w:val="15"/>
                <w:color w:val="auto"/>
              </w:rPr>
              <w:t>Inline XBRL Taxonomy Extension Presentation Linkbase Document</w:t>
            </w:r>
          </w:p>
        </w:tc>
      </w:tr>
    </w:tbl>
    <w:p>
      <w:pPr>
        <w:spacing w:after="0" w:line="146" w:lineRule="exact"/>
        <w:rPr>
          <w:sz w:val="20"/>
          <w:szCs w:val="20"/>
          <w:color w:val="auto"/>
        </w:rPr>
      </w:pPr>
    </w:p>
    <w:p>
      <w:pPr>
        <w:ind w:left="1180" w:hanging="1159"/>
        <w:spacing w:after="0"/>
        <w:tabs>
          <w:tab w:leader="none" w:pos="1180" w:val="left"/>
        </w:tabs>
        <w:numPr>
          <w:ilvl w:val="1"/>
          <w:numId w:val="52"/>
        </w:numPr>
        <w:rPr>
          <w:rFonts w:ascii="Arial" w:cs="Arial" w:eastAsia="Arial" w:hAnsi="Arial"/>
          <w:sz w:val="15"/>
          <w:szCs w:val="15"/>
          <w:color w:val="auto"/>
        </w:rPr>
      </w:pPr>
      <w:r>
        <w:rPr>
          <w:rFonts w:ascii="Arial" w:cs="Arial" w:eastAsia="Arial" w:hAnsi="Arial"/>
          <w:sz w:val="15"/>
          <w:szCs w:val="15"/>
          <w:color w:val="auto"/>
        </w:rPr>
        <w:t>Cover Page Interactive Data File (formatted as inline XBRL with applicable taxonomy extension information contained in Exhibits 101.)</w:t>
      </w:r>
    </w:p>
    <w:p>
      <w:pPr>
        <w:spacing w:after="0" w:line="240" w:lineRule="exact"/>
        <w:rPr>
          <w:rFonts w:ascii="Arial" w:cs="Arial" w:eastAsia="Arial" w:hAnsi="Arial"/>
          <w:sz w:val="15"/>
          <w:szCs w:val="15"/>
          <w:color w:val="auto"/>
        </w:rPr>
      </w:pPr>
    </w:p>
    <w:p>
      <w:pPr>
        <w:ind w:left="300" w:hanging="291"/>
        <w:spacing w:after="0"/>
        <w:tabs>
          <w:tab w:leader="none" w:pos="3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w:t>
      </w:r>
    </w:p>
    <w:p>
      <w:pPr>
        <w:spacing w:after="0" w:line="84" w:lineRule="exact"/>
        <w:rPr>
          <w:sz w:val="20"/>
          <w:szCs w:val="20"/>
          <w:color w:val="auto"/>
        </w:rPr>
      </w:pPr>
    </w:p>
    <w:p>
      <w:pPr>
        <w:ind w:left="300" w:hanging="291"/>
        <w:spacing w:after="0"/>
        <w:tabs>
          <w:tab w:leader="none" w:pos="3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Confidential treatment has been granted with respect to certain portions of this exhibit. Omitted portions have been filed separately with the Securities and Exchange Commission.</w:t>
      </w:r>
    </w:p>
    <w:p>
      <w:pPr>
        <w:spacing w:after="0" w:line="107" w:lineRule="exact"/>
        <w:rPr>
          <w:rFonts w:ascii="Arial" w:cs="Arial" w:eastAsia="Arial" w:hAnsi="Arial"/>
          <w:sz w:val="13"/>
          <w:szCs w:val="13"/>
          <w:color w:val="auto"/>
        </w:rPr>
      </w:pPr>
    </w:p>
    <w:p>
      <w:pPr>
        <w:ind w:right="4680"/>
        <w:spacing w:after="0" w:line="379" w:lineRule="auto"/>
        <w:rPr>
          <w:rFonts w:ascii="Arial" w:cs="Arial" w:eastAsia="Arial" w:hAnsi="Arial"/>
          <w:sz w:val="13"/>
          <w:szCs w:val="13"/>
          <w:color w:val="auto"/>
        </w:rPr>
      </w:pPr>
      <w:r>
        <w:rPr>
          <w:rFonts w:ascii="Arial" w:cs="Arial" w:eastAsia="Arial" w:hAnsi="Arial"/>
          <w:sz w:val="15"/>
          <w:szCs w:val="15"/>
          <w:color w:val="auto"/>
        </w:rPr>
        <w:t>+++ Certain portions of this exhibit have been redacted pursuant to Item 601(b)(10)(iv) of Regulation S-K. ** Filed herewith.</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060"/>
          </w:cols>
          <w:pgMar w:left="300" w:top="113" w:right="539" w:bottom="1440" w:gutter="0" w:footer="0" w:header="0"/>
        </w:sectPr>
      </w:pPr>
    </w:p>
    <w:bookmarkStart w:id="147" w:name="page148"/>
    <w:bookmarkEnd w:id="147"/>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FORM 10-K SUMMARY</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We may voluntarily include a summary of information required by Form 10-K under this Item 16. We have elected not to include such summary information.</w:t>
      </w:r>
    </w:p>
    <w:p>
      <w:pPr>
        <w:spacing w:after="0" w:line="36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47625</wp:posOffset>
            </wp:positionV>
            <wp:extent cx="7181215"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0159"/>
          </w:cols>
          <w:pgMar w:left="300" w:top="124" w:right="1440" w:bottom="1440" w:gutter="0" w:footer="0" w:header="0"/>
        </w:sectPr>
      </w:pPr>
    </w:p>
    <w:bookmarkStart w:id="148" w:name="page149"/>
    <w:bookmarkEnd w:id="148"/>
    <w:p>
      <w:pPr>
        <w:spacing w:after="0"/>
        <w:rPr>
          <w:rFonts w:ascii="Arial" w:cs="Arial" w:eastAsia="Arial" w:hAnsi="Arial"/>
          <w:sz w:val="12"/>
          <w:szCs w:val="12"/>
          <w:color w:val="auto"/>
        </w:rPr>
      </w:pPr>
      <w:hyperlink w:anchor="page3">
        <w:r>
          <w:rPr>
            <w:rFonts w:ascii="Arial" w:cs="Arial" w:eastAsia="Arial" w:hAnsi="Arial"/>
            <w:sz w:val="12"/>
            <w:szCs w:val="12"/>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3594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535940" cy="698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78" w:lineRule="exact"/>
        <w:rPr>
          <w:sz w:val="20"/>
          <w:szCs w:val="20"/>
          <w:color w:val="auto"/>
        </w:rPr>
      </w:pPr>
    </w:p>
    <w:p>
      <w:pPr>
        <w:ind w:right="120" w:firstLine="751"/>
        <w:spacing w:after="0" w:line="283"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report to be signed on its behalf by the undersigned, thereunto duly authorized, on this 1</w:t>
      </w:r>
      <w:r>
        <w:rPr>
          <w:rFonts w:ascii="Arial" w:cs="Arial" w:eastAsia="Arial" w:hAnsi="Arial"/>
          <w:sz w:val="19"/>
          <w:szCs w:val="19"/>
          <w:color w:val="auto"/>
          <w:vertAlign w:val="superscript"/>
        </w:rPr>
        <w:t>st</w:t>
      </w:r>
      <w:r>
        <w:rPr>
          <w:rFonts w:ascii="Arial" w:cs="Arial" w:eastAsia="Arial" w:hAnsi="Arial"/>
          <w:sz w:val="15"/>
          <w:szCs w:val="15"/>
          <w:color w:val="auto"/>
        </w:rPr>
        <w:t xml:space="preserve"> day of March 2022.</w:t>
      </w:r>
    </w:p>
    <w:p>
      <w:pPr>
        <w:spacing w:after="0" w:line="243"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AXSOME THERAPEUTICS, INC.</w:t>
      </w:r>
    </w:p>
    <w:p>
      <w:pPr>
        <w:spacing w:after="0" w:line="185" w:lineRule="exact"/>
        <w:rPr>
          <w:sz w:val="20"/>
          <w:szCs w:val="20"/>
          <w:color w:val="auto"/>
        </w:rPr>
      </w:pPr>
    </w:p>
    <w:p>
      <w:pPr>
        <w:ind w:left="5560"/>
        <w:spacing w:after="0"/>
        <w:tabs>
          <w:tab w:leader="none" w:pos="79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3921125</wp:posOffset>
            </wp:positionH>
            <wp:positionV relativeFrom="paragraph">
              <wp:posOffset>3810</wp:posOffset>
            </wp:positionV>
            <wp:extent cx="320548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3205480" cy="6985"/>
                    </a:xfrm>
                    <a:prstGeom prst="rect">
                      <a:avLst/>
                    </a:prstGeom>
                    <a:noFill/>
                  </pic:spPr>
                </pic:pic>
              </a:graphicData>
            </a:graphic>
          </wp:anchor>
        </w:drawing>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5"/>
          <w:szCs w:val="15"/>
          <w:color w:val="auto"/>
        </w:rPr>
        <w:t>Herriot Tabuteau, M.D.</w:t>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5"/>
          <w:szCs w:val="15"/>
          <w:i w:val="1"/>
          <w:iCs w:val="1"/>
          <w:color w:val="auto"/>
        </w:rPr>
        <w:t>Chief Executive Officer</w:t>
      </w:r>
    </w:p>
    <w:p>
      <w:pPr>
        <w:spacing w:after="0" w:line="197" w:lineRule="exact"/>
        <w:rPr>
          <w:sz w:val="20"/>
          <w:szCs w:val="20"/>
          <w:color w:val="auto"/>
        </w:rPr>
      </w:pPr>
    </w:p>
    <w:p>
      <w:pPr>
        <w:ind w:right="280" w:firstLine="751"/>
        <w:spacing w:after="0" w:line="255" w:lineRule="auto"/>
        <w:rPr>
          <w:sz w:val="20"/>
          <w:szCs w:val="20"/>
          <w:color w:val="auto"/>
        </w:rPr>
      </w:pPr>
      <w:r>
        <w:rPr>
          <w:rFonts w:ascii="Arial" w:cs="Arial" w:eastAsia="Arial" w:hAnsi="Arial"/>
          <w:sz w:val="15"/>
          <w:szCs w:val="15"/>
          <w:color w:val="auto"/>
        </w:rPr>
        <w:t>Pursuant to the requirements of the Securities Exchange Act of 1934, as amended, this report has been signed by the following persons on behalf of the registrant and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15"/>
                <w:szCs w:val="15"/>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Signature</w:t>
            </w:r>
          </w:p>
        </w:tc>
        <w:tc>
          <w:tcPr>
            <w:tcW w:w="420" w:type="dxa"/>
            <w:vAlign w:val="bottom"/>
          </w:tcPr>
          <w:p>
            <w:pPr>
              <w:spacing w:after="0"/>
              <w:rPr>
                <w:sz w:val="15"/>
                <w:szCs w:val="15"/>
                <w:color w:val="auto"/>
              </w:rPr>
            </w:pPr>
          </w:p>
        </w:tc>
        <w:tc>
          <w:tcPr>
            <w:tcW w:w="4420" w:type="dxa"/>
            <w:vAlign w:val="bottom"/>
            <w:tcBorders>
              <w:bottom w:val="single" w:sz="8" w:color="auto"/>
            </w:tcBorders>
          </w:tcPr>
          <w:p>
            <w:pPr>
              <w:jc w:val="right"/>
              <w:ind w:right="1986"/>
              <w:spacing w:after="0"/>
              <w:rPr>
                <w:sz w:val="20"/>
                <w:szCs w:val="20"/>
                <w:color w:val="auto"/>
              </w:rPr>
            </w:pPr>
            <w:r>
              <w:rPr>
                <w:rFonts w:ascii="Arial" w:cs="Arial" w:eastAsia="Arial" w:hAnsi="Arial"/>
                <w:sz w:val="15"/>
                <w:szCs w:val="15"/>
                <w:b w:val="1"/>
                <w:bCs w:val="1"/>
                <w:color w:val="auto"/>
              </w:rPr>
              <w:t>Title</w:t>
            </w:r>
          </w:p>
        </w:tc>
        <w:tc>
          <w:tcPr>
            <w:tcW w:w="520" w:type="dxa"/>
            <w:vAlign w:val="bottom"/>
          </w:tcPr>
          <w:p>
            <w:pPr>
              <w:spacing w:after="0"/>
              <w:rPr>
                <w:sz w:val="15"/>
                <w:szCs w:val="15"/>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/s/ Herriot Tabuteau, M.D.</w:t>
            </w:r>
          </w:p>
        </w:tc>
        <w:tc>
          <w:tcPr>
            <w:tcW w:w="4840" w:type="dxa"/>
            <w:vAlign w:val="bottom"/>
            <w:gridSpan w:val="2"/>
          </w:tcPr>
          <w:p>
            <w:pPr>
              <w:ind w:left="420"/>
              <w:spacing w:after="0"/>
              <w:rPr>
                <w:sz w:val="20"/>
                <w:szCs w:val="20"/>
                <w:color w:val="auto"/>
              </w:rPr>
            </w:pPr>
            <w:r>
              <w:rPr>
                <w:rFonts w:ascii="Arial" w:cs="Arial" w:eastAsia="Arial" w:hAnsi="Arial"/>
                <w:sz w:val="15"/>
                <w:szCs w:val="15"/>
                <w:color w:val="auto"/>
                <w:w w:val="93"/>
              </w:rPr>
              <w:t>Chief Executive Officer and Chairman of the Board (Principal Executive</w:t>
            </w:r>
          </w:p>
        </w:tc>
        <w:tc>
          <w:tcPr>
            <w:tcW w:w="2400" w:type="dxa"/>
            <w:vAlign w:val="bottom"/>
            <w:gridSpan w:val="2"/>
            <w:vMerge w:val="restart"/>
          </w:tcPr>
          <w:p>
            <w:pPr>
              <w:ind w:left="520"/>
              <w:spacing w:after="0"/>
              <w:rPr>
                <w:sz w:val="20"/>
                <w:szCs w:val="20"/>
                <w:color w:val="auto"/>
              </w:rPr>
            </w:pPr>
            <w:r>
              <w:rPr>
                <w:rFonts w:ascii="Arial" w:cs="Arial" w:eastAsia="Arial" w:hAnsi="Arial"/>
                <w:sz w:val="15"/>
                <w:szCs w:val="15"/>
                <w:color w:val="auto"/>
              </w:rPr>
              <w:t>March 1,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Arial" w:cs="Arial" w:eastAsia="Arial" w:hAnsi="Arial"/>
                <w:sz w:val="15"/>
                <w:szCs w:val="15"/>
                <w:color w:val="auto"/>
                <w:w w:val="91"/>
              </w:rPr>
              <w:t>Herriot Tabuteau, M.D.</w:t>
            </w:r>
          </w:p>
        </w:tc>
        <w:tc>
          <w:tcPr>
            <w:tcW w:w="4840" w:type="dxa"/>
            <w:vAlign w:val="bottom"/>
            <w:gridSpan w:val="2"/>
            <w:vMerge w:val="restart"/>
          </w:tcPr>
          <w:p>
            <w:pPr>
              <w:ind w:left="420"/>
              <w:spacing w:after="0" w:line="169" w:lineRule="exact"/>
              <w:rPr>
                <w:sz w:val="20"/>
                <w:szCs w:val="20"/>
                <w:color w:val="auto"/>
              </w:rPr>
            </w:pPr>
            <w:r>
              <w:rPr>
                <w:rFonts w:ascii="Arial" w:cs="Arial" w:eastAsia="Arial" w:hAnsi="Arial"/>
                <w:sz w:val="15"/>
                <w:szCs w:val="15"/>
                <w:color w:val="auto"/>
              </w:rPr>
              <w:t>Officer)</w:t>
            </w:r>
          </w:p>
        </w:tc>
        <w:tc>
          <w:tcPr>
            <w:tcW w:w="24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48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1"/>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Nick Pizzie</w:t>
            </w:r>
          </w:p>
        </w:tc>
        <w:tc>
          <w:tcPr>
            <w:tcW w:w="4840" w:type="dxa"/>
            <w:vAlign w:val="bottom"/>
            <w:gridSpan w:val="2"/>
          </w:tcPr>
          <w:p>
            <w:pPr>
              <w:ind w:left="420"/>
              <w:spacing w:after="0"/>
              <w:rPr>
                <w:sz w:val="20"/>
                <w:szCs w:val="20"/>
                <w:color w:val="auto"/>
              </w:rPr>
            </w:pPr>
            <w:r>
              <w:rPr>
                <w:rFonts w:ascii="Arial" w:cs="Arial" w:eastAsia="Arial" w:hAnsi="Arial"/>
                <w:sz w:val="15"/>
                <w:szCs w:val="15"/>
                <w:color w:val="auto"/>
              </w:rPr>
              <w:t>Chief Financial Officer</w:t>
            </w:r>
          </w:p>
        </w:tc>
        <w:tc>
          <w:tcPr>
            <w:tcW w:w="2400" w:type="dxa"/>
            <w:vAlign w:val="bottom"/>
            <w:gridSpan w:val="2"/>
            <w:vMerge w:val="restart"/>
          </w:tcPr>
          <w:p>
            <w:pPr>
              <w:ind w:left="520"/>
              <w:spacing w:after="0"/>
              <w:rPr>
                <w:sz w:val="20"/>
                <w:szCs w:val="20"/>
                <w:color w:val="auto"/>
              </w:rPr>
            </w:pPr>
            <w:r>
              <w:rPr>
                <w:rFonts w:ascii="Arial" w:cs="Arial" w:eastAsia="Arial" w:hAnsi="Arial"/>
                <w:sz w:val="15"/>
                <w:szCs w:val="15"/>
                <w:color w:val="auto"/>
              </w:rPr>
              <w:t>March 1,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920" w:type="dxa"/>
            <w:vAlign w:val="bottom"/>
            <w:vMerge w:val="restart"/>
          </w:tcPr>
          <w:p>
            <w:pPr>
              <w:jc w:val="center"/>
              <w:spacing w:after="0"/>
              <w:rPr>
                <w:sz w:val="20"/>
                <w:szCs w:val="20"/>
                <w:color w:val="auto"/>
              </w:rPr>
            </w:pPr>
            <w:r>
              <w:rPr>
                <w:rFonts w:ascii="Arial" w:cs="Arial" w:eastAsia="Arial" w:hAnsi="Arial"/>
                <w:sz w:val="15"/>
                <w:szCs w:val="15"/>
                <w:color w:val="auto"/>
                <w:w w:val="95"/>
              </w:rPr>
              <w:t>Nick Pizzie</w:t>
            </w:r>
          </w:p>
        </w:tc>
        <w:tc>
          <w:tcPr>
            <w:tcW w:w="4840" w:type="dxa"/>
            <w:vAlign w:val="bottom"/>
            <w:gridSpan w:val="2"/>
            <w:vMerge w:val="restart"/>
          </w:tcPr>
          <w:p>
            <w:pPr>
              <w:ind w:left="420"/>
              <w:spacing w:after="0" w:line="169" w:lineRule="exact"/>
              <w:rPr>
                <w:sz w:val="20"/>
                <w:szCs w:val="20"/>
                <w:color w:val="auto"/>
              </w:rPr>
            </w:pPr>
            <w:r>
              <w:rPr>
                <w:rFonts w:ascii="Arial" w:cs="Arial" w:eastAsia="Arial" w:hAnsi="Arial"/>
                <w:sz w:val="15"/>
                <w:szCs w:val="15"/>
                <w:color w:val="auto"/>
              </w:rPr>
              <w:t>(Principal Financial and Accounting Officer)</w:t>
            </w:r>
          </w:p>
        </w:tc>
        <w:tc>
          <w:tcPr>
            <w:tcW w:w="2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3920" w:type="dxa"/>
            <w:vAlign w:val="bottom"/>
            <w:vMerge w:val="continue"/>
          </w:tcPr>
          <w:p>
            <w:pPr>
              <w:spacing w:after="0"/>
              <w:rPr>
                <w:sz w:val="8"/>
                <w:szCs w:val="8"/>
                <w:color w:val="auto"/>
              </w:rPr>
            </w:pPr>
          </w:p>
        </w:tc>
        <w:tc>
          <w:tcPr>
            <w:tcW w:w="484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/s/ Roger Jeffs, Ph.D.</w:t>
            </w:r>
          </w:p>
        </w:tc>
        <w:tc>
          <w:tcPr>
            <w:tcW w:w="4840" w:type="dxa"/>
            <w:vAlign w:val="bottom"/>
            <w:gridSpan w:val="2"/>
            <w:vMerge w:val="restart"/>
          </w:tcPr>
          <w:p>
            <w:pPr>
              <w:ind w:left="420"/>
              <w:spacing w:after="0"/>
              <w:rPr>
                <w:sz w:val="20"/>
                <w:szCs w:val="20"/>
                <w:color w:val="auto"/>
              </w:rPr>
            </w:pPr>
            <w:r>
              <w:rPr>
                <w:rFonts w:ascii="Arial" w:cs="Arial" w:eastAsia="Arial" w:hAnsi="Arial"/>
                <w:sz w:val="15"/>
                <w:szCs w:val="15"/>
                <w:color w:val="auto"/>
              </w:rPr>
              <w:t>Director</w:t>
            </w:r>
          </w:p>
        </w:tc>
        <w:tc>
          <w:tcPr>
            <w:tcW w:w="2400" w:type="dxa"/>
            <w:vAlign w:val="bottom"/>
            <w:gridSpan w:val="2"/>
            <w:vMerge w:val="restart"/>
          </w:tcPr>
          <w:p>
            <w:pPr>
              <w:ind w:left="520"/>
              <w:spacing w:after="0"/>
              <w:rPr>
                <w:sz w:val="20"/>
                <w:szCs w:val="20"/>
                <w:color w:val="auto"/>
              </w:rPr>
            </w:pPr>
            <w:r>
              <w:rPr>
                <w:rFonts w:ascii="Arial" w:cs="Arial" w:eastAsia="Arial" w:hAnsi="Arial"/>
                <w:sz w:val="15"/>
                <w:szCs w:val="15"/>
                <w:color w:val="auto"/>
              </w:rPr>
              <w:t>March 1,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Arial" w:cs="Arial" w:eastAsia="Arial" w:hAnsi="Arial"/>
                <w:sz w:val="15"/>
                <w:szCs w:val="15"/>
                <w:color w:val="auto"/>
                <w:w w:val="89"/>
              </w:rPr>
              <w:t>Roger Jeffs, Ph.D.</w:t>
            </w:r>
          </w:p>
        </w:tc>
        <w:tc>
          <w:tcPr>
            <w:tcW w:w="4840" w:type="dxa"/>
            <w:vAlign w:val="bottom"/>
            <w:gridSpan w:val="2"/>
            <w:vMerge w:val="continue"/>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/s/ Mark Coleman, M.D.</w:t>
            </w:r>
          </w:p>
        </w:tc>
        <w:tc>
          <w:tcPr>
            <w:tcW w:w="4840" w:type="dxa"/>
            <w:vAlign w:val="bottom"/>
            <w:gridSpan w:val="2"/>
            <w:vMerge w:val="restart"/>
          </w:tcPr>
          <w:p>
            <w:pPr>
              <w:ind w:left="420"/>
              <w:spacing w:after="0"/>
              <w:rPr>
                <w:sz w:val="20"/>
                <w:szCs w:val="20"/>
                <w:color w:val="auto"/>
              </w:rPr>
            </w:pPr>
            <w:r>
              <w:rPr>
                <w:rFonts w:ascii="Arial" w:cs="Arial" w:eastAsia="Arial" w:hAnsi="Arial"/>
                <w:sz w:val="15"/>
                <w:szCs w:val="15"/>
                <w:color w:val="auto"/>
              </w:rPr>
              <w:t>Director</w:t>
            </w:r>
          </w:p>
        </w:tc>
        <w:tc>
          <w:tcPr>
            <w:tcW w:w="2400" w:type="dxa"/>
            <w:vAlign w:val="bottom"/>
            <w:gridSpan w:val="2"/>
            <w:vMerge w:val="restart"/>
          </w:tcPr>
          <w:p>
            <w:pPr>
              <w:ind w:left="520"/>
              <w:spacing w:after="0"/>
              <w:rPr>
                <w:sz w:val="20"/>
                <w:szCs w:val="20"/>
                <w:color w:val="auto"/>
              </w:rPr>
            </w:pPr>
            <w:r>
              <w:rPr>
                <w:rFonts w:ascii="Arial" w:cs="Arial" w:eastAsia="Arial" w:hAnsi="Arial"/>
                <w:sz w:val="15"/>
                <w:szCs w:val="15"/>
                <w:color w:val="auto"/>
              </w:rPr>
              <w:t>March 1,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Arial" w:cs="Arial" w:eastAsia="Arial" w:hAnsi="Arial"/>
                <w:sz w:val="15"/>
                <w:szCs w:val="15"/>
                <w:color w:val="auto"/>
                <w:w w:val="93"/>
              </w:rPr>
              <w:t>Mark Coleman, M.D.</w:t>
            </w:r>
          </w:p>
        </w:tc>
        <w:tc>
          <w:tcPr>
            <w:tcW w:w="4840" w:type="dxa"/>
            <w:vAlign w:val="bottom"/>
            <w:gridSpan w:val="2"/>
            <w:vMerge w:val="continue"/>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/s/ Mark Saad</w:t>
            </w:r>
          </w:p>
        </w:tc>
        <w:tc>
          <w:tcPr>
            <w:tcW w:w="4840" w:type="dxa"/>
            <w:vAlign w:val="bottom"/>
            <w:gridSpan w:val="2"/>
            <w:vMerge w:val="restart"/>
          </w:tcPr>
          <w:p>
            <w:pPr>
              <w:ind w:left="420"/>
              <w:spacing w:after="0"/>
              <w:rPr>
                <w:sz w:val="20"/>
                <w:szCs w:val="20"/>
                <w:color w:val="auto"/>
              </w:rPr>
            </w:pPr>
            <w:r>
              <w:rPr>
                <w:rFonts w:ascii="Arial" w:cs="Arial" w:eastAsia="Arial" w:hAnsi="Arial"/>
                <w:sz w:val="15"/>
                <w:szCs w:val="15"/>
                <w:color w:val="auto"/>
              </w:rPr>
              <w:t>Director</w:t>
            </w:r>
          </w:p>
        </w:tc>
        <w:tc>
          <w:tcPr>
            <w:tcW w:w="2400" w:type="dxa"/>
            <w:vAlign w:val="bottom"/>
            <w:gridSpan w:val="2"/>
            <w:vMerge w:val="restart"/>
          </w:tcPr>
          <w:p>
            <w:pPr>
              <w:ind w:left="520"/>
              <w:spacing w:after="0"/>
              <w:rPr>
                <w:sz w:val="20"/>
                <w:szCs w:val="20"/>
                <w:color w:val="auto"/>
              </w:rPr>
            </w:pPr>
            <w:r>
              <w:rPr>
                <w:rFonts w:ascii="Arial" w:cs="Arial" w:eastAsia="Arial" w:hAnsi="Arial"/>
                <w:sz w:val="15"/>
                <w:szCs w:val="15"/>
                <w:color w:val="auto"/>
              </w:rPr>
              <w:t>March 1,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Arial" w:cs="Arial" w:eastAsia="Arial" w:hAnsi="Arial"/>
                <w:sz w:val="15"/>
                <w:szCs w:val="15"/>
                <w:color w:val="auto"/>
                <w:w w:val="90"/>
              </w:rPr>
              <w:t>Mark Saad</w:t>
            </w:r>
          </w:p>
        </w:tc>
        <w:tc>
          <w:tcPr>
            <w:tcW w:w="4840" w:type="dxa"/>
            <w:vAlign w:val="bottom"/>
            <w:gridSpan w:val="2"/>
            <w:vMerge w:val="continue"/>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8"/>
        </w:trPr>
        <w:tc>
          <w:tcPr>
            <w:tcW w:w="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840" w:type="dxa"/>
            <w:vAlign w:val="bottom"/>
            <w:gridSpan w:val="2"/>
          </w:tcPr>
          <w:p>
            <w:pPr>
              <w:jc w:val="right"/>
              <w:ind w:right="2986"/>
              <w:spacing w:after="0"/>
              <w:rPr>
                <w:sz w:val="20"/>
                <w:szCs w:val="20"/>
                <w:color w:val="auto"/>
              </w:rPr>
            </w:pPr>
            <w:r>
              <w:rPr>
                <w:rFonts w:ascii="Arial" w:cs="Arial" w:eastAsia="Arial" w:hAnsi="Arial"/>
                <w:sz w:val="15"/>
                <w:szCs w:val="15"/>
                <w:color w:val="auto"/>
              </w:rPr>
              <w:t>138</w:t>
            </w: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6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7141845</wp:posOffset>
            </wp:positionH>
            <wp:positionV relativeFrom="paragraph">
              <wp:posOffset>-26035</wp:posOffset>
            </wp:positionV>
            <wp:extent cx="32385" cy="39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-26035</wp:posOffset>
            </wp:positionV>
            <wp:extent cx="32385" cy="393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9" w:name="page150"/>
    <w:bookmarkEnd w:id="149"/>
    <w:p>
      <w:pPr>
        <w:ind w:left="1024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Statements on:</w:t>
      </w:r>
    </w:p>
    <w:p>
      <w:pPr>
        <w:spacing w:after="0" w:line="195" w:lineRule="exact"/>
        <w:rPr>
          <w:sz w:val="20"/>
          <w:szCs w:val="20"/>
          <w:color w:val="auto"/>
        </w:rPr>
      </w:pPr>
    </w:p>
    <w:p>
      <w:pPr>
        <w:ind w:left="760" w:hanging="375"/>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S-8 (No. 333-217002);</w:t>
      </w:r>
    </w:p>
    <w:p>
      <w:pPr>
        <w:spacing w:after="0" w:line="10" w:lineRule="exact"/>
        <w:rPr>
          <w:rFonts w:ascii="Arial" w:cs="Arial" w:eastAsia="Arial" w:hAnsi="Arial"/>
          <w:sz w:val="18"/>
          <w:szCs w:val="18"/>
          <w:color w:val="auto"/>
        </w:rPr>
      </w:pPr>
    </w:p>
    <w:p>
      <w:pPr>
        <w:ind w:left="760" w:hanging="375"/>
        <w:spacing w:after="0" w:line="233"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S-8 (No. 333-208579);</w:t>
      </w:r>
    </w:p>
    <w:p>
      <w:pPr>
        <w:ind w:left="760" w:hanging="375"/>
        <w:spacing w:after="0" w:line="233"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S-8 (No. 333-230296);</w:t>
      </w:r>
    </w:p>
    <w:p>
      <w:pPr>
        <w:ind w:left="760" w:hanging="375"/>
        <w:spacing w:after="0" w:line="233"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S-8 (No. 333-226824);</w:t>
      </w:r>
    </w:p>
    <w:p>
      <w:pPr>
        <w:ind w:left="760" w:hanging="375"/>
        <w:spacing w:after="0" w:line="233"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S-8 (No. 333-238174);</w:t>
      </w:r>
    </w:p>
    <w:p>
      <w:pPr>
        <w:ind w:left="760" w:hanging="375"/>
        <w:spacing w:after="0" w:line="233"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S-8 (No. 333-256019); and</w:t>
      </w:r>
    </w:p>
    <w:p>
      <w:pPr>
        <w:ind w:left="760" w:hanging="375"/>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Form S-3 (No. 333-235372).</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of our reports dated March 1, 2022, with respect to the consolidated financial statements of Axsome Therapeutics, Inc., and the effectiveness of internal control over financial reporting of Axsome Therapeutics, Inc. included in this Annual Report (Form 10-K) of Axsome Therapeutics, Inc.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 DOCVARIABLE "SWDocIDLocation" 1" = "1" " DOCPROPERTY "SWDocID" EAST\179530792.1" "" EAST\179530792.1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7181215" cy="393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563"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5"/>
          <w:szCs w:val="15"/>
          <w:b w:val="1"/>
          <w:bCs w:val="1"/>
          <w:color w:val="auto"/>
        </w:rPr>
        <w:t>Exhibit 31.1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PERIODIC REPORT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I, Herriot Tabuteau, certify that:</w:t>
      </w:r>
    </w:p>
    <w:p>
      <w:pPr>
        <w:spacing w:after="0" w:line="163" w:lineRule="exact"/>
        <w:rPr>
          <w:sz w:val="20"/>
          <w:szCs w:val="20"/>
          <w:color w:val="auto"/>
        </w:rPr>
      </w:pPr>
    </w:p>
    <w:p>
      <w:pPr>
        <w:ind w:left="180" w:hanging="171"/>
        <w:spacing w:after="0"/>
        <w:tabs>
          <w:tab w:leader="none" w:pos="1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Axsome Therapeutics, Inc.;</w:t>
      </w:r>
    </w:p>
    <w:p>
      <w:pPr>
        <w:spacing w:after="0" w:line="162" w:lineRule="exact"/>
        <w:rPr>
          <w:rFonts w:ascii="Arial" w:cs="Arial" w:eastAsia="Arial" w:hAnsi="Arial"/>
          <w:sz w:val="15"/>
          <w:szCs w:val="15"/>
          <w:color w:val="auto"/>
        </w:rPr>
      </w:pPr>
    </w:p>
    <w:p>
      <w:pPr>
        <w:ind w:left="320" w:right="520" w:hanging="311"/>
        <w:spacing w:after="0" w:line="255" w:lineRule="auto"/>
        <w:tabs>
          <w:tab w:leader="none" w:pos="183"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ind w:left="320" w:right="620" w:hanging="311"/>
        <w:spacing w:after="0" w:line="255" w:lineRule="auto"/>
        <w:tabs>
          <w:tab w:leader="none" w:pos="183"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5"/>
          <w:szCs w:val="15"/>
          <w:color w:val="auto"/>
        </w:rPr>
      </w:pPr>
    </w:p>
    <w:p>
      <w:pPr>
        <w:ind w:left="320" w:right="160" w:hanging="311"/>
        <w:spacing w:after="0" w:line="255" w:lineRule="auto"/>
        <w:tabs>
          <w:tab w:leader="none" w:pos="183"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5"/>
          <w:szCs w:val="15"/>
          <w:color w:val="auto"/>
        </w:rPr>
      </w:pPr>
    </w:p>
    <w:p>
      <w:pPr>
        <w:jc w:val="both"/>
        <w:ind w:left="780" w:right="80" w:hanging="456"/>
        <w:spacing w:after="0" w:line="244" w:lineRule="auto"/>
        <w:tabs>
          <w:tab w:leader="none" w:pos="780" w:val="left"/>
        </w:tabs>
        <w:numPr>
          <w:ilvl w:val="1"/>
          <w:numId w:val="5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5"/>
          <w:szCs w:val="15"/>
          <w:color w:val="auto"/>
        </w:rPr>
      </w:pPr>
    </w:p>
    <w:p>
      <w:pPr>
        <w:jc w:val="both"/>
        <w:ind w:left="780" w:right="300" w:hanging="456"/>
        <w:spacing w:after="0" w:line="244" w:lineRule="auto"/>
        <w:tabs>
          <w:tab w:leader="none" w:pos="780" w:val="left"/>
        </w:tabs>
        <w:numPr>
          <w:ilvl w:val="1"/>
          <w:numId w:val="5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5"/>
          <w:szCs w:val="15"/>
          <w:color w:val="auto"/>
        </w:rPr>
      </w:pPr>
    </w:p>
    <w:p>
      <w:pPr>
        <w:ind w:left="780" w:right="160" w:hanging="455"/>
        <w:spacing w:after="0" w:line="255" w:lineRule="auto"/>
        <w:tabs>
          <w:tab w:leader="none" w:pos="508" w:val="left"/>
        </w:tabs>
        <w:numPr>
          <w:ilvl w:val="1"/>
          <w:numId w:val="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5"/>
          <w:szCs w:val="15"/>
          <w:color w:val="auto"/>
        </w:rPr>
      </w:pPr>
    </w:p>
    <w:p>
      <w:pPr>
        <w:ind w:left="780" w:right="140" w:hanging="455"/>
        <w:spacing w:after="0" w:line="244" w:lineRule="auto"/>
        <w:tabs>
          <w:tab w:leader="none" w:pos="508" w:val="left"/>
        </w:tabs>
        <w:numPr>
          <w:ilvl w:val="1"/>
          <w:numId w:val="5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5"/>
          <w:szCs w:val="15"/>
          <w:color w:val="auto"/>
        </w:rPr>
      </w:pPr>
    </w:p>
    <w:p>
      <w:pPr>
        <w:ind w:left="320" w:right="320" w:hanging="311"/>
        <w:spacing w:after="0" w:line="255" w:lineRule="auto"/>
        <w:tabs>
          <w:tab w:leader="none" w:pos="183"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5"/>
          <w:szCs w:val="15"/>
          <w:color w:val="auto"/>
        </w:rPr>
      </w:pPr>
    </w:p>
    <w:p>
      <w:pPr>
        <w:ind w:left="780" w:right="520" w:hanging="455"/>
        <w:spacing w:after="0" w:line="255" w:lineRule="auto"/>
        <w:tabs>
          <w:tab w:leader="none" w:pos="508" w:val="left"/>
        </w:tabs>
        <w:numPr>
          <w:ilvl w:val="1"/>
          <w:numId w:val="5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5"/>
          <w:szCs w:val="15"/>
          <w:color w:val="auto"/>
        </w:rPr>
      </w:pPr>
    </w:p>
    <w:p>
      <w:pPr>
        <w:ind w:left="500" w:hanging="175"/>
        <w:spacing w:after="0"/>
        <w:tabs>
          <w:tab w:leader="none" w:pos="500" w:val="left"/>
        </w:tabs>
        <w:numPr>
          <w:ilvl w:val="1"/>
          <w:numId w:val="5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3"/>
          <w:szCs w:val="13"/>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3810</wp:posOffset>
            </wp:positionV>
            <wp:extent cx="357441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3574415" cy="6985"/>
                    </a:xfrm>
                    <a:prstGeom prst="rect">
                      <a:avLst/>
                    </a:prstGeom>
                    <a:noFill/>
                  </pic:spPr>
                </pic:pic>
              </a:graphicData>
            </a:graphic>
          </wp:anchor>
        </w:drawing>
      </w:r>
    </w:p>
    <w:p>
      <w:pPr>
        <w:ind w:left="5660"/>
        <w:spacing w:after="0" w:line="227" w:lineRule="auto"/>
        <w:rPr>
          <w:sz w:val="20"/>
          <w:szCs w:val="20"/>
          <w:color w:val="auto"/>
        </w:rPr>
      </w:pPr>
      <w:r>
        <w:rPr>
          <w:rFonts w:ascii="Arial" w:cs="Arial" w:eastAsia="Arial" w:hAnsi="Arial"/>
          <w:sz w:val="15"/>
          <w:szCs w:val="15"/>
          <w:color w:val="auto"/>
        </w:rPr>
        <w:t>Herriot Tabuteau, M.D.</w:t>
      </w:r>
    </w:p>
    <w:p>
      <w:pPr>
        <w:ind w:left="5660"/>
        <w:spacing w:after="0" w:line="202" w:lineRule="auto"/>
        <w:rPr>
          <w:sz w:val="20"/>
          <w:szCs w:val="20"/>
          <w:color w:val="auto"/>
        </w:rPr>
      </w:pPr>
      <w:r>
        <w:rPr>
          <w:rFonts w:ascii="Arial" w:cs="Arial" w:eastAsia="Arial" w:hAnsi="Arial"/>
          <w:sz w:val="15"/>
          <w:szCs w:val="15"/>
          <w:color w:val="auto"/>
        </w:rPr>
        <w:t>Chief Executive Officer</w:t>
      </w:r>
    </w:p>
    <w:p>
      <w:pPr>
        <w:ind w:left="5660"/>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146685</wp:posOffset>
            </wp:positionV>
            <wp:extent cx="7181215"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5"/>
          <w:szCs w:val="15"/>
          <w:b w:val="1"/>
          <w:bCs w:val="1"/>
          <w:color w:val="auto"/>
        </w:rPr>
        <w:t>Exhibit 31.2</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CERTIFICATION OF PERIODIC REPORT PURSUANT TO SECTION 302 OF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I, Nick Pizzie, certify that:</w:t>
      </w:r>
    </w:p>
    <w:p>
      <w:pPr>
        <w:spacing w:after="0" w:line="163" w:lineRule="exact"/>
        <w:rPr>
          <w:sz w:val="20"/>
          <w:szCs w:val="20"/>
          <w:color w:val="auto"/>
        </w:rPr>
      </w:pPr>
    </w:p>
    <w:p>
      <w:pPr>
        <w:ind w:left="180" w:hanging="171"/>
        <w:spacing w:after="0"/>
        <w:tabs>
          <w:tab w:leader="none" w:pos="1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Axsome Therapeutics, Inc.;</w:t>
      </w:r>
    </w:p>
    <w:p>
      <w:pPr>
        <w:spacing w:after="0" w:line="162" w:lineRule="exact"/>
        <w:rPr>
          <w:rFonts w:ascii="Arial" w:cs="Arial" w:eastAsia="Arial" w:hAnsi="Arial"/>
          <w:sz w:val="15"/>
          <w:szCs w:val="15"/>
          <w:color w:val="auto"/>
        </w:rPr>
      </w:pPr>
    </w:p>
    <w:p>
      <w:pPr>
        <w:ind w:left="320" w:right="520" w:hanging="311"/>
        <w:spacing w:after="0" w:line="255" w:lineRule="auto"/>
        <w:tabs>
          <w:tab w:leader="none" w:pos="183"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ind w:left="320" w:right="620" w:hanging="311"/>
        <w:spacing w:after="0" w:line="255" w:lineRule="auto"/>
        <w:tabs>
          <w:tab w:leader="none" w:pos="183"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5"/>
          <w:szCs w:val="15"/>
          <w:color w:val="auto"/>
        </w:rPr>
      </w:pPr>
    </w:p>
    <w:p>
      <w:pPr>
        <w:ind w:left="320" w:right="160" w:hanging="311"/>
        <w:spacing w:after="0" w:line="255" w:lineRule="auto"/>
        <w:tabs>
          <w:tab w:leader="none" w:pos="183"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5"/>
          <w:szCs w:val="15"/>
          <w:color w:val="auto"/>
        </w:rPr>
      </w:pPr>
    </w:p>
    <w:p>
      <w:pPr>
        <w:jc w:val="both"/>
        <w:ind w:left="780" w:right="80" w:hanging="456"/>
        <w:spacing w:after="0" w:line="244" w:lineRule="auto"/>
        <w:tabs>
          <w:tab w:leader="none" w:pos="780" w:val="left"/>
        </w:tabs>
        <w:numPr>
          <w:ilvl w:val="1"/>
          <w:numId w:val="5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5"/>
          <w:szCs w:val="15"/>
          <w:color w:val="auto"/>
        </w:rPr>
      </w:pPr>
    </w:p>
    <w:p>
      <w:pPr>
        <w:jc w:val="both"/>
        <w:ind w:left="780" w:right="300" w:hanging="456"/>
        <w:spacing w:after="0" w:line="244" w:lineRule="auto"/>
        <w:tabs>
          <w:tab w:leader="none" w:pos="780" w:val="left"/>
        </w:tabs>
        <w:numPr>
          <w:ilvl w:val="1"/>
          <w:numId w:val="5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5"/>
          <w:szCs w:val="15"/>
          <w:color w:val="auto"/>
        </w:rPr>
      </w:pPr>
    </w:p>
    <w:p>
      <w:pPr>
        <w:ind w:left="780" w:right="160" w:hanging="455"/>
        <w:spacing w:after="0" w:line="255" w:lineRule="auto"/>
        <w:tabs>
          <w:tab w:leader="none" w:pos="508" w:val="left"/>
        </w:tabs>
        <w:numPr>
          <w:ilvl w:val="1"/>
          <w:numId w:val="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5"/>
          <w:szCs w:val="15"/>
          <w:color w:val="auto"/>
        </w:rPr>
      </w:pPr>
    </w:p>
    <w:p>
      <w:pPr>
        <w:ind w:left="780" w:right="140" w:hanging="455"/>
        <w:spacing w:after="0" w:line="244" w:lineRule="auto"/>
        <w:tabs>
          <w:tab w:leader="none" w:pos="508" w:val="left"/>
        </w:tabs>
        <w:numPr>
          <w:ilvl w:val="1"/>
          <w:numId w:val="5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5"/>
          <w:szCs w:val="15"/>
          <w:color w:val="auto"/>
        </w:rPr>
      </w:pPr>
    </w:p>
    <w:p>
      <w:pPr>
        <w:ind w:left="320" w:right="320" w:hanging="311"/>
        <w:spacing w:after="0" w:line="255" w:lineRule="auto"/>
        <w:tabs>
          <w:tab w:leader="none" w:pos="183"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Arial" w:cs="Arial" w:eastAsia="Arial" w:hAnsi="Arial"/>
          <w:sz w:val="15"/>
          <w:szCs w:val="15"/>
          <w:color w:val="auto"/>
        </w:rPr>
      </w:pPr>
    </w:p>
    <w:p>
      <w:pPr>
        <w:ind w:left="780" w:right="520" w:hanging="455"/>
        <w:spacing w:after="0" w:line="255" w:lineRule="auto"/>
        <w:tabs>
          <w:tab w:leader="none" w:pos="508" w:val="left"/>
        </w:tabs>
        <w:numPr>
          <w:ilvl w:val="1"/>
          <w:numId w:val="5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5"/>
          <w:szCs w:val="15"/>
          <w:color w:val="auto"/>
        </w:rPr>
      </w:pPr>
    </w:p>
    <w:p>
      <w:pPr>
        <w:ind w:left="500" w:hanging="175"/>
        <w:spacing w:after="0"/>
        <w:tabs>
          <w:tab w:leader="none" w:pos="500" w:val="left"/>
        </w:tabs>
        <w:numPr>
          <w:ilvl w:val="1"/>
          <w:numId w:val="5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3"/>
          <w:szCs w:val="13"/>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3810</wp:posOffset>
            </wp:positionV>
            <wp:extent cx="357441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3574415" cy="6985"/>
                    </a:xfrm>
                    <a:prstGeom prst="rect">
                      <a:avLst/>
                    </a:prstGeom>
                    <a:noFill/>
                  </pic:spPr>
                </pic:pic>
              </a:graphicData>
            </a:graphic>
          </wp:anchor>
        </w:drawing>
      </w:r>
    </w:p>
    <w:p>
      <w:pPr>
        <w:ind w:left="5660"/>
        <w:spacing w:after="0" w:line="227" w:lineRule="auto"/>
        <w:rPr>
          <w:sz w:val="20"/>
          <w:szCs w:val="20"/>
          <w:color w:val="auto"/>
        </w:rPr>
      </w:pPr>
      <w:r>
        <w:rPr>
          <w:rFonts w:ascii="Arial" w:cs="Arial" w:eastAsia="Arial" w:hAnsi="Arial"/>
          <w:sz w:val="15"/>
          <w:szCs w:val="15"/>
          <w:color w:val="auto"/>
        </w:rPr>
        <w:t>Nick Pizzie</w:t>
      </w:r>
    </w:p>
    <w:p>
      <w:pPr>
        <w:ind w:left="5660"/>
        <w:spacing w:after="0" w:line="202" w:lineRule="auto"/>
        <w:rPr>
          <w:sz w:val="20"/>
          <w:szCs w:val="20"/>
          <w:color w:val="auto"/>
        </w:rPr>
      </w:pPr>
      <w:r>
        <w:rPr>
          <w:rFonts w:ascii="Arial" w:cs="Arial" w:eastAsia="Arial" w:hAnsi="Arial"/>
          <w:sz w:val="15"/>
          <w:szCs w:val="15"/>
          <w:color w:val="auto"/>
        </w:rPr>
        <w:t>Chief Financial Officer</w:t>
      </w:r>
    </w:p>
    <w:p>
      <w:pPr>
        <w:ind w:left="5660"/>
        <w:spacing w:after="0"/>
        <w:rPr>
          <w:sz w:val="20"/>
          <w:szCs w:val="20"/>
          <w:color w:val="auto"/>
        </w:rPr>
      </w:pPr>
      <w:r>
        <w:rPr>
          <w:rFonts w:ascii="Arial" w:cs="Arial" w:eastAsia="Arial" w:hAnsi="Arial"/>
          <w:sz w:val="15"/>
          <w:szCs w:val="15"/>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146685</wp:posOffset>
            </wp:positionV>
            <wp:extent cx="7181215" cy="393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239395</wp:posOffset>
            </wp:positionV>
            <wp:extent cx="7181215" cy="393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rFonts w:ascii="Arial" w:cs="Arial" w:eastAsia="Arial" w:hAnsi="Arial"/>
          <w:sz w:val="15"/>
          <w:szCs w:val="15"/>
          <w:b w:val="1"/>
          <w:bCs w:val="1"/>
          <w:color w:val="auto"/>
        </w:rPr>
        <w:t>Exhibit 32.1</w:t>
      </w:r>
    </w:p>
    <w:p>
      <w:pPr>
        <w:spacing w:after="0" w:line="163" w:lineRule="exact"/>
        <w:rPr>
          <w:sz w:val="20"/>
          <w:szCs w:val="20"/>
          <w:color w:val="auto"/>
        </w:rPr>
      </w:pPr>
    </w:p>
    <w:p>
      <w:pPr>
        <w:ind w:left="3680"/>
        <w:spacing w:after="0"/>
        <w:rPr>
          <w:sz w:val="20"/>
          <w:szCs w:val="20"/>
          <w:color w:val="auto"/>
        </w:rPr>
      </w:pPr>
      <w:r>
        <w:rPr>
          <w:rFonts w:ascii="Arial" w:cs="Arial" w:eastAsia="Arial" w:hAnsi="Arial"/>
          <w:sz w:val="15"/>
          <w:szCs w:val="15"/>
          <w:b w:val="1"/>
          <w:bCs w:val="1"/>
          <w:color w:val="auto"/>
        </w:rPr>
        <w:t>STATEMENT OF PRINCIPAL EXECUTIVE OFFICER OF</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AXSOME THERAPEUTICS, INC.</w:t>
      </w:r>
    </w:p>
    <w:p>
      <w:pPr>
        <w:ind w:left="4240"/>
        <w:spacing w:after="0" w:line="233" w:lineRule="auto"/>
        <w:rPr>
          <w:sz w:val="20"/>
          <w:szCs w:val="20"/>
          <w:color w:val="auto"/>
        </w:rPr>
      </w:pPr>
      <w:r>
        <w:rPr>
          <w:rFonts w:ascii="Arial" w:cs="Arial" w:eastAsia="Arial" w:hAnsi="Arial"/>
          <w:sz w:val="15"/>
          <w:szCs w:val="15"/>
          <w:b w:val="1"/>
          <w:bCs w:val="1"/>
          <w:color w:val="auto"/>
        </w:rPr>
        <w:t>PURSUANT TO 18 U.S.C. SECTION 1350,</w:t>
      </w:r>
    </w:p>
    <w:p>
      <w:pPr>
        <w:ind w:left="4600"/>
        <w:spacing w:after="0" w:line="233" w:lineRule="auto"/>
        <w:rPr>
          <w:sz w:val="20"/>
          <w:szCs w:val="20"/>
          <w:color w:val="auto"/>
        </w:rPr>
      </w:pPr>
      <w:r>
        <w:rPr>
          <w:rFonts w:ascii="Arial" w:cs="Arial" w:eastAsia="Arial" w:hAnsi="Arial"/>
          <w:sz w:val="15"/>
          <w:szCs w:val="15"/>
          <w:b w:val="1"/>
          <w:bCs w:val="1"/>
          <w:color w:val="auto"/>
        </w:rPr>
        <w:t>AS ADOPTED PURSUANT TO</w:t>
      </w:r>
    </w:p>
    <w:p>
      <w:pPr>
        <w:ind w:left="3720"/>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51" w:lineRule="exact"/>
        <w:rPr>
          <w:sz w:val="20"/>
          <w:szCs w:val="20"/>
          <w:color w:val="auto"/>
        </w:rPr>
      </w:pPr>
    </w:p>
    <w:p>
      <w:pPr>
        <w:ind w:right="40" w:firstLine="500"/>
        <w:spacing w:after="0" w:line="244" w:lineRule="auto"/>
        <w:rPr>
          <w:sz w:val="20"/>
          <w:szCs w:val="20"/>
          <w:color w:val="auto"/>
        </w:rPr>
      </w:pPr>
      <w:r>
        <w:rPr>
          <w:rFonts w:ascii="Arial" w:cs="Arial" w:eastAsia="Arial" w:hAnsi="Arial"/>
          <w:sz w:val="15"/>
          <w:szCs w:val="15"/>
          <w:color w:val="auto"/>
        </w:rPr>
        <w:t>In connection with the annual report of Axsome Therapeutics, Inc. (the “Company”) on Form 10-K for the year ended December 31, 2021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44" w:lineRule="exact"/>
        <w:rPr>
          <w:sz w:val="20"/>
          <w:szCs w:val="20"/>
          <w:color w:val="auto"/>
        </w:rPr>
      </w:pPr>
    </w:p>
    <w:p>
      <w:pPr>
        <w:ind w:left="780" w:hanging="275"/>
        <w:spacing w:after="0"/>
        <w:tabs>
          <w:tab w:leader="none" w:pos="7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62" w:lineRule="exact"/>
        <w:rPr>
          <w:rFonts w:ascii="Arial" w:cs="Arial" w:eastAsia="Arial" w:hAnsi="Arial"/>
          <w:sz w:val="15"/>
          <w:szCs w:val="15"/>
          <w:color w:val="auto"/>
        </w:rPr>
      </w:pPr>
    </w:p>
    <w:p>
      <w:pPr>
        <w:ind w:left="780" w:hanging="275"/>
        <w:spacing w:after="0"/>
        <w:tabs>
          <w:tab w:leader="none" w:pos="7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3"/>
          <w:szCs w:val="13"/>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3810</wp:posOffset>
            </wp:positionV>
            <wp:extent cx="357441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3574415" cy="6985"/>
                    </a:xfrm>
                    <a:prstGeom prst="rect">
                      <a:avLst/>
                    </a:prstGeom>
                    <a:noFill/>
                  </pic:spPr>
                </pic:pic>
              </a:graphicData>
            </a:graphic>
          </wp:anchor>
        </w:drawing>
      </w:r>
    </w:p>
    <w:p>
      <w:pPr>
        <w:ind w:left="5660"/>
        <w:spacing w:after="0" w:line="227" w:lineRule="auto"/>
        <w:rPr>
          <w:sz w:val="20"/>
          <w:szCs w:val="20"/>
          <w:color w:val="auto"/>
        </w:rPr>
      </w:pPr>
      <w:r>
        <w:rPr>
          <w:rFonts w:ascii="Arial" w:cs="Arial" w:eastAsia="Arial" w:hAnsi="Arial"/>
          <w:sz w:val="15"/>
          <w:szCs w:val="15"/>
          <w:color w:val="auto"/>
        </w:rPr>
        <w:t>Herriot Tabuteau, M.D.</w:t>
      </w:r>
    </w:p>
    <w:p>
      <w:pPr>
        <w:ind w:left="5660"/>
        <w:spacing w:after="0" w:line="202" w:lineRule="auto"/>
        <w:rPr>
          <w:sz w:val="20"/>
          <w:szCs w:val="20"/>
          <w:color w:val="auto"/>
        </w:rPr>
      </w:pPr>
      <w:r>
        <w:rPr>
          <w:rFonts w:ascii="Arial" w:cs="Arial" w:eastAsia="Arial" w:hAnsi="Arial"/>
          <w:sz w:val="15"/>
          <w:szCs w:val="15"/>
          <w:color w:val="auto"/>
        </w:rPr>
        <w:t>Chief Executive Officer</w:t>
      </w:r>
    </w:p>
    <w:p>
      <w:pPr>
        <w:ind w:left="5660"/>
        <w:spacing w:after="0"/>
        <w:rPr>
          <w:sz w:val="20"/>
          <w:szCs w:val="20"/>
          <w:color w:val="auto"/>
        </w:rPr>
      </w:pPr>
      <w:r>
        <w:rPr>
          <w:rFonts w:ascii="Arial" w:cs="Arial" w:eastAsia="Arial" w:hAnsi="Arial"/>
          <w:sz w:val="15"/>
          <w:szCs w:val="15"/>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252730</wp:posOffset>
            </wp:positionV>
            <wp:extent cx="7181215" cy="393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5"/>
          <w:szCs w:val="15"/>
          <w:b w:val="1"/>
          <w:bCs w:val="1"/>
          <w:color w:val="auto"/>
        </w:rPr>
        <w:t>Exhibit 32.2</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STATEMENT OF PRINCIPAL FINANCIAL OFFICER OF</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AXSOME THERAPEUTICS, INC.</w:t>
      </w:r>
    </w:p>
    <w:p>
      <w:pPr>
        <w:jc w:val="center"/>
        <w:ind w:right="40"/>
        <w:spacing w:after="0" w:line="233" w:lineRule="auto"/>
        <w:rPr>
          <w:sz w:val="20"/>
          <w:szCs w:val="20"/>
          <w:color w:val="auto"/>
        </w:rPr>
      </w:pPr>
      <w:r>
        <w:rPr>
          <w:rFonts w:ascii="Arial" w:cs="Arial" w:eastAsia="Arial" w:hAnsi="Arial"/>
          <w:sz w:val="15"/>
          <w:szCs w:val="15"/>
          <w:b w:val="1"/>
          <w:bCs w:val="1"/>
          <w:color w:val="auto"/>
        </w:rPr>
        <w:t>PURSUANT TO 18 U.S.C. SECTION 1350,</w:t>
      </w:r>
    </w:p>
    <w:p>
      <w:pPr>
        <w:jc w:val="center"/>
        <w:ind w:right="40"/>
        <w:spacing w:after="0" w:line="233" w:lineRule="auto"/>
        <w:rPr>
          <w:sz w:val="20"/>
          <w:szCs w:val="20"/>
          <w:color w:val="auto"/>
        </w:rPr>
      </w:pPr>
      <w:r>
        <w:rPr>
          <w:rFonts w:ascii="Arial" w:cs="Arial" w:eastAsia="Arial" w:hAnsi="Arial"/>
          <w:sz w:val="15"/>
          <w:szCs w:val="15"/>
          <w:b w:val="1"/>
          <w:bCs w:val="1"/>
          <w:color w:val="auto"/>
        </w:rPr>
        <w:t>AS ADOPTED PURSUANT TO</w:t>
      </w: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51" w:lineRule="exact"/>
        <w:rPr>
          <w:sz w:val="20"/>
          <w:szCs w:val="20"/>
          <w:color w:val="auto"/>
        </w:rPr>
      </w:pPr>
    </w:p>
    <w:p>
      <w:pPr>
        <w:ind w:right="40" w:firstLine="500"/>
        <w:spacing w:after="0" w:line="244" w:lineRule="auto"/>
        <w:rPr>
          <w:sz w:val="20"/>
          <w:szCs w:val="20"/>
          <w:color w:val="auto"/>
        </w:rPr>
      </w:pPr>
      <w:r>
        <w:rPr>
          <w:rFonts w:ascii="Arial" w:cs="Arial" w:eastAsia="Arial" w:hAnsi="Arial"/>
          <w:sz w:val="15"/>
          <w:szCs w:val="15"/>
          <w:color w:val="auto"/>
        </w:rPr>
        <w:t>In connection with the annual report of Axsome Therapeutics, Inc. (the “Company”) on Form 10-K for the year ended December 31, 2021 as filed with the Securities and Exchange Commission (the “Report”), I, Nick Pizzie, Chief Financial Officer of the Company, certify, pursuant to 18 U.S.C. §1350, as adopted pursuant to §906 of the Sarbanes-Oxley Act of 2002, that, based on my knowledge:</w:t>
      </w:r>
    </w:p>
    <w:p>
      <w:pPr>
        <w:spacing w:after="0" w:line="144" w:lineRule="exact"/>
        <w:rPr>
          <w:sz w:val="20"/>
          <w:szCs w:val="20"/>
          <w:color w:val="auto"/>
        </w:rPr>
      </w:pPr>
    </w:p>
    <w:p>
      <w:pPr>
        <w:ind w:left="780" w:hanging="275"/>
        <w:spacing w:after="0"/>
        <w:tabs>
          <w:tab w:leader="none" w:pos="7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62" w:lineRule="exact"/>
        <w:rPr>
          <w:rFonts w:ascii="Arial" w:cs="Arial" w:eastAsia="Arial" w:hAnsi="Arial"/>
          <w:sz w:val="15"/>
          <w:szCs w:val="15"/>
          <w:color w:val="auto"/>
        </w:rPr>
      </w:pPr>
    </w:p>
    <w:p>
      <w:pPr>
        <w:ind w:left="780" w:hanging="275"/>
        <w:spacing w:after="0"/>
        <w:tabs>
          <w:tab w:leader="none" w:pos="7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5"/>
          <w:szCs w:val="15"/>
          <w:color w:val="auto"/>
        </w:rPr>
        <w:t>Date: March 1, 2022</w:t>
      </w:r>
      <w:r>
        <w:rPr>
          <w:sz w:val="20"/>
          <w:szCs w:val="20"/>
          <w:color w:val="auto"/>
        </w:rPr>
        <w:tab/>
      </w:r>
      <w:r>
        <w:rPr>
          <w:rFonts w:ascii="Arial" w:cs="Arial" w:eastAsia="Arial" w:hAnsi="Arial"/>
          <w:sz w:val="13"/>
          <w:szCs w:val="13"/>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3810</wp:posOffset>
            </wp:positionV>
            <wp:extent cx="357441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3574415" cy="6985"/>
                    </a:xfrm>
                    <a:prstGeom prst="rect">
                      <a:avLst/>
                    </a:prstGeom>
                    <a:noFill/>
                  </pic:spPr>
                </pic:pic>
              </a:graphicData>
            </a:graphic>
          </wp:anchor>
        </w:drawing>
      </w:r>
    </w:p>
    <w:p>
      <w:pPr>
        <w:ind w:left="5660"/>
        <w:spacing w:after="0" w:line="227" w:lineRule="auto"/>
        <w:rPr>
          <w:sz w:val="20"/>
          <w:szCs w:val="20"/>
          <w:color w:val="auto"/>
        </w:rPr>
      </w:pPr>
      <w:r>
        <w:rPr>
          <w:rFonts w:ascii="Arial" w:cs="Arial" w:eastAsia="Arial" w:hAnsi="Arial"/>
          <w:sz w:val="15"/>
          <w:szCs w:val="15"/>
          <w:color w:val="auto"/>
        </w:rPr>
        <w:t>Nick Pizzie</w:t>
      </w:r>
    </w:p>
    <w:p>
      <w:pPr>
        <w:ind w:left="5660"/>
        <w:spacing w:after="0" w:line="202" w:lineRule="auto"/>
        <w:rPr>
          <w:sz w:val="20"/>
          <w:szCs w:val="20"/>
          <w:color w:val="auto"/>
        </w:rPr>
      </w:pPr>
      <w:r>
        <w:rPr>
          <w:rFonts w:ascii="Arial" w:cs="Arial" w:eastAsia="Arial" w:hAnsi="Arial"/>
          <w:sz w:val="15"/>
          <w:szCs w:val="15"/>
          <w:color w:val="auto"/>
        </w:rPr>
        <w:t>Chief Financial Officer</w:t>
      </w:r>
    </w:p>
    <w:p>
      <w:pPr>
        <w:ind w:left="5660"/>
        <w:spacing w:after="0"/>
        <w:rPr>
          <w:sz w:val="20"/>
          <w:szCs w:val="20"/>
          <w:color w:val="auto"/>
        </w:rPr>
      </w:pPr>
      <w:r>
        <w:rPr>
          <w:rFonts w:ascii="Arial" w:cs="Arial" w:eastAsia="Arial" w:hAnsi="Arial"/>
          <w:sz w:val="15"/>
          <w:szCs w:val="15"/>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252730</wp:posOffset>
            </wp:positionV>
            <wp:extent cx="7181215"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18121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5" w:name="page156"/>
    <w:bookmarkEnd w:id="1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2"/>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lowerRoman"/>
      <w:start w:val="2"/>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3"/>
    </w:lvl>
  </w:abstractNum>
  <w:abstractNum w:abstractNumId="47">
    <w:nsid w:val="70C6A529"/>
    <w:multiLevelType w:val="hybridMultilevel"/>
    <w:lvl w:ilvl="0">
      <w:lvlJc w:val="left"/>
      <w:lvlText w:val="(%1)"/>
      <w:numFmt w:val="lowerRoman"/>
      <w:start w:val="3"/>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lvl w:ilvl="1">
      <w:lvlJc w:val="left"/>
      <w:lvlText w:val="%2"/>
      <w:numFmt w:val="decimal"/>
      <w:start w:val="104"/>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05" Type="http://schemas.openxmlformats.org/officeDocument/2006/relationships/hyperlink" Target="https://www.sec.gov/Archives/edgar/data/1579428/000110465915081125/a15-24048_1ex3d1.htm" TargetMode="External"/><Relationship Id="rId406" Type="http://schemas.openxmlformats.org/officeDocument/2006/relationships/hyperlink" Target="https://www.sec.gov/Archives/edgar/data/1579428/000110465915081125/a15-24048_1ex3d2.htm" TargetMode="External"/><Relationship Id="rId407" Type="http://schemas.openxmlformats.org/officeDocument/2006/relationships/hyperlink" Target="https://www.sec.gov/Archives/edgar/data/1579428/000104746915008199/a2226320zex-4_1.htm" TargetMode="External"/><Relationship Id="rId408" Type="http://schemas.openxmlformats.org/officeDocument/2006/relationships/hyperlink" Target="https://www.sec.gov/Archives/edgar/data/1579428/000104746915007821/a2226220zex-4_2.htm" TargetMode="External"/><Relationship Id="rId409" Type="http://schemas.openxmlformats.org/officeDocument/2006/relationships/hyperlink" Target="https://www.sec.gov/Archives/edgar/data/1579428/000104746915007821/a2226220zex-4_3.htm" TargetMode="External"/><Relationship Id="rId410" Type="http://schemas.openxmlformats.org/officeDocument/2006/relationships/hyperlink" Target="https://www.sec.gov/Archives/edgar/data/1579428/000110465917071533/a17-27901_1ex4d1.htm" TargetMode="External"/><Relationship Id="rId411" Type="http://schemas.openxmlformats.org/officeDocument/2006/relationships/hyperlink" Target="https://www.sec.gov/Archives/edgar/data/1579428/000155837020012949/axsm-20200930xex10d4.htm" TargetMode="External"/><Relationship Id="rId412" Type="http://schemas.openxmlformats.org/officeDocument/2006/relationships/hyperlink" Target="https://www.sec.gov/Archives/edgar/data/1579428/000155837020002573/axsm-20191231ex4132a1d5e.htm" TargetMode="External"/><Relationship Id="rId413" Type="http://schemas.openxmlformats.org/officeDocument/2006/relationships/hyperlink" Target="https://www.sec.gov/Archives/edgar/data/1579428/000104746915007821/a2226220zex-10_1.htm" TargetMode="External"/><Relationship Id="rId414" Type="http://schemas.openxmlformats.org/officeDocument/2006/relationships/hyperlink" Target="https://www.sec.gov/Archives/edgar/data/1579428/000155837020010231/axsm-20200630xex10d2.htm" TargetMode="External"/><Relationship Id="rId415" Type="http://schemas.openxmlformats.org/officeDocument/2006/relationships/hyperlink" Target="https://www.sec.gov/Archives/edgar/data/1579428/000110465915085196/a15-24973_1ex99d2.htm" TargetMode="External"/><Relationship Id="rId416" Type="http://schemas.openxmlformats.org/officeDocument/2006/relationships/hyperlink" Target="https://www.sec.gov/Archives/edgar/data/1579428/000155837020006307/axsm-20200508xex99d3.htm" TargetMode="External"/><Relationship Id="rId417" Type="http://schemas.openxmlformats.org/officeDocument/2006/relationships/hyperlink" Target="https://www.sec.gov/Archives/edgar/data/1579428/000155837020006307/axsm-20200508xex99d4.htm" TargetMode="External"/><Relationship Id="rId420" Type="http://schemas.openxmlformats.org/officeDocument/2006/relationships/hyperlink" Target="https://www.sec.gov/Archives/edgar/data/1579428/000104746915007821/a2226220zex-10_2.htm" TargetMode="External"/><Relationship Id="rId421" Type="http://schemas.openxmlformats.org/officeDocument/2006/relationships/hyperlink" Target="https://www.sec.gov/Archives/edgar/data/1579428/000104746915007821/a2226220zex-10_4.htm" TargetMode="External"/><Relationship Id="rId422" Type="http://schemas.openxmlformats.org/officeDocument/2006/relationships/hyperlink" Target="https://www.sec.gov/Archives/edgar/data/1579428/000104746915007821/a2226220zex-10_5.htm" TargetMode="External"/><Relationship Id="rId423" Type="http://schemas.openxmlformats.org/officeDocument/2006/relationships/hyperlink" Target="https://www.sec.gov/Archives/edgar/data/1579428/000110465917071533/a17-27901_1ex10d1.htm" TargetMode="External"/><Relationship Id="rId424" Type="http://schemas.openxmlformats.org/officeDocument/2006/relationships/hyperlink" Target="https://www.sec.gov/Archives/edgar/data/1579428/000155837018004333/axsm-20180331ex101d19ec4.htm" TargetMode="External"/><Relationship Id="rId425" Type="http://schemas.openxmlformats.org/officeDocument/2006/relationships/hyperlink" Target="https://www.sec.gov/Archives/edgar/data/1579428/000110465918059225/a18-36094_1ex10d1.htm" TargetMode="External"/><Relationship Id="rId426" Type="http://schemas.openxmlformats.org/officeDocument/2006/relationships/hyperlink" Target="https://www.sec.gov/Archives/edgar/data/1579428/000155837020002573/axsm-20191231ex1015f938b.htm" TargetMode="External"/><Relationship Id="rId427" Type="http://schemas.openxmlformats.org/officeDocument/2006/relationships/hyperlink" Target="https://www.sec.gov/Archives/edgar/data/1579428/000110465920003255/tm203196d1_ex10-1.htm" TargetMode="External"/><Relationship Id="rId428" Type="http://schemas.openxmlformats.org/officeDocument/2006/relationships/hyperlink" Target="https://www.sec.gov/Archives/edgar/data/1579428/000155837020010231/axsm-20200630xex10d1.htm" TargetMode="External"/><Relationship Id="rId429" Type="http://schemas.openxmlformats.org/officeDocument/2006/relationships/hyperlink" Target="https://www.sec.gov/Archives/edgar/data/1579428/000155837020013181/axsm-20200930xex10d2.htm" TargetMode="External"/><Relationship Id="rId430" Type="http://schemas.openxmlformats.org/officeDocument/2006/relationships/hyperlink" Target="https://www.sec.gov/Archives/edgar/data/1579428/000155837020012949/axsm-20200930xex10d3.htm" TargetMode="External"/><Relationship Id="rId431" Type="http://schemas.openxmlformats.org/officeDocument/2006/relationships/hyperlink" Target="https://www.sec.gov/Archives/edgar/data/0001579428/000095017021003466/axsm-ex10_1.htm" TargetMode="External"/><Relationship Id="rId432" Type="http://schemas.openxmlformats.org/officeDocument/2006/relationships/hyperlink" Target="https://www.sec.gov/Archives/edgar/data/1579428/000155837020012949/axsm-20200930xex10d5.htm" TargetMode="External"/><Relationship Id="rId433" Type="http://schemas.openxmlformats.org/officeDocument/2006/relationships/hyperlink" Target="https://www.sec.gov/Archives/edgar/data/1579428/000104746915007821/a222622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2022-03-01T16:26:01Z</dcterms:created>
  <dcterms:modified xsi:type="dcterms:W3CDTF">2022-03-01T16:26:01Z</dcterms:modified>
</cp:coreProperties>
</file>