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120" w:type="dxa"/>
        <w:tblCellMar>
          <w:top w:w="0" w:type="dxa"/>
          <w:left w:w="0" w:type="dxa"/>
          <w:bottom w:w="0" w:type="dxa"/>
          <w:right w:w="0" w:type="dxa"/>
        </w:tblCellMar>
      </w:tblPr>
      <w:tr>
        <w:trPr>
          <w:trHeight w:val="186"/>
        </w:trPr>
        <w:tc>
          <w:tcPr>
            <w:tcW w:w="3380" w:type="dxa"/>
            <w:vAlign w:val="bottom"/>
          </w:tcPr>
          <w:p>
            <w:pPr>
              <w:jc w:val="center"/>
              <w:ind w:right="90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6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20" w:type="dxa"/>
            <w:vAlign w:val="bottom"/>
          </w:tcPr>
          <w:p>
            <w:pPr>
              <w:jc w:val="right"/>
              <w:ind w:right="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80" w:type="dxa"/>
            <w:vAlign w:val="bottom"/>
          </w:tcPr>
          <w:p>
            <w:pPr>
              <w:jc w:val="center"/>
              <w:ind w:right="92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8"/>
        </w:trPr>
        <w:tc>
          <w:tcPr>
            <w:tcW w:w="3380" w:type="dxa"/>
            <w:vAlign w:val="bottom"/>
          </w:tcPr>
          <w:p>
            <w:pPr>
              <w:jc w:val="center"/>
              <w:ind w:right="92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right="140" w:firstLine="749"/>
        <w:spacing w:after="0" w:line="250" w:lineRule="auto"/>
        <w:rPr>
          <w:sz w:val="20"/>
          <w:szCs w:val="20"/>
          <w:color w:val="auto"/>
        </w:rPr>
      </w:pPr>
      <w:r>
        <w:rPr>
          <w:rFonts w:ascii="Times New Roman" w:cs="Times New Roman" w:eastAsia="Times New Roman" w:hAnsi="Times New Roman"/>
          <w:sz w:val="18"/>
          <w:szCs w:val="18"/>
          <w:color w:val="auto"/>
        </w:rPr>
        <w:t>On May 2, 2022, Axsome Therapeutics, Inc. (the “Company”) issued a press release announcing its financial results for the three months ended March 31, 2022 and provided an update on the Company’s operations. The Company is furnishing a copy of the press release, which is attached hereto as Exhibit 99.1.</w:t>
      </w:r>
    </w:p>
    <w:p>
      <w:pPr>
        <w:spacing w:after="0" w:line="15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2"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On April 29, 2022, the Company received a Complete Response Letter (the “CRL”) from the U.S. Food and Drug Administration (the “FDA”) regarding its New Drug Application (the “NDA”) for AXS-07 for the acute treatment of migraine. The CRL did not identify or raise any concerns about the clinical efficacy or safety data in the NDA, and the FDA did not request any new clinical trials to support the approval of AXS-07. The principal reasons given in the CRL relate to chemistry, manufacturing, and controls (CMC) considerations. The Company believes that the issues raised in the CRL are addressable and intends to provide potential timing for a resubmission following consultation with the FDA. The Company issued a press release announcing the CRL on May 2, 2022, which is attached hereto as Exhibit 99.2.</w:t>
      </w:r>
    </w:p>
    <w:p>
      <w:pPr>
        <w:spacing w:after="0" w:line="139"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In March 2022, the Company previously announced that the Company entered into a definitive agreement to acquire Sunosi® (solriamfetol) from Jazz Pharmaceuticals. The waiting period applicable to the acquisition under the Hart-Scott-Rodino Antitrust Improvements Act of 1976 expired as of April 29, 2022. As previously disclosed, the transaction is structured to be completed in sequential closings for the U.S. and ex-U.S. territories. The Company expects the U.S. transaction to close in the second quarter of 2022, and the ex-U.S. transaction to close within 60 days following the U.S. transaction close.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1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Q1 2022 Press Release dated May 2, 2022.</w:t>
            </w: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CRL Press Release dated May 2, 2022.</w:t>
            </w:r>
          </w:p>
        </w:tc>
        <w:tc>
          <w:tcPr>
            <w:tcW w:w="20" w:type="dxa"/>
            <w:vAlign w:val="bottom"/>
            <w:tcBorders>
              <w:top w:val="single" w:sz="8" w:color="0000FF"/>
              <w:bottom w:val="single" w:sz="8" w:color="0000EE"/>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120" w:type="dxa"/>
            <w:vAlign w:val="bottom"/>
          </w:tcPr>
          <w:p>
            <w:pPr>
              <w:spacing w:after="0"/>
              <w:rPr>
                <w:sz w:val="17"/>
                <w:szCs w:val="17"/>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20"/>
        </w:trPr>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 2022</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3640" w:type="dxa"/>
            <w:vAlign w:val="bottom"/>
          </w:tcPr>
          <w:p>
            <w:pPr>
              <w:spacing w:after="0"/>
              <w:rPr>
                <w:sz w:val="13"/>
                <w:szCs w:val="13"/>
                <w:color w:val="auto"/>
              </w:rPr>
            </w:pPr>
          </w:p>
        </w:tc>
        <w:tc>
          <w:tcPr>
            <w:tcW w:w="2660" w:type="dxa"/>
            <w:vAlign w:val="bottom"/>
          </w:tcPr>
          <w:p>
            <w:pPr>
              <w:ind w:left="202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3640" w:type="dxa"/>
            <w:vAlign w:val="bottom"/>
          </w:tcPr>
          <w:p>
            <w:pPr>
              <w:spacing w:after="0"/>
              <w:rPr>
                <w:sz w:val="21"/>
                <w:szCs w:val="21"/>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79"/>
        </w:trPr>
        <w:tc>
          <w:tcPr>
            <w:tcW w:w="36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2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-101600</wp:posOffset>
            </wp:positionV>
            <wp:extent cx="1354455" cy="762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445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First Quarter 2022 Financial Results and Provides Business Update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May 2, 2022 /PRNewswire/ – Axsome Therapeutics, Inc. (NASDAQ: AXSM), a biopharmaceutical company developing novel therapies for the management of central nervous system (CNS) disorders, today reported financial results for the first quarter ended March 31, 2022.</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“Axsome is poised to transform into a commercial entity potentially as early as this month, a direct result of our dedicated team’s focused execution. Between pending FDA action on our NDA for AXS-05 in depression and the expected closing of our acquisition of Sunosi, Axsome is well-positioned to potentially make two important new medicines available to patients living with serious CNS disorders in the coming months,” said Herriot Tabuteau, MD, Chief Executive Officer of Axsome. “With regards to AXS-07 for migraine, we look forward to engaging with the FDA to address the issues in the recent complete response letter, with the goal of an expeditious resubmission of that NDA. The rest of our rich pipeline continues to progress with an NDA filing for AXS-14 in fibromyalgia, and topline results from our Phase 3 trials of AXS-12 in narcolepsy and AXS-05 in Alzheimer’s disease agitation anticipated in 2023.”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Axsome is committed to developing medicines that meaningfully improve the lives of patients living with CNS disorders. The Company is advancing a portfolio of differentiated, patent-protected, CNS product candidates with four in active clinical development.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the following indications: major depressive disorder (MDD), Alzheimer’s disease (AD) agitation, and smoking cessation. AXS-05 has been granted U.S. Food and Drug Administration (FDA) Breakthrough Therapy designations for MDD and for AD agitation.</w:t>
      </w:r>
    </w:p>
    <w:p>
      <w:pPr>
        <w:spacing w:after="0" w:line="54" w:lineRule="exact"/>
        <w:rPr>
          <w:sz w:val="20"/>
          <w:szCs w:val="20"/>
          <w:color w:val="auto"/>
        </w:rPr>
      </w:pPr>
    </w:p>
    <w:p>
      <w:pPr>
        <w:jc w:val="both"/>
        <w:ind w:left="1020" w:hanging="503"/>
        <w:spacing w:after="0" w:line="252"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Axsome’s New Drug Application (NDA) for AXS-05 for the treatment of MDD was granted Priority Review and is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under review by the FDA. The Company has received and agreed to Postmarketing Requirements/Commitments proposed by the FDA. Based on this interaction, the Company anticipates potential FDA action on the NDA in the second quarter of 2022.</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Axsome is conducting the ACCORD study, a Phase 3,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randomized withdrawal trial to evaluate the efficacy and safety of AXS-05 in the treatment of Alzheimer’s disease (AD) agitation. The Company is evaluating the design of the study and will provide an update following consultation with the FDA.</w:t>
      </w:r>
    </w:p>
    <w:p>
      <w:pPr>
        <w:spacing w:after="0" w:line="61"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proceed to a pivotal Phase 2/3 trial in this indication. The Company intends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on the timing of initiation of this study in 2022.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AXS-07</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59" w:lineRule="exact"/>
        <w:rPr>
          <w:sz w:val="20"/>
          <w:szCs w:val="20"/>
          <w:color w:val="auto"/>
        </w:rPr>
      </w:pPr>
    </w:p>
    <w:p>
      <w:pPr>
        <w:jc w:val="both"/>
        <w:ind w:left="1020" w:hanging="503"/>
        <w:spacing w:after="0" w:line="24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Axsome received a Complete Response Letter (CRL) from the FDA regarding its NDA for AXS-07 for the acute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The CRL did not identify or raise any concerns about the clinical efficacy or safety data in the NDA and the FDA did not request any new clinical trials to support the approval of AXS-07. The principal reasons given in the CRL relate to chemistry, manufacturing, and controls (CMC) considerations. The Company believes that the issues raised in the CRL are addressable, and intends to provide potential timing for a resubmission following consultation with the FDA.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AXS-12 (reboxetine) is Axsome’s novel, oral, potent, and highly selective norepinephrine reuptake inhibitor for the treatment of narcolepsy.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AXS-12 has been granted FDA Orphan Drug designation for the treatment of narcolepsy.</w:t>
      </w:r>
    </w:p>
    <w:p>
      <w:pPr>
        <w:spacing w:after="0" w:line="86" w:lineRule="exact"/>
        <w:rPr>
          <w:sz w:val="20"/>
          <w:szCs w:val="20"/>
          <w:color w:val="auto"/>
        </w:rPr>
      </w:pPr>
    </w:p>
    <w:p>
      <w:pPr>
        <w:jc w:val="both"/>
        <w:ind w:left="1020" w:right="2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conducting the SYMPHONY study, a Phase 3 randomized, multicenter, double-blind, placebo-controlled, parallel-group trial of AXS-12 in the treatment of narcolepsy. Enrollment in the trial is progressing and topline results are anticipated in the first half of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AXS-14 (esreboxetine) is Axsome’s novel, oral, potent, and highly selective norepinephrine reuptake inhibitor for the management of fibromyalgia. Esreboxetine, the SS-enantiomer of reboxetine, is more potent and selective than racemic reboxetine.</w:t>
      </w:r>
    </w:p>
    <w:p>
      <w:pPr>
        <w:spacing w:after="0" w:line="59" w:lineRule="exact"/>
        <w:rPr>
          <w:sz w:val="20"/>
          <w:szCs w:val="20"/>
          <w:color w:val="auto"/>
        </w:rPr>
      </w:pPr>
    </w:p>
    <w:p>
      <w:pPr>
        <w:jc w:val="both"/>
        <w:ind w:left="1020" w:hanging="503"/>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Manufacturing and other activities related to the planned submission of an NDA for AXS-14 for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fibromyalgia are ongoing. The Company expects to submit the NDA in 2023. AXS-14 has previously met the primary endpoints and demonstrated positive and statistically significant results in a Phase 3 and in a Phase 2 trial for the management of fibromyalgia.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02" w:lineRule="exact"/>
        <w:rPr>
          <w:sz w:val="20"/>
          <w:szCs w:val="20"/>
          <w:color w:val="auto"/>
        </w:rPr>
      </w:pPr>
    </w:p>
    <w:p>
      <w:pPr>
        <w:jc w:val="both"/>
        <w:ind w:left="10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2022, Axsome announced that the Company entered into a definitive agreement to acquire Sunosi® (solriamfetol) from Jazz Pharmaceuticals (NASDAQ: JAZZ). Sunosi is a dual-acting dopamine and norepinephrine reuptake inhibitor (DNRI) indicated to improve wakefulness in adult patients with excessive daytime sleepiness (EDS) due to narcolepsy or obstructive sleep apnea (OSA). Sunosi net sales were $57.9 million in 2021, representing year-over-year growth of 104%.</w:t>
      </w:r>
    </w:p>
    <w:p>
      <w:pPr>
        <w:spacing w:after="0" w:line="169" w:lineRule="exact"/>
        <w:rPr>
          <w:rFonts w:ascii="Times New Roman" w:cs="Times New Roman" w:eastAsia="Times New Roman" w:hAnsi="Times New Roman"/>
          <w:sz w:val="18"/>
          <w:szCs w:val="18"/>
          <w:color w:val="auto"/>
        </w:rPr>
      </w:pPr>
    </w:p>
    <w:p>
      <w:pPr>
        <w:jc w:val="both"/>
        <w:ind w:left="1020"/>
        <w:spacing w:after="0" w:line="252" w:lineRule="auto"/>
        <w:rPr>
          <w:rFonts w:ascii="Times New Roman" w:cs="Times New Roman" w:eastAsia="Times New Roman" w:hAnsi="Times New Roman"/>
          <w:sz w:val="18"/>
          <w:szCs w:val="18"/>
          <w:color w:val="auto"/>
        </w:rPr>
      </w:pPr>
      <w:r>
        <w:rPr>
          <w:rFonts w:ascii="Arial" w:cs="Arial" w:eastAsia="Arial" w:hAnsi="Arial"/>
          <w:sz w:val="18"/>
          <w:szCs w:val="18"/>
          <w:color w:val="auto"/>
        </w:rPr>
        <w:t>The waiting period applicable to the acquisition under the Hart-Scott-Rodino Antitrust Improvements Act of 1976 has expired. The transaction is structured to be completed in sequential closings for the U.S. and ex-U.S. territories. The Company expects the U.S. transaction to close in the second quarter of 2022, and the ex-U.S. transaction to close within 60 days following the U.S. transaction close.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and Launch-Readiness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Axsome is prepared for a commercial launch of AXS-05 for the treatment of MDD, if approved, and is ready to assume commercialization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Sunosi upon closing of that acquisition:</w:t>
      </w:r>
    </w:p>
    <w:p>
      <w:pPr>
        <w:spacing w:after="0" w:line="86" w:lineRule="exact"/>
        <w:rPr>
          <w:sz w:val="20"/>
          <w:szCs w:val="20"/>
          <w:color w:val="auto"/>
        </w:rPr>
      </w:pPr>
    </w:p>
    <w:p>
      <w:pPr>
        <w:ind w:left="10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AXS-05 field force team build is complete with all signed offers contingent upon approval. The Company anticipates having all field representatives for the product candidate on-board by launch.</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Activities are underway to ensure a timely and seamless transition of Sunosi into the Axsome infrastructure upon closing of the transaction.</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Axsome’s first-in-class Digital Centric Commercialization™ (DCC) platform will be used to augment commercialization of both AXS-05 and Sunosi.</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Anticipated Milestones</w:t>
      </w:r>
    </w:p>
    <w:p>
      <w:pPr>
        <w:spacing w:after="0" w:line="10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Corporate</w:t>
      </w:r>
    </w:p>
    <w:p>
      <w:pPr>
        <w:spacing w:after="0" w:line="10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Sunosi acquisition U.S. and ex-U.S. transaction closings (2Q, 3Q 2022, respectively)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 and Commercial:</w:t>
      </w:r>
    </w:p>
    <w:p>
      <w:pPr>
        <w:spacing w:after="0" w:line="10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AXS-05 for MDD, FDA action on NDA</w:t>
      </w:r>
    </w:p>
    <w:p>
      <w:pPr>
        <w:spacing w:after="0" w:line="10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AXS-05 for MDD, commercial launch, if approved</w:t>
      </w:r>
    </w:p>
    <w:p>
      <w:pPr>
        <w:spacing w:after="0" w:line="10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AXS-07 for migraine, NDA resubmission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AXS-14 for fibromyalgia, NDA submission (2023)</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Readouts:</w:t>
      </w:r>
    </w:p>
    <w:p>
      <w:pPr>
        <w:spacing w:after="0" w:line="10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Phase 3 SYMPHONY trial of AXS-12 in narcolepsy, topline data (1H 2023)</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Phase 3 ACCORD trial of AXS-05 for Alzheimer’s disease agitation, topline data (1H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Financial Results</w:t>
      </w:r>
    </w:p>
    <w:p>
      <w:pPr>
        <w:spacing w:after="0" w:line="185" w:lineRule="exact"/>
        <w:rPr>
          <w:sz w:val="20"/>
          <w:szCs w:val="20"/>
          <w:color w:val="auto"/>
        </w:rPr>
      </w:pPr>
    </w:p>
    <w:p>
      <w:pPr>
        <w:jc w:val="both"/>
        <w:ind w:left="1020" w:hanging="503"/>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$12.6 million for the three months ended March 31, 2022</w:t>
      </w:r>
      <w:r>
        <w:rPr>
          <w:rFonts w:ascii="Arial" w:cs="Arial" w:eastAsia="Arial" w:hAnsi="Arial"/>
          <w:sz w:val="18"/>
          <w:szCs w:val="18"/>
          <w:b w:val="1"/>
          <w:bCs w:val="1"/>
          <w:color w:val="auto"/>
        </w:rPr>
        <w:t xml:space="preserve"> </w:t>
      </w:r>
      <w:r>
        <w:rPr>
          <w:rFonts w:ascii="Arial" w:cs="Arial" w:eastAsia="Arial" w:hAnsi="Arial"/>
          <w:sz w:val="18"/>
          <w:szCs w:val="18"/>
          <w:color w:val="auto"/>
        </w:rPr>
        <w:t>and $16.6 million for the comparable period in 2021. The decrease was driven by expenses related to the NDA filing which occurred in the prior comparable period.</w:t>
      </w:r>
    </w:p>
    <w:p>
      <w:pPr>
        <w:spacing w:after="0" w:line="122"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$25.7 million for the three months ended March 31, 2022</w:t>
      </w:r>
      <w:r>
        <w:rPr>
          <w:rFonts w:ascii="Arial" w:cs="Arial" w:eastAsia="Arial" w:hAnsi="Arial"/>
          <w:sz w:val="18"/>
          <w:szCs w:val="18"/>
          <w:b w:val="1"/>
          <w:bCs w:val="1"/>
          <w:color w:val="auto"/>
        </w:rPr>
        <w:t xml:space="preserve"> </w:t>
      </w:r>
      <w:r>
        <w:rPr>
          <w:rFonts w:ascii="Arial" w:cs="Arial" w:eastAsia="Arial" w:hAnsi="Arial"/>
          <w:sz w:val="18"/>
          <w:szCs w:val="18"/>
          <w:color w:val="auto"/>
        </w:rPr>
        <w:t>and $11.2 million for the comparable period in 2021. The increase was primarily related to pre-commercial activities and personnel expense, along with an increase in non-cash stock compensation expense.</w:t>
      </w:r>
    </w:p>
    <w:p>
      <w:pPr>
        <w:spacing w:after="0" w:line="13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$39.6 million, or $(1.03) per share, for the three months ended March 31, 2022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$29.3 million, or $(0.78) per share, for the comparable period in 2021. The net loss for the current period included $7.6 million of non-cash stock compensation expense compared to $3.7 million in the comparable period.</w:t>
      </w:r>
    </w:p>
    <w:p>
      <w:pPr>
        <w:spacing w:after="0" w:line="14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March 31, 2022, Axsome had $84.7 million of cash compared to $86.5 million at December 31, 2021.</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March 31, 2022, Axsome had 38,883,445 shares of common stock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85" w:lineRule="exact"/>
        <w:rPr>
          <w:sz w:val="20"/>
          <w:szCs w:val="20"/>
          <w:color w:val="auto"/>
        </w:rPr>
      </w:pPr>
    </w:p>
    <w:p>
      <w:pPr>
        <w:jc w:val="both"/>
        <w:ind w:left="1020" w:hanging="503"/>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current cash, along with the remaining committed capital from the $300 million term loan facility, is sufficient to fund anticipated operations into 2024, based on the current operating plan, which includes the potential launch of AXS-05 in MDD, and the acquisition and commercialization of Sunosi.</w:t>
      </w:r>
    </w:p>
    <w:p>
      <w:pPr>
        <w:spacing w:after="0" w:line="143"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Axsome expects that its operating expenses will increase year over year as it continues to build out the commercial function and further advance its pipeline.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Axsome will host a conference call and webcast today at 8:00 AM Eastern to discuss first quarter 2022 financial results as well as to provide a corporate update. To participate in the live conference call, please dial (844) 200-6205 (toll-free domestic) or (929) 526-1599 (international) and use the conference ID 152950. The live webcast can be accessed on the "Webcasts &amp; Presentations" page of the "Investors" section of the Company’s website at axsome.com. A replay of the webcast will be available for approximately 30 days following the live event.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140" w:type="dxa"/>
            <w:vAlign w:val="bottom"/>
          </w:tcPr>
          <w:p>
            <w:pPr>
              <w:spacing w:after="0"/>
              <w:rPr>
                <w:sz w:val="20"/>
                <w:szCs w:val="20"/>
                <w:color w:val="auto"/>
              </w:rPr>
            </w:pPr>
            <w:r>
              <w:rPr>
                <w:rFonts w:ascii="Arial" w:cs="Arial" w:eastAsia="Arial" w:hAnsi="Arial"/>
                <w:sz w:val="18"/>
                <w:szCs w:val="18"/>
                <w:b w:val="1"/>
                <w:bCs w:val="1"/>
                <w:color w:val="auto"/>
              </w:rPr>
              <w:t>Statements of Operations Information:</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0" w:type="dxa"/>
            <w:vAlign w:val="bottom"/>
            <w:gridSpan w:val="8"/>
            <w:vMerge w:val="restart"/>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8"/>
        </w:trPr>
        <w:tc>
          <w:tcPr>
            <w:tcW w:w="7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12,585,141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16,595,689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25,703,731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11,248,372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38,288,872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27,844,061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(38,288,872</w:t>
            </w:r>
          </w:p>
        </w:tc>
        <w:tc>
          <w:tcPr>
            <w:tcW w:w="1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(27,844,061</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amortization of debt discount (expense)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(1,343,439 )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(1,415,909 )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(39,632,311</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(29,259,970</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70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1"/>
              <w:spacing w:after="0" w:line="196" w:lineRule="exact"/>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(0.78 )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14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 average common shares outstanding, basic and</w:t>
            </w:r>
          </w:p>
        </w:tc>
        <w:tc>
          <w:tcPr>
            <w:tcW w:w="4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38,323,167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37,429,450</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14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gridSpan w:val="2"/>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140" w:type="dxa"/>
            <w:vAlign w:val="bottom"/>
          </w:tcPr>
          <w:p>
            <w:pPr>
              <w:spacing w:after="0"/>
              <w:rPr>
                <w:sz w:val="20"/>
                <w:szCs w:val="20"/>
                <w:color w:val="auto"/>
              </w:rPr>
            </w:pPr>
            <w:r>
              <w:rPr>
                <w:rFonts w:ascii="Arial" w:cs="Arial" w:eastAsia="Arial" w:hAnsi="Arial"/>
                <w:sz w:val="18"/>
                <w:szCs w:val="18"/>
                <w:b w:val="1"/>
                <w:bCs w:val="1"/>
                <w:color w:val="auto"/>
              </w:rPr>
              <w:t>Balance Sheet Information:</w:t>
            </w:r>
          </w:p>
        </w:tc>
        <w:tc>
          <w:tcPr>
            <w:tcW w:w="2160" w:type="dxa"/>
            <w:vAlign w:val="bottom"/>
            <w:gridSpan w:val="5"/>
            <w:vMerge w:val="restart"/>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4"/>
                <w:szCs w:val="24"/>
                <w:color w:val="auto"/>
              </w:rPr>
            </w:pPr>
          </w:p>
        </w:tc>
        <w:tc>
          <w:tcPr>
            <w:tcW w:w="18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91"/>
        </w:trPr>
        <w:tc>
          <w:tcPr>
            <w:tcW w:w="7140" w:type="dxa"/>
            <w:vAlign w:val="bottom"/>
          </w:tcPr>
          <w:p>
            <w:pPr>
              <w:spacing w:after="0"/>
              <w:rPr>
                <w:sz w:val="16"/>
                <w:szCs w:val="16"/>
                <w:color w:val="auto"/>
              </w:rPr>
            </w:pPr>
          </w:p>
        </w:tc>
        <w:tc>
          <w:tcPr>
            <w:tcW w:w="21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84,707,782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86,472,854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88,560,261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24,549,582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23,065,184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payable, current and long-term</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49,312,665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49,089,522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(448,831,396 )</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(409,199,085 )</w:t>
            </w:r>
          </w:p>
        </w:tc>
        <w:tc>
          <w:tcPr>
            <w:tcW w:w="0" w:type="dxa"/>
            <w:vAlign w:val="bottom"/>
          </w:tcPr>
          <w:p>
            <w:pPr>
              <w:spacing w:after="0"/>
              <w:rPr>
                <w:sz w:val="1"/>
                <w:szCs w:val="1"/>
                <w:color w:val="auto"/>
              </w:rPr>
            </w:pPr>
          </w:p>
        </w:tc>
      </w:t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15,630,352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-2256790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-2256790</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-1682750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-1665605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-1682750</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-1665605</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-1262380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-1245235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-1262380</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-1245235</wp:posOffset>
            </wp:positionV>
            <wp:extent cx="596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rPr>
          <w:sz w:val="20"/>
          <w:szCs w:val="20"/>
          <w:color w:val="auto"/>
        </w:rPr>
      </w:pPr>
      <w:r>
        <w:rPr>
          <w:rFonts w:ascii="Arial" w:cs="Arial" w:eastAsia="Arial" w:hAnsi="Arial"/>
          <w:sz w:val="18"/>
          <w:szCs w:val="18"/>
          <w:color w:val="auto"/>
        </w:rPr>
        <w:t>Chief Operating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4" w:lineRule="auto"/>
        <w:rPr>
          <w:sz w:val="20"/>
          <w:szCs w:val="20"/>
          <w:color w:val="auto"/>
        </w:rPr>
      </w:pPr>
      <w:r>
        <w:rPr>
          <w:rFonts w:ascii="Arial" w:cs="Arial" w:eastAsia="Arial" w:hAnsi="Arial"/>
          <w:sz w:val="18"/>
          <w:szCs w:val="18"/>
          <w:color w:val="auto"/>
        </w:rPr>
        <w:t>22 Cortlandt Street, 16th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68730" cy="711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6873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Axsome Therapeutics Receives FDA Complete Response Letter for New Drug Application for AXS-07 for the Acute Treatment of Migraine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 clinical efficacy or safety issues raised and no additional clinical studies required by FDA to support approval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plans to engage with FDA toward expeditious resolution of outstanding items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NEW YORK, May 2, 2022 /PRNewswire/ – Axsome Therapeutics, Inc. (NASDAQ: AXSM), a biopharmaceutical company developing novel therapies for the management of central nervous system (CNS) disorders, today announced that the Company has received a Complete Response Letter (CRL) from the U.S. Food and Drug Administration (FDA) regarding its New Drug Application (NDA) for AXS-07 for the acute treatment of migraine. The CRL did not identify or raise any concerns about the clinical efficacy or safety data in the NDA, and the FDA did not request any new clinical trials to support the approval of AXS-07.</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reasons given in the CRL relate to chemistry, manufacturing, and controls (CMC) considerations. The CRL identified the need for additional CMC data pertaining to the drug product and manufacturing process. Axsome believes that the issues raised in the CRL are addressable and intends to provide potential timing for a resubmission following consultation with the FDA.</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is our goal to work with the FDA to fully understand and adequately address their comments, so that we can make this important new medicine available to patients with migraine as quickly as possible,” said Herriot Tabuteau, MD, Chief Executive Officer of Axsome. “The approval of AXS-07 would offer a much-needed new multi-mechanistic treatment option for the millions of people living with this debilitating neurological condition.”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NDA is supported by results from two Phase 3 randomized, double-blind, controlled trials of AXS-07 in the acute treatment of migraine, the MOMENTUM and INTERCEPT trials, which demonstrated statistically significant elimination of migraine pain with AXS-07 compared to placebo and active controls.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[1]. Published surveys of migraine sufferers indicate that more than 70% are not fully satisfied with their current treatment, that nearly 80% would try a new therapy, and that they desire treatments that work faster, more consistently, and result in less symptom recurrence [2,3].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AXS-07 is a novel, oral, rapidly absorbed, multi-mechanistic investigational medicine for the acute treatment of migraine, consisting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Arial" w:cs="Arial" w:eastAsia="Arial" w:hAnsi="Arial"/>
          <w:sz w:val="12"/>
          <w:szCs w:val="12"/>
          <w:color w:val="auto"/>
        </w:rPr>
        <w:t>1B/1D</w:t>
      </w:r>
      <w:r>
        <w:rPr>
          <w:rFonts w:ascii="Arial" w:cs="Arial" w:eastAsia="Arial" w:hAnsi="Arial"/>
          <w:sz w:val="18"/>
          <w:szCs w:val="18"/>
          <w:color w:val="auto"/>
        </w:rPr>
        <w:t xml:space="preserve"> agonist. AXS-07 is designed to provide rapid, enhances and consistent relief of migraine, with reduced symptom recurrence. AXS-07 is covered by more than 80 issued U.S. and international patents which provide protection out to 2036. AXS-07 is not approved by the FDA.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25" w:lineRule="exact"/>
        <w:rPr>
          <w:sz w:val="20"/>
          <w:szCs w:val="20"/>
          <w:color w:val="auto"/>
        </w:rPr>
      </w:pPr>
    </w:p>
    <w:p>
      <w:pPr>
        <w:ind w:left="380" w:hanging="372"/>
        <w:spacing w:after="0" w:line="271"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Gooch CL, Pracht E, Borenstein AR. The burden of neurological disease in the United States: A summary report and call to action. Ann Neurol. 2017 Apr; 81(4):479-484.</w:t>
      </w:r>
    </w:p>
    <w:p>
      <w:pPr>
        <w:spacing w:after="0" w:line="153" w:lineRule="exact"/>
        <w:rPr>
          <w:rFonts w:ascii="Arial" w:cs="Arial" w:eastAsia="Arial" w:hAnsi="Arial"/>
          <w:sz w:val="18"/>
          <w:szCs w:val="18"/>
          <w:color w:val="auto"/>
        </w:rPr>
      </w:pPr>
    </w:p>
    <w:p>
      <w:pPr>
        <w:jc w:val="both"/>
        <w:ind w:left="380" w:hanging="372"/>
        <w:spacing w:after="0" w:line="261"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161" w:lineRule="exact"/>
        <w:rPr>
          <w:rFonts w:ascii="Arial" w:cs="Arial" w:eastAsia="Arial" w:hAnsi="Arial"/>
          <w:sz w:val="18"/>
          <w:szCs w:val="18"/>
          <w:color w:val="auto"/>
        </w:rPr>
      </w:pPr>
    </w:p>
    <w:p>
      <w:pPr>
        <w:ind w:left="380" w:hanging="372"/>
        <w:spacing w:after="0" w:line="28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Axsome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rPr>
          <w:sz w:val="20"/>
          <w:szCs w:val="20"/>
          <w:color w:val="auto"/>
        </w:rPr>
      </w:pPr>
      <w:r>
        <w:rPr>
          <w:rFonts w:ascii="Arial" w:cs="Arial" w:eastAsia="Arial" w:hAnsi="Arial"/>
          <w:sz w:val="18"/>
          <w:szCs w:val="18"/>
          <w:color w:val="auto"/>
        </w:rPr>
        <w:t>Chief Operating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3" w:lineRule="auto"/>
        <w:rPr>
          <w:sz w:val="20"/>
          <w:szCs w:val="20"/>
          <w:color w:val="auto"/>
        </w:rPr>
      </w:pPr>
      <w:r>
        <w:rPr>
          <w:rFonts w:ascii="Arial" w:cs="Arial" w:eastAsia="Arial" w:hAnsi="Arial"/>
          <w:sz w:val="17"/>
          <w:szCs w:val="17"/>
          <w:color w:val="auto"/>
        </w:rPr>
        <w:t>22 Cortlandt Street, 16</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w:t>
      </w:r>
    </w:p>
    <w:p>
      <w:pPr>
        <w:spacing w:after="0" w:line="236" w:lineRule="auto"/>
        <w:rPr>
          <w:sz w:val="20"/>
          <w:szCs w:val="20"/>
          <w:color w:val="auto"/>
        </w:rPr>
      </w:pPr>
      <w:r>
        <w:rPr>
          <w:rFonts w:ascii="Arial" w:cs="Arial" w:eastAsia="Arial" w:hAnsi="Arial"/>
          <w:sz w:val="18"/>
          <w:szCs w:val="18"/>
          <w:color w:val="auto"/>
        </w:rPr>
        <w:t>New York, NY 10007</w:t>
      </w:r>
    </w:p>
    <w:p>
      <w:pPr>
        <w:spacing w:after="0"/>
        <w:rPr>
          <w:sz w:val="20"/>
          <w:szCs w:val="20"/>
          <w:color w:val="auto"/>
        </w:rPr>
      </w:pPr>
      <w:r>
        <w:rPr>
          <w:rFonts w:ascii="Arial" w:cs="Arial" w:eastAsia="Arial" w:hAnsi="Arial"/>
          <w:sz w:val="18"/>
          <w:szCs w:val="18"/>
          <w:color w:val="auto"/>
        </w:rPr>
        <w:t>Tel: 212-332-3243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rPr>
          <w:sz w:val="20"/>
          <w:szCs w:val="20"/>
          <w:color w:val="auto"/>
        </w:rPr>
      </w:pPr>
      <w:r>
        <w:rPr>
          <w:rFonts w:ascii="Arial" w:cs="Arial" w:eastAsia="Arial" w:hAnsi="Arial"/>
          <w:sz w:val="18"/>
          <w:szCs w:val="18"/>
          <w:color w:val="auto"/>
        </w:rPr>
        <w:t>www.axsome.com</w:t>
      </w:r>
    </w:p>
    <w:p>
      <w:pPr>
        <w:spacing w:after="0" w:line="185" w:lineRule="exact"/>
        <w:rPr>
          <w:sz w:val="20"/>
          <w:szCs w:val="20"/>
          <w:color w:val="auto"/>
        </w:rPr>
      </w:pPr>
    </w:p>
    <w:p>
      <w:pPr>
        <w:jc w:val="right"/>
        <w:ind w:right="44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39" w:right="1440"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2022-05-02T06:10:06Z</dcterms:created>
  <dcterms:modified xsi:type="dcterms:W3CDTF">2022-05-02T06:10:06Z</dcterms:modified>
</cp:coreProperties>
</file>