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979170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69850</wp:posOffset>
            </wp:positionV>
            <wp:extent cx="2371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79" w:lineRule="exact"/>
        <w:rPr>
          <w:sz w:val="24"/>
          <w:szCs w:val="24"/>
          <w:color w:val="auto"/>
        </w:rPr>
      </w:pPr>
    </w:p>
    <w:p>
      <w:pPr>
        <w:ind w:left="1600" w:hanging="182"/>
        <w:spacing w:after="0"/>
        <w:tabs>
          <w:tab w:leader="none" w:pos="1600" w:val="left"/>
        </w:tabs>
        <w:numPr>
          <w:ilvl w:val="1"/>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72" w:lineRule="exact"/>
        <w:rPr>
          <w:rFonts w:ascii="MS PGothic" w:cs="MS PGothic" w:eastAsia="MS PGothic" w:hAnsi="MS PGothic"/>
          <w:sz w:val="16"/>
          <w:szCs w:val="16"/>
          <w:color w:val="auto"/>
          <w:highlight w:val="black"/>
        </w:rPr>
      </w:pPr>
    </w:p>
    <w:p>
      <w:pPr>
        <w:ind w:left="41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For the quarterly period ended March 31, 2024</w:t>
      </w:r>
    </w:p>
    <w:p>
      <w:pPr>
        <w:spacing w:after="0" w:line="72"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2" w:lineRule="exact"/>
        <w:rPr>
          <w:rFonts w:ascii="MS PGothic" w:cs="MS PGothic" w:eastAsia="MS PGothic" w:hAnsi="MS PGothic"/>
          <w:sz w:val="16"/>
          <w:szCs w:val="16"/>
          <w:color w:val="auto"/>
          <w:highlight w:val="black"/>
        </w:rPr>
      </w:pPr>
    </w:p>
    <w:p>
      <w:pPr>
        <w:jc w:val="center"/>
        <w:ind w:left="3800" w:right="1400" w:hanging="2388"/>
        <w:spacing w:after="0" w:line="334" w:lineRule="auto"/>
        <w:tabs>
          <w:tab w:leader="none" w:pos="159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73025</wp:posOffset>
            </wp:positionV>
            <wp:extent cx="2371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AXSOME THERAPEUTICS,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9"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520" w:type="dxa"/>
            <w:vAlign w:val="bottom"/>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96"/>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20" w:type="dxa"/>
            <w:vAlign w:val="bottom"/>
          </w:tcPr>
          <w:p>
            <w:pPr>
              <w:jc w:val="center"/>
              <w:ind w:left="136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66"/>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w w:val="98"/>
              </w:rPr>
              <w:t>One World Trade Center</w:t>
            </w:r>
          </w:p>
        </w:tc>
        <w:tc>
          <w:tcPr>
            <w:tcW w:w="3520" w:type="dxa"/>
            <w:vAlign w:val="bottom"/>
          </w:tcPr>
          <w:p>
            <w:pPr>
              <w:spacing w:after="0"/>
              <w:rPr>
                <w:sz w:val="23"/>
                <w:szCs w:val="23"/>
                <w:color w:val="auto"/>
              </w:rPr>
            </w:pPr>
          </w:p>
        </w:tc>
      </w:tr>
      <w:tr>
        <w:trPr>
          <w:trHeight w:val="202"/>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rPr>
              <w:t>22nd Floor</w:t>
            </w:r>
          </w:p>
        </w:tc>
        <w:tc>
          <w:tcPr>
            <w:tcW w:w="3520" w:type="dxa"/>
            <w:vAlign w:val="bottom"/>
          </w:tcPr>
          <w:p>
            <w:pPr>
              <w:spacing w:after="0"/>
              <w:rPr>
                <w:sz w:val="17"/>
                <w:szCs w:val="17"/>
                <w:color w:val="auto"/>
              </w:rPr>
            </w:pPr>
          </w:p>
        </w:tc>
      </w:tr>
      <w:tr>
        <w:trPr>
          <w:trHeight w:val="212"/>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3520" w:type="dxa"/>
            <w:vAlign w:val="bottom"/>
          </w:tcPr>
          <w:p>
            <w:pPr>
              <w:jc w:val="right"/>
              <w:ind w:right="764"/>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96"/>
        </w:trPr>
        <w:tc>
          <w:tcPr>
            <w:tcW w:w="4860" w:type="dxa"/>
            <w:vAlign w:val="bottom"/>
          </w:tcPr>
          <w:p>
            <w:pPr>
              <w:jc w:val="center"/>
              <w:ind w:right="134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20" w:type="dxa"/>
            <w:vAlign w:val="bottom"/>
          </w:tcPr>
          <w:p>
            <w:pPr>
              <w:jc w:val="center"/>
              <w:ind w:left="1364"/>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65"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2"/>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20" w:type="dxa"/>
            <w:vAlign w:val="bottom"/>
          </w:tcPr>
          <w:p>
            <w:pPr>
              <w:ind w:left="7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1"/>
        </w:trPr>
        <w:tc>
          <w:tcPr>
            <w:tcW w:w="20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54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3"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highlight w:val="black"/>
        </w:rPr>
        <w:t>☒</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4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22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4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AXSM</w:t>
            </w:r>
          </w:p>
        </w:tc>
        <w:tc>
          <w:tcPr>
            <w:tcW w:w="220" w:type="dxa"/>
            <w:vAlign w:val="bottom"/>
          </w:tcPr>
          <w:p>
            <w:pPr>
              <w:spacing w:after="0"/>
              <w:rPr>
                <w:sz w:val="15"/>
                <w:szCs w:val="15"/>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There were 47,495,827 shares of the registrant’s common stock, $0.0001 par value, outstanding as of April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1047115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105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auto"/>
              </w:rPr>
              <w:t>CAUTIONARY NOTE REGARDING FORWARD LOOKING STATEMENTS</w:t>
            </w: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r>
      <w:tr>
        <w:trPr>
          <w:trHeight w:val="344"/>
        </w:trPr>
        <w:tc>
          <w:tcPr>
            <w:tcW w:w="57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474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r>
      <w:tr>
        <w:trPr>
          <w:trHeight w:val="344"/>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8"/>
              </w:rPr>
              <w:t>Financial Statements</w:t>
            </w:r>
          </w:p>
        </w:tc>
        <w:tc>
          <w:tcPr>
            <w:tcW w:w="720" w:type="dxa"/>
            <w:vAlign w:val="bottom"/>
            <w:tcBorders>
              <w:top w:val="single" w:sz="8" w:color="0000EE"/>
            </w:tcBorders>
            <w:gridSpan w:val="3"/>
          </w:tcPr>
          <w:p>
            <w:pPr>
              <w:spacing w:after="0"/>
              <w:rPr>
                <w:sz w:val="24"/>
                <w:szCs w:val="24"/>
                <w:color w:val="auto"/>
              </w:rPr>
            </w:pPr>
          </w:p>
        </w:tc>
        <w:tc>
          <w:tcPr>
            <w:tcW w:w="726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w w:val="99"/>
              </w:rPr>
              <w:t>Quantitative and Qualitative Disclosure About Market Risk</w:t>
            </w:r>
          </w:p>
        </w:tc>
        <w:tc>
          <w:tcPr>
            <w:tcW w:w="2160" w:type="dxa"/>
            <w:vAlign w:val="bottom"/>
            <w:tcBorders>
              <w:top w:val="single" w:sz="8" w:color="0000EE"/>
            </w:tcBorders>
            <w:gridSpan w:val="2"/>
          </w:tcPr>
          <w:p>
            <w:pPr>
              <w:spacing w:after="0"/>
              <w:rPr>
                <w:sz w:val="19"/>
                <w:szCs w:val="19"/>
                <w:color w:val="auto"/>
              </w:rPr>
            </w:pPr>
          </w:p>
        </w:tc>
        <w:tc>
          <w:tcPr>
            <w:tcW w:w="30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w w:val="98"/>
              </w:rPr>
              <w:t>Controls and Procedures</w:t>
            </w:r>
          </w:p>
        </w:tc>
        <w:tc>
          <w:tcPr>
            <w:tcW w:w="7720" w:type="dxa"/>
            <w:vAlign w:val="bottom"/>
            <w:gridSpan w:val="6"/>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44"/>
        </w:trPr>
        <w:tc>
          <w:tcPr>
            <w:tcW w:w="105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720" w:type="dxa"/>
            <w:vAlign w:val="bottom"/>
          </w:tcPr>
          <w:p>
            <w:pPr>
              <w:spacing w:after="0"/>
              <w:rPr>
                <w:sz w:val="24"/>
                <w:szCs w:val="24"/>
                <w:color w:val="auto"/>
              </w:rPr>
            </w:pPr>
          </w:p>
        </w:tc>
      </w:tr>
      <w:tr>
        <w:trPr>
          <w:trHeight w:val="344"/>
        </w:trPr>
        <w:tc>
          <w:tcPr>
            <w:tcW w:w="10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9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Legal Proceedings</w:t>
            </w:r>
          </w:p>
        </w:tc>
        <w:tc>
          <w:tcPr>
            <w:tcW w:w="756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w w:val="97"/>
              </w:rPr>
              <w:t>Risk Factors</w:t>
            </w:r>
          </w:p>
        </w:tc>
        <w:tc>
          <w:tcPr>
            <w:tcW w:w="420" w:type="dxa"/>
            <w:vAlign w:val="bottom"/>
            <w:tcBorders>
              <w:top w:val="single" w:sz="8" w:color="0000EE"/>
            </w:tcBorders>
            <w:gridSpan w:val="2"/>
          </w:tcPr>
          <w:p>
            <w:pPr>
              <w:spacing w:after="0"/>
              <w:rPr>
                <w:sz w:val="19"/>
                <w:szCs w:val="19"/>
                <w:color w:val="auto"/>
              </w:rPr>
            </w:pPr>
          </w:p>
        </w:tc>
        <w:tc>
          <w:tcPr>
            <w:tcW w:w="8160" w:type="dxa"/>
            <w:vAlign w:val="bottom"/>
            <w:gridSpan w:val="8"/>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6"/>
              </w:rPr>
              <w:t>Exhibits</w:t>
            </w:r>
          </w:p>
        </w:tc>
        <w:tc>
          <w:tcPr>
            <w:tcW w:w="700" w:type="dxa"/>
            <w:vAlign w:val="bottom"/>
            <w:tcBorders>
              <w:top w:val="single" w:sz="8" w:color="0000EE"/>
            </w:tcBorders>
            <w:gridSpan w:val="3"/>
          </w:tcPr>
          <w:p>
            <w:pPr>
              <w:spacing w:after="0"/>
              <w:rPr>
                <w:sz w:val="19"/>
                <w:szCs w:val="19"/>
                <w:color w:val="auto"/>
              </w:rPr>
            </w:pPr>
          </w:p>
        </w:tc>
        <w:tc>
          <w:tcPr>
            <w:tcW w:w="8180" w:type="dxa"/>
            <w:vAlign w:val="bottom"/>
            <w:gridSpan w:val="9"/>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1020" w:type="dxa"/>
            <w:vAlign w:val="bottom"/>
          </w:tcPr>
          <w:p>
            <w:pPr>
              <w:spacing w:after="0"/>
              <w:rPr>
                <w:sz w:val="19"/>
                <w:szCs w:val="19"/>
                <w:color w:val="auto"/>
              </w:rPr>
            </w:pPr>
          </w:p>
        </w:tc>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w w:val="97"/>
              </w:rPr>
              <w:t>Signatures</w:t>
            </w:r>
          </w:p>
        </w:tc>
        <w:tc>
          <w:tcPr>
            <w:tcW w:w="8720" w:type="dxa"/>
            <w:vAlign w:val="bottom"/>
            <w:gridSpan w:val="11"/>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81"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spacing w:after="0" w:line="103" w:lineRule="exact"/>
        <w:rPr>
          <w:rFonts w:ascii="Times New Roman" w:cs="Times New Roman" w:eastAsia="Times New Roman" w:hAnsi="Times New Roman"/>
          <w:sz w:val="18"/>
          <w:szCs w:val="18"/>
          <w:color w:val="auto"/>
        </w:rPr>
      </w:pPr>
    </w:p>
    <w:p>
      <w:pPr>
        <w:ind w:left="760" w:right="1000" w:hanging="378"/>
        <w:spacing w:after="0" w:line="28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41" w:lineRule="exact"/>
        <w:rPr>
          <w:rFonts w:ascii="Times New Roman" w:cs="Times New Roman" w:eastAsia="Times New Roman" w:hAnsi="Times New Roman"/>
          <w:sz w:val="18"/>
          <w:szCs w:val="18"/>
          <w:color w:val="auto"/>
        </w:rPr>
      </w:pPr>
    </w:p>
    <w:p>
      <w:pPr>
        <w:ind w:left="760" w:right="900" w:hanging="378"/>
        <w:spacing w:after="0" w:line="28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geopolitical conflicts or pandemics;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projections, sales forecasts, and potential peak market data;</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acquisitions and in-licensing transactions;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25"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3" w:lineRule="exact"/>
        <w:rPr>
          <w:sz w:val="20"/>
          <w:szCs w:val="20"/>
          <w:color w:val="auto"/>
        </w:rPr>
      </w:pPr>
    </w:p>
    <w:p>
      <w:pPr>
        <w:ind w:right="300" w:firstLine="749"/>
        <w:spacing w:after="0" w:line="312"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331,441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386,193</w:t>
            </w: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94,820</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100" w:type="dxa"/>
            <w:vAlign w:val="bottom"/>
          </w:tcPr>
          <w:p>
            <w:pPr>
              <w:spacing w:after="0"/>
              <w:rPr>
                <w:sz w:val="20"/>
                <w:szCs w:val="20"/>
                <w:color w:val="auto"/>
              </w:rPr>
            </w:pPr>
          </w:p>
        </w:tc>
      </w:tr>
      <w:tr>
        <w:trPr>
          <w:trHeight w:val="24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460,490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504,263</w:t>
            </w:r>
          </w:p>
        </w:tc>
        <w:tc>
          <w:tcPr>
            <w:tcW w:w="100" w:type="dxa"/>
            <w:vAlign w:val="bottom"/>
            <w:shd w:val="clear" w:color="auto" w:fill="CFF0FC"/>
          </w:tcPr>
          <w:p>
            <w:pPr>
              <w:spacing w:after="0"/>
              <w:rPr>
                <w:sz w:val="20"/>
                <w:szCs w:val="20"/>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53,286</w:t>
            </w: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100" w:type="dxa"/>
            <w:vAlign w:val="bottom"/>
          </w:tcPr>
          <w:p>
            <w:pPr>
              <w:spacing w:after="0"/>
              <w:rPr>
                <w:sz w:val="20"/>
                <w:szCs w:val="20"/>
                <w:color w:val="auto"/>
              </w:rPr>
            </w:pPr>
          </w:p>
        </w:tc>
      </w:tr>
      <w:tr>
        <w:trPr>
          <w:trHeight w:val="27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545,728</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588,236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53,791</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82,716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90,501</w:t>
            </w: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144,048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138,854</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178,070</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401,692</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397,259</w:t>
            </w:r>
          </w:p>
        </w:tc>
        <w:tc>
          <w:tcPr>
            <w:tcW w:w="100" w:type="dxa"/>
            <w:vAlign w:val="bottom"/>
            <w:shd w:val="clear" w:color="auto" w:fill="CFF0FC"/>
          </w:tcPr>
          <w:p>
            <w:pPr>
              <w:spacing w:after="0"/>
              <w:rPr>
                <w:sz w:val="20"/>
                <w:szCs w:val="20"/>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per share (150,000,000 shares authorized, 47,464,575 and</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47,351,363 shares issued and outstanding at March 31, 2024 and December 31, 2023, respectively)</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9"/>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1,047,959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1,026,543</w:t>
            </w:r>
          </w:p>
        </w:tc>
        <w:tc>
          <w:tcPr>
            <w:tcW w:w="100" w:type="dxa"/>
            <w:vAlign w:val="bottom"/>
            <w:shd w:val="clear" w:color="auto" w:fill="CFF0FC"/>
          </w:tcPr>
          <w:p>
            <w:pPr>
              <w:spacing w:after="0"/>
              <w:rPr>
                <w:sz w:val="21"/>
                <w:szCs w:val="21"/>
                <w:color w:val="auto"/>
              </w:rPr>
            </w:pPr>
          </w:p>
        </w:tc>
      </w:tr>
      <w:tr>
        <w:trPr>
          <w:trHeight w:val="238"/>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(903,928 )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(835,571 )</w:t>
            </w:r>
          </w:p>
        </w:tc>
      </w:tr>
      <w:tr>
        <w:trPr>
          <w:trHeight w:val="23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144,036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190,977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545,728</w:t>
            </w:r>
          </w:p>
        </w:tc>
        <w:tc>
          <w:tcPr>
            <w:tcW w:w="28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588,236</w:t>
            </w:r>
          </w:p>
        </w:tc>
        <w:tc>
          <w:tcPr>
            <w:tcW w:w="10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-3287395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-3270250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-3287395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-3270250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-2336800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-2336800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-187960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-187960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180"/>
          </w:cols>
          <w:pgMar w:left="320" w:top="4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1" w:right="3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4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98,970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142,274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100,950</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(67,275 )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(6,374 )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(1,082 )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(2,264 )</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(68,357 )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(8,638 )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(2,580 )</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(68,357 )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(11,218 )</w:t>
            </w: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47,393,563</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43,523,631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-2277110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-1343660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-384810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-367665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5"/>
                <w:szCs w:val="15"/>
                <w:color w:val="auto"/>
              </w:rPr>
            </w:pPr>
          </w:p>
        </w:tc>
        <w:tc>
          <w:tcPr>
            <w:tcW w:w="2140" w:type="dxa"/>
            <w:vAlign w:val="bottom"/>
            <w:gridSpan w:val="3"/>
            <w:vMerge w:val="restart"/>
          </w:tcPr>
          <w:p>
            <w:pPr>
              <w:jc w:val="right"/>
              <w:ind w:right="40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82"/>
        </w:trPr>
        <w:tc>
          <w:tcPr>
            <w:tcW w:w="5120" w:type="dxa"/>
            <w:vAlign w:val="bottom"/>
          </w:tcPr>
          <w:p>
            <w:pPr>
              <w:spacing w:after="0"/>
              <w:rPr>
                <w:sz w:val="15"/>
                <w:szCs w:val="15"/>
                <w:color w:val="auto"/>
              </w:rPr>
            </w:pPr>
          </w:p>
        </w:tc>
        <w:tc>
          <w:tcPr>
            <w:tcW w:w="10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43,498,617</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705,885</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(596,333 )</w:t>
            </w: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109,556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28,876</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20,973</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warrants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(867 )</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(867 )</w:t>
            </w: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(11,218 )</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(11,218 )</w:t>
            </w:r>
          </w:p>
        </w:tc>
        <w:tc>
          <w:tcPr>
            <w:tcW w:w="0" w:type="dxa"/>
            <w:vAlign w:val="bottom"/>
          </w:tcPr>
          <w:p>
            <w:pPr>
              <w:spacing w:after="0"/>
              <w:rPr>
                <w:sz w:val="1"/>
                <w:szCs w:val="1"/>
                <w:color w:val="auto"/>
              </w:rPr>
            </w:pPr>
          </w:p>
        </w:tc>
      </w:tr>
      <w:tr>
        <w:trPr>
          <w:trHeight w:val="20"/>
        </w:trPr>
        <w:tc>
          <w:tcPr>
            <w:tcW w:w="5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March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43,548,466</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719,359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(607,551 )</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111,812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47,351,363</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1,026,543</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(835,571 )</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190,977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20,533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exercise of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80,294</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2,501</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32,918</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Shares tendered for withholding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(1,618 )</w:t>
            </w: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(1,618 )</w:t>
            </w:r>
          </w:p>
        </w:tc>
        <w:tc>
          <w:tcPr>
            <w:tcW w:w="0" w:type="dxa"/>
            <w:vAlign w:val="bottom"/>
          </w:tcPr>
          <w:p>
            <w:pPr>
              <w:spacing w:after="0"/>
              <w:rPr>
                <w:sz w:val="1"/>
                <w:szCs w:val="1"/>
                <w:color w:val="auto"/>
              </w:rPr>
            </w:pPr>
          </w:p>
        </w:tc>
      </w:tr>
      <w:tr>
        <w:trPr>
          <w:trHeight w:val="189"/>
        </w:trPr>
        <w:tc>
          <w:tcPr>
            <w:tcW w:w="51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(68,357 )</w:t>
            </w:r>
          </w:p>
        </w:tc>
        <w:tc>
          <w:tcPr>
            <w:tcW w:w="2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(68,357 )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March 31, 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47,464,575</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6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1,047,959</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(903,928 )</w:t>
            </w: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144,036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-1001395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-1001395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-1001395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-1001395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-24765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(68,357 )</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(11,218 )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20,190</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94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(1,412 )</w:t>
            </w:r>
          </w:p>
        </w:tc>
        <w:tc>
          <w:tcPr>
            <w:tcW w:w="9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amortization for finance lease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operating lease liability</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(6,615 )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(7,094 )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94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(105 )</w:t>
            </w:r>
          </w:p>
        </w:tc>
        <w:tc>
          <w:tcPr>
            <w:tcW w:w="9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(3,620 )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(3,917 )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94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(867 )</w:t>
            </w:r>
          </w:p>
        </w:tc>
        <w:tc>
          <w:tcPr>
            <w:tcW w:w="9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4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(8,415 )</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(53,467 )</w:t>
            </w:r>
          </w:p>
        </w:tc>
        <w:tc>
          <w:tcPr>
            <w:tcW w:w="9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(5,821 )</w:t>
            </w:r>
          </w:p>
        </w:tc>
      </w:tr>
      <w:tr>
        <w:trPr>
          <w:trHeight w:val="238"/>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equipment</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(98 )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draw down of debt</w:t>
            </w:r>
          </w:p>
        </w:tc>
        <w:tc>
          <w:tcPr>
            <w:tcW w:w="94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principal portion of finance lease obligation</w:t>
            </w:r>
          </w:p>
        </w:tc>
        <w:tc>
          <w:tcPr>
            <w:tcW w:w="94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(163 )</w:t>
            </w:r>
          </w:p>
        </w:tc>
        <w:tc>
          <w:tcPr>
            <w:tcW w:w="94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options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4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(1,907 )</w:t>
            </w:r>
          </w:p>
        </w:tc>
        <w:tc>
          <w:tcPr>
            <w:tcW w:w="9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(1,738 )</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of tax withholdings on stock award</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(1,618 )</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(867 )</w:t>
            </w:r>
          </w:p>
        </w:tc>
      </w:tr>
      <w:tr>
        <w:trPr>
          <w:trHeight w:val="20"/>
        </w:trPr>
        <w:tc>
          <w:tcPr>
            <w:tcW w:w="7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Pr>
          <w:p>
            <w:pPr>
              <w:spacing w:after="0"/>
              <w:rPr>
                <w:sz w:val="20"/>
                <w:szCs w:val="20"/>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(1,187 )</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(54,752 )</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386,193</w:t>
            </w: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200,842</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331,441</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246,515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4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940" w:type="dxa"/>
            <w:vAlign w:val="bottom"/>
          </w:tcPr>
          <w:p>
            <w:pPr>
              <w:spacing w:after="0"/>
              <w:rPr>
                <w:sz w:val="20"/>
                <w:szCs w:val="20"/>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 obtained in exchange for finance lease liability</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-2850515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5891530</wp:posOffset>
            </wp:positionH>
            <wp:positionV relativeFrom="paragraph">
              <wp:posOffset>-2546350</wp:posOffset>
            </wp:positionV>
            <wp:extent cx="93980" cy="196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-2546350</wp:posOffset>
            </wp:positionV>
            <wp:extent cx="93980"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-1283970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-641350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-624205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240"/>
          </w:cols>
          <w:pgMar w:left="320" w:top="4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Axsome Therapeutics, Inc. (“Axsome” or the “Company”) is a biopharmaceutical company developing and delivering novel therapies for central nervous system (“CNS”) conditions that have limited treatment options. By focusing on this therapeutic area, the Company is addressing significant and growing markets where current treatment options are limited or inadequate. The Company was incorporated on January 12, 2012 in the State of Delaware. The Company’s CNS portfolio includes three not yet approved product candidates, AXS-07, AXS-12, and AXS-14, which are being developed for multiple indications, and two approved products - Auvelity® (the components of which are referred to as “AXS-05”) and Sunosi® - both of which are also being developed for further indications. The Company refers herein to Sunosi, Auvelity, AXS-07, AXS-12, AXS-14 and its programs to develop additional indications for AXS-05 and solriamfetol as the Company’s products.</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 acquired the U.S. rights to Sunosi from Jazz Pharmaceuticals plc (“Jazz”) in May 2022 and worldwide ex-U.S. rights (excluding certain Asian markets) from Jazz in November 2022 (collectively, the “Acquisition”). Sunosi is a product approved by the U.S. Food and Drug Administration (the “FDA”) and marketed in the U.S. to improve wakefulness in adult patients with excessive daytime sleepiness (“EDS”) associated with narcolepsy or obstructive sleep apnea. Sunosi was approved in Europe in January 2020 by the European Commission. In February 2023, the Company announced a licensing transaction with Atnahs Pharma UK Limited (“Pharmanovia”) to market Sunosi in Europe and certain countries in the Middle East / North Africa.</w:t>
      </w:r>
    </w:p>
    <w:p>
      <w:pPr>
        <w:spacing w:after="0" w:line="186"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8"/>
          <w:szCs w:val="18"/>
          <w:color w:val="auto"/>
        </w:rPr>
        <w:t>In August 2022, the Company announced the FDA approval of Auvelity, and in October 2022, the U.S. commercial availability of Auvelity for the treatment of major depressive disorder in adults.</w:t>
      </w:r>
    </w:p>
    <w:p>
      <w:pPr>
        <w:spacing w:after="0" w:line="163"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2023 filed with the SEC on February 23, 2024.</w:t>
      </w:r>
    </w:p>
    <w:p>
      <w:pPr>
        <w:spacing w:after="0" w:line="186" w:lineRule="exact"/>
        <w:rPr>
          <w:sz w:val="20"/>
          <w:szCs w:val="20"/>
          <w:color w:val="auto"/>
        </w:rPr>
      </w:pPr>
    </w:p>
    <w:p>
      <w:pPr>
        <w:ind w:right="280" w:firstLine="749"/>
        <w:spacing w:after="0" w:line="265" w:lineRule="auto"/>
        <w:rPr>
          <w:sz w:val="20"/>
          <w:szCs w:val="20"/>
          <w:color w:val="auto"/>
        </w:rPr>
      </w:pPr>
      <w:r>
        <w:rPr>
          <w:rFonts w:ascii="Times New Roman" w:cs="Times New Roman" w:eastAsia="Times New Roman" w:hAnsi="Times New Roman"/>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months ended March 31, 2024 are not necessarily indicative of the operating results for the full fiscal year or any future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20" w:firstLine="749"/>
        <w:spacing w:after="0" w:line="281"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and may never become profitable. As of March 31, 2024, the Company had an accumulated deficit of $903.9 million.</w:t>
      </w:r>
    </w:p>
    <w:p>
      <w:pPr>
        <w:spacing w:after="0" w:line="16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sales of Sunosi and Auvelity,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Sunosi and Auvelity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8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currently has two commercially approved products, Auvelity and Sunosi,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8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 and Note 13. Revenues.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right="40" w:firstLine="749"/>
        <w:spacing w:after="0" w:line="265"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8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189" w:lineRule="exact"/>
        <w:rPr>
          <w:sz w:val="20"/>
          <w:szCs w:val="20"/>
          <w:color w:val="auto"/>
        </w:rPr>
      </w:pPr>
    </w:p>
    <w:p>
      <w:pPr>
        <w:jc w:val="both"/>
        <w:ind w:right="460" w:firstLine="749"/>
        <w:spacing w:after="0" w:line="265"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right="140" w:firstLine="749"/>
        <w:spacing w:after="0" w:line="260" w:lineRule="auto"/>
        <w:rPr>
          <w:sz w:val="20"/>
          <w:szCs w:val="20"/>
          <w:color w:val="auto"/>
        </w:rPr>
      </w:pPr>
      <w:r>
        <w:rPr>
          <w:rFonts w:ascii="Times New Roman" w:cs="Times New Roman" w:eastAsia="Times New Roman" w:hAnsi="Times New Roman"/>
          <w:sz w:val="18"/>
          <w:szCs w:val="18"/>
          <w:color w:val="auto"/>
        </w:rPr>
        <w:t>The Company sells Sunosi and Auvelity in the United States to wholesale distributors with whom the Company has entered into formal agreements (collectively, the “Distributors”). The Company sells Sunosi internationally through wholesale distributors for delivery primarily to retail pharmacies and on a product supply basis to Pharmanovia for distribution in licensed territories. See Note 13. Revenues for a further breakout of product sales, net, for the three months ended March 31, 2024 and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87"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84"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 </w:t>
      </w:r>
      <w:r>
        <w:rPr>
          <w:rFonts w:ascii="Times New Roman" w:cs="Times New Roman" w:eastAsia="Times New Roman" w:hAnsi="Times New Roman"/>
          <w:sz w:val="18"/>
          <w:szCs w:val="18"/>
          <w:color w:val="auto"/>
        </w:rPr>
        <w:t>The Company generally provides discounts which include incentive fees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receivables, net on the consolidated balance sheets.</w:t>
      </w:r>
    </w:p>
    <w:p>
      <w:pPr>
        <w:spacing w:after="0" w:line="17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 </w:t>
      </w:r>
      <w:r>
        <w:rPr>
          <w:rFonts w:ascii="Times New Roman" w:cs="Times New Roman" w:eastAsia="Times New Roman" w:hAnsi="Times New Roman"/>
          <w:sz w:val="18"/>
          <w:szCs w:val="18"/>
          <w:color w:val="auto"/>
        </w:rPr>
        <w:t>The Company generally offers a limited right of return for product that has been purchased from the Company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7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and Discounts - </w:t>
      </w:r>
      <w:r>
        <w:rPr>
          <w:rFonts w:ascii="Times New Roman" w:cs="Times New Roman" w:eastAsia="Times New Roman" w:hAnsi="Times New Roman"/>
          <w:sz w:val="18"/>
          <w:szCs w:val="18"/>
          <w:color w:val="auto"/>
        </w:rPr>
        <w:t>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58"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Rebates - </w:t>
      </w:r>
      <w:r>
        <w:rPr>
          <w:rFonts w:ascii="Times New Roman" w:cs="Times New Roman" w:eastAsia="Times New Roman" w:hAnsi="Times New Roman"/>
          <w:sz w:val="18"/>
          <w:szCs w:val="18"/>
          <w:color w:val="auto"/>
        </w:rPr>
        <w:t>Rebates apply to: Medicaid, managed care, and supplemental rebates to all applicable states as defined by the statutory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under the Inflation Reduction Act of 2022 for Medicare Part D. The Company estimates these rebates and records such estimates in the same period the related product sales is recognized, resulting in a reduction to product sales as well as a component of accrued expenses and other current liabilities.</w:t>
      </w:r>
    </w:p>
    <w:p>
      <w:pPr>
        <w:spacing w:after="0" w:line="187"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Coverage Gap - </w:t>
      </w:r>
      <w:r>
        <w:rPr>
          <w:rFonts w:ascii="Times New Roman" w:cs="Times New Roman" w:eastAsia="Times New Roman" w:hAnsi="Times New Roman"/>
          <w:sz w:val="17"/>
          <w:szCs w:val="17"/>
          <w:color w:val="auto"/>
        </w:rPr>
        <w:t>The Medicare Part D coverage gap is a period of consumer payment for prescription medication costs which lies between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initial coverage limit and the catastrophic-coverage threshold, when the patient is a member of a Medicare Part D prescription-drug program administered by the Centers for Medicare &amp; Medicaid Services. The Company estimates the percentage of goods sold under Coverage Gap and adjusts the transaction price for such discount at the time of sale resulting in a reduction to product sales as well as a component of accrued expenses and other current liabilities.</w:t>
      </w:r>
    </w:p>
    <w:p>
      <w:pPr>
        <w:spacing w:after="0" w:line="16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 </w:t>
      </w:r>
      <w:r>
        <w:rPr>
          <w:rFonts w:ascii="Times New Roman" w:cs="Times New Roman" w:eastAsia="Times New Roman" w:hAnsi="Times New Roman"/>
          <w:sz w:val="18"/>
          <w:szCs w:val="18"/>
          <w:color w:val="auto"/>
        </w:rPr>
        <w:t>Other incentives which the Company offers include voluntary patient assistance programs, such as the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adjustments are recorded in the same period the related revenue is recognized, resulting in a reduction of product sales as well as a component of accrued expenses and other current liabilities.</w:t>
      </w:r>
    </w:p>
    <w:p>
      <w:pPr>
        <w:spacing w:after="0" w:line="184" w:lineRule="exact"/>
        <w:rPr>
          <w:sz w:val="20"/>
          <w:szCs w:val="20"/>
          <w:color w:val="auto"/>
        </w:rPr>
      </w:pPr>
    </w:p>
    <w:p>
      <w:pPr>
        <w:ind w:right="420" w:firstLine="749"/>
        <w:spacing w:after="0" w:line="260" w:lineRule="auto"/>
        <w:rPr>
          <w:sz w:val="20"/>
          <w:szCs w:val="20"/>
          <w:color w:val="auto"/>
        </w:rPr>
      </w:pPr>
      <w:r>
        <w:rPr>
          <w:rFonts w:ascii="Times New Roman" w:cs="Times New Roman" w:eastAsia="Times New Roman" w:hAnsi="Times New Roman"/>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Company's cost of revenue consists of cost of product sales and a fee sharing expense related to the upfront license revenue received. Cost of product sales primarily include direct costs (inclusive of material, shipping, handling, and manufacturing costs), overhead and product royalties. Cost of product sales excludes depreciation and amortization. The cost of product sales for both Sunosi and Auvelity were $6.3 million and $7.6 million for the three months ended March 31, 2024 and 2023, respectively. In the first quarter of 2023, the Company recorded a $5.0 million fee sharing expense related to the upfront license revenue received.</w:t>
      </w:r>
    </w:p>
    <w:p>
      <w:pPr>
        <w:spacing w:after="0" w:line="18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right="20" w:firstLine="749"/>
        <w:spacing w:after="0" w:line="265" w:lineRule="auto"/>
        <w:rPr>
          <w:sz w:val="20"/>
          <w:szCs w:val="20"/>
          <w:color w:val="auto"/>
        </w:rPr>
      </w:pPr>
      <w:r>
        <w:rPr>
          <w:rFonts w:ascii="Times New Roman" w:cs="Times New Roman" w:eastAsia="Times New Roman" w:hAnsi="Times New Roman"/>
          <w:sz w:val="18"/>
          <w:szCs w:val="18"/>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and reporting unit, which is the business of developing and delivering novel therapies for the management of CNS disorders.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March 31, 2024, the balance of cash and cash equivalents was $331.4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a concentration of credit risk consist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maintains its cash deposits at financial institutions, which cash deposits exceed insured limits. At March 31, 2024,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Receivables, net below for further information.</w:t>
      </w:r>
    </w:p>
    <w:p>
      <w:pPr>
        <w:spacing w:after="0" w:line="182" w:lineRule="exact"/>
        <w:rPr>
          <w:sz w:val="20"/>
          <w:szCs w:val="20"/>
          <w:color w:val="auto"/>
        </w:rPr>
      </w:pPr>
    </w:p>
    <w:p>
      <w:pPr>
        <w:ind w:right="140"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Concentration of Risk, Other </w:t>
      </w:r>
      <w:r>
        <w:rPr>
          <w:rFonts w:ascii="Times New Roman" w:cs="Times New Roman" w:eastAsia="Times New Roman" w:hAnsi="Times New Roman"/>
          <w:sz w:val="18"/>
          <w:szCs w:val="18"/>
          <w:color w:val="auto"/>
        </w:rPr>
        <w:t>- The Company has a limited number of contract manufacturers for its products. At times, the Company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one manufacturer or supplier for its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Acquisition, the Company recorded goodwill and an intangible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March 31, 2024, the Company has determined that it has one reporting unit. The Company has not identified any events or changes in circumstances that indicate the existence of potential impairment of goodwill during the three months ended March 31, 2024. The balance of goodwill at March 31, 2024 and December 31, 2023 remains unchanged at $12.0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three months ended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reporting entity to develop its own assumptions.</w:t>
      </w:r>
    </w:p>
    <w:p>
      <w:pPr>
        <w:spacing w:after="0" w:line="225"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are cash and cash equivalents, accounts receivable, accounts payable, accrued expenses and other liabilities, contingent warrant liability, current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6. Fair Value of Financial Instruments for further detail.</w:t>
      </w:r>
    </w:p>
    <w:p>
      <w:pPr>
        <w:spacing w:after="0" w:line="186"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the Black-Scholes model based on key assumption and inputs. The Company utilizes a probability assessment to estimate the likelihood of vesting for the remaining Loan Agreement (as defined below) warrants and allocated the probability of occurrence percentage to the fair values calculated, and, therefore, is considered Level 3 within the fair value hierarchy. The Company accounts for warrants anticipated to be issued in the future under the Loan Agreement as liabilities and measures them at fair value using the Black-Scholes valuation model. The warrants are subject to remeasurement at each prospective balance sheet date, with any changes in the fair value recorded in the consolidated statements of operations. See Note 6. Fair Value of Financial Instruments for further detail.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accounts receivable, net, arise from product sales. They are generally stated at the invoiced amount and do not bear interest.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allowances result from chargebacks, prompt pay discounts, and distribution fees. Payment terms are typically 60 days or less.</w:t>
      </w:r>
    </w:p>
    <w:p>
      <w:pPr>
        <w:spacing w:after="0" w:line="206"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March 31, 2024, the Company has not recorded any allowances for doubtful accounts receivable. Receivables from the Company's three largest customers totaled 38%, 32% and 26% of the Company's accounts receivable, net, balance as of March 31, 2024. For further information about accounts receivable, see Note 3. 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220" w:firstLine="749"/>
        <w:spacing w:after="0" w:line="265"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2" w:lineRule="exact"/>
        <w:rPr>
          <w:sz w:val="20"/>
          <w:szCs w:val="20"/>
          <w:color w:val="auto"/>
        </w:rPr>
      </w:pPr>
    </w:p>
    <w:p>
      <w:pPr>
        <w:ind w:right="100" w:firstLine="749"/>
        <w:spacing w:after="0" w:line="281" w:lineRule="auto"/>
        <w:rPr>
          <w:sz w:val="20"/>
          <w:szCs w:val="20"/>
          <w:color w:val="auto"/>
        </w:rPr>
      </w:pPr>
      <w:r>
        <w:rPr>
          <w:rFonts w:ascii="Times New Roman" w:cs="Times New Roman" w:eastAsia="Times New Roman" w:hAnsi="Times New Roman"/>
          <w:sz w:val="18"/>
          <w:szCs w:val="18"/>
          <w:color w:val="auto"/>
        </w:rPr>
        <w:t>Inventory levels are evaluated for amounts that would be sold within one year. If the level of inventory exceeds the estimated amount that would be sold beyond the next 12 months, the Company classifies the estimate of such inventory as non-current.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net</w:t>
      </w:r>
    </w:p>
    <w:p>
      <w:pPr>
        <w:spacing w:after="0" w:line="188" w:lineRule="exact"/>
        <w:rPr>
          <w:sz w:val="20"/>
          <w:szCs w:val="20"/>
          <w:color w:val="auto"/>
        </w:rPr>
      </w:pPr>
    </w:p>
    <w:p>
      <w:pPr>
        <w:jc w:val="both"/>
        <w:ind w:right="20" w:firstLine="749"/>
        <w:spacing w:after="0" w:line="235"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jc w:val="both"/>
        <w:ind w:right="100" w:firstLine="749"/>
        <w:spacing w:after="0" w:line="265"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and are expensed as incurred. The Company considers advertising costs as expenses related to the promotion of the Company's commercial products. For the three months ended March 31, 2024 and 2023, advertising costs were $24.0 million and $21.4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6"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ending December 31, 2024 and has not recorded an income tax benefit for the three months ended March 31, 2024 since it is projecting losses and has incurred year to date losses in all jurisdictions from which the Company does not benefit due to the full valuation allowance position against the Company’s deferred tax assets.</w:t>
      </w:r>
    </w:p>
    <w:p>
      <w:pPr>
        <w:spacing w:after="0" w:line="17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March 31, 2024,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8" w:lineRule="exact"/>
        <w:rPr>
          <w:sz w:val="20"/>
          <w:szCs w:val="20"/>
          <w:color w:val="auto"/>
        </w:rPr>
      </w:pPr>
    </w:p>
    <w:p>
      <w:pPr>
        <w:ind w:right="80" w:firstLine="749"/>
        <w:spacing w:after="0" w:line="231" w:lineRule="exact"/>
        <w:rPr>
          <w:sz w:val="20"/>
          <w:szCs w:val="20"/>
          <w:color w:val="auto"/>
        </w:rPr>
      </w:pPr>
      <w:r>
        <w:rPr>
          <w:rFonts w:ascii="Times New Roman" w:cs="Times New Roman" w:eastAsia="Times New Roman" w:hAnsi="Times New Roman"/>
          <w:sz w:val="17"/>
          <w:szCs w:val="17"/>
          <w:color w:val="auto"/>
        </w:rPr>
        <w:t>For stock options issued, the Company estimates the grant date fair value of each option using the Black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spacing w:after="0" w:line="197"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For restricted stock units (“RSUs”), the Company issues them in the form of Company common stock. The fair market value of these awards is based on the market closing price per share on the grant date.</w:t>
      </w:r>
    </w:p>
    <w:p>
      <w:pPr>
        <w:spacing w:after="0" w:line="16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awards subject to performance-based vesting conditions, the Company recognizes stock-based compensation expense using the accelerated attribution method when the achievement of the performance condition becomes probable. The expense related to the stock-based compensation is recorded within the same financial statement line item as the grantee’s cash compensation.</w:t>
      </w:r>
    </w:p>
    <w:p>
      <w:pPr>
        <w:spacing w:after="0" w:line="182" w:lineRule="exact"/>
        <w:rPr>
          <w:sz w:val="20"/>
          <w:szCs w:val="20"/>
          <w:color w:val="auto"/>
        </w:rPr>
      </w:pPr>
    </w:p>
    <w:p>
      <w:pPr>
        <w:ind w:right="400" w:firstLine="749"/>
        <w:spacing w:after="0" w:line="281" w:lineRule="auto"/>
        <w:rPr>
          <w:sz w:val="20"/>
          <w:szCs w:val="20"/>
          <w:color w:val="auto"/>
        </w:rPr>
      </w:pPr>
      <w:r>
        <w:rPr>
          <w:rFonts w:ascii="Times New Roman" w:cs="Times New Roman" w:eastAsia="Times New Roman" w:hAnsi="Times New Roman"/>
          <w:sz w:val="18"/>
          <w:szCs w:val="18"/>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three months ended March 31, 2024 and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2" w:lineRule="exact"/>
        <w:rPr>
          <w:sz w:val="20"/>
          <w:szCs w:val="20"/>
          <w:color w:val="auto"/>
        </w:rPr>
      </w:pPr>
    </w:p>
    <w:p>
      <w:pPr>
        <w:jc w:val="both"/>
        <w:ind w:right="140" w:firstLine="749"/>
        <w:spacing w:after="0" w:line="280" w:lineRule="auto"/>
        <w:rPr>
          <w:sz w:val="20"/>
          <w:szCs w:val="20"/>
          <w:color w:val="auto"/>
        </w:rPr>
      </w:pPr>
      <w:r>
        <w:rPr>
          <w:rFonts w:ascii="Times New Roman" w:cs="Times New Roman" w:eastAsia="Times New Roman" w:hAnsi="Times New Roman"/>
          <w:sz w:val="17"/>
          <w:szCs w:val="17"/>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6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18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depreciated to the operating expenses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is currently evaluating the effect of adopting this guidance on its consolidated financial statements.</w:t>
      </w:r>
    </w:p>
    <w:p>
      <w:pPr>
        <w:spacing w:after="0" w:line="182"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115,119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Reserves for variable consideration</w:t>
            </w:r>
          </w:p>
        </w:tc>
        <w:tc>
          <w:tcPr>
            <w:tcW w:w="28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(13,685 )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(12,500 )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101,434</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further information, see the section titled “Accounts Receivable, net” Note 2. Summary of Significant Accounting Policies.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300" w:firstLine="749"/>
        <w:spacing w:after="0" w:line="265" w:lineRule="auto"/>
        <w:rPr>
          <w:sz w:val="20"/>
          <w:szCs w:val="20"/>
          <w:color w:val="auto"/>
        </w:rPr>
      </w:pPr>
      <w:r>
        <w:rPr>
          <w:rFonts w:ascii="Times New Roman" w:cs="Times New Roman" w:eastAsia="Times New Roman" w:hAnsi="Times New Roman"/>
          <w:sz w:val="18"/>
          <w:szCs w:val="18"/>
          <w:color w:val="auto"/>
        </w:rPr>
        <w:t>There were no material inventory reserves or write downs of any excess and obsolete inventory as of March 31, 2024. Non-current inventory, which consists of raw materials and work in progress inventory, is included in non-current inventory and other assets on the accompanying consolidated balance sheets. Non-current inventory is anticipated to be consumed beyond the Company's normal operating cycle.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26,664</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Intangible Asset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the intangible asset for each of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7"/>
        </w:trPr>
        <w:tc>
          <w:tcPr>
            <w:tcW w:w="5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53,286</w:t>
            </w:r>
          </w:p>
        </w:tc>
        <w:tc>
          <w:tcPr>
            <w:tcW w:w="24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9-years</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24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8-years</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Amortization expense was $1.6 million for both the three months ended March 31, 2024 and 2023.</w:t>
      </w:r>
    </w:p>
    <w:p>
      <w:pPr>
        <w:spacing w:after="0" w:line="225"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Based on the finite-lived intangible asset recorded as of March 31, 2024, and assuming the underlying asset will not be impaired and that the Company will not change the expected life of the asset, future amortization expenses over the next five years and periods thereafter are estimated to be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87"/>
        </w:trPr>
        <w:tc>
          <w:tcPr>
            <w:tcW w:w="9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shd w:val="clear" w:color="auto" w:fill="CFF0FC"/>
          </w:tcPr>
          <w:p>
            <w:pPr>
              <w:spacing w:after="0"/>
              <w:rPr>
                <w:sz w:val="21"/>
                <w:szCs w:val="21"/>
                <w:color w:val="auto"/>
              </w:rPr>
            </w:pPr>
          </w:p>
        </w:tc>
      </w:tr>
      <w:tr>
        <w:trPr>
          <w:trHeight w:val="238"/>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21,377</w:t>
            </w:r>
          </w:p>
        </w:tc>
        <w:tc>
          <w:tcPr>
            <w:tcW w:w="100" w:type="dxa"/>
            <w:vAlign w:val="bottom"/>
          </w:tcPr>
          <w:p>
            <w:pPr>
              <w:spacing w:after="0"/>
              <w:rPr>
                <w:sz w:val="20"/>
                <w:szCs w:val="20"/>
                <w:color w:val="auto"/>
              </w:rPr>
            </w:pP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of Financial Instruments</w:t>
      </w:r>
    </w:p>
    <w:p>
      <w:pPr>
        <w:spacing w:after="0" w:line="229"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In connection with the Acquisition, the Company pays royalty on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$6.4 million and non-current contingent consideration liability of $70.0 million in the consolidated balance sheet as of March 31, 2024.</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financial instruments measured on a recurring basis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255,052</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76,388</w:t>
            </w:r>
          </w:p>
        </w:tc>
        <w:tc>
          <w:tcPr>
            <w:tcW w:w="100" w:type="dxa"/>
            <w:vAlign w:val="bottom"/>
          </w:tcPr>
          <w:p>
            <w:pPr>
              <w:spacing w:after="0"/>
              <w:rPr>
                <w:sz w:val="20"/>
                <w:szCs w:val="20"/>
                <w:color w:val="auto"/>
              </w:rPr>
            </w:pPr>
          </w:p>
        </w:tc>
      </w:tr>
      <w:tr>
        <w:trPr>
          <w:trHeight w:val="669"/>
        </w:trPr>
        <w:tc>
          <w:tcPr>
            <w:tcW w:w="5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251,768</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4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contingent consideration liabilities is marked-to-market each reporting period and was remeasured at March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contingent consideration liabilities as of March 31, 2024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3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00" w:type="dxa"/>
            <w:vAlign w:val="bottom"/>
            <w:shd w:val="clear" w:color="auto" w:fill="CFF0FC"/>
          </w:tcPr>
          <w:p>
            <w:pPr>
              <w:spacing w:after="0"/>
              <w:rPr>
                <w:sz w:val="20"/>
                <w:szCs w:val="20"/>
                <w:color w:val="auto"/>
              </w:rPr>
            </w:pPr>
          </w:p>
        </w:tc>
      </w:tr>
      <w:tr>
        <w:trPr>
          <w:trHeight w:val="238"/>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 to fair value</w:t>
            </w:r>
          </w:p>
        </w:tc>
        <w:tc>
          <w:tcPr>
            <w:tcW w:w="140" w:type="dxa"/>
            <w:vAlign w:val="bottom"/>
          </w:tcPr>
          <w:p>
            <w:pPr>
              <w:spacing w:after="0"/>
              <w:rPr>
                <w:sz w:val="20"/>
                <w:szCs w:val="20"/>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(1,412 )</w:t>
            </w:r>
          </w:p>
        </w:tc>
      </w:tr>
      <w:tr>
        <w:trPr>
          <w:trHeight w:val="243"/>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(1,907 )</w:t>
            </w:r>
          </w:p>
        </w:tc>
      </w:tr>
      <w:tr>
        <w:trPr>
          <w:trHeight w:val="232"/>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March 31, 2024 (Level 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76,388</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right="400" w:firstLine="749"/>
        <w:spacing w:after="0" w:line="281"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20" w:type="dxa"/>
            <w:vAlign w:val="bottom"/>
          </w:tcPr>
          <w:p>
            <w:pPr>
              <w:spacing w:after="0"/>
              <w:rPr>
                <w:sz w:val="16"/>
                <w:szCs w:val="16"/>
                <w:color w:val="auto"/>
              </w:rPr>
            </w:pPr>
          </w:p>
        </w:tc>
        <w:tc>
          <w:tcPr>
            <w:tcW w:w="2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00" w:type="dxa"/>
            <w:vAlign w:val="bottom"/>
          </w:tcPr>
          <w:p>
            <w:pPr>
              <w:spacing w:after="0"/>
              <w:rPr>
                <w:sz w:val="11"/>
                <w:szCs w:val="11"/>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20" w:type="dxa"/>
            <w:vAlign w:val="bottom"/>
          </w:tcPr>
          <w:p>
            <w:pPr>
              <w:spacing w:after="0"/>
              <w:rPr>
                <w:sz w:val="11"/>
                <w:szCs w:val="11"/>
                <w:color w:val="auto"/>
              </w:rPr>
            </w:pPr>
          </w:p>
        </w:tc>
        <w:tc>
          <w:tcPr>
            <w:tcW w:w="2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 (range, if</w:t>
            </w:r>
          </w:p>
        </w:tc>
        <w:tc>
          <w:tcPr>
            <w:tcW w:w="100" w:type="dxa"/>
            <w:vAlign w:val="bottom"/>
          </w:tcPr>
          <w:p>
            <w:pPr>
              <w:spacing w:after="0"/>
              <w:rPr>
                <w:sz w:val="11"/>
                <w:szCs w:val="11"/>
                <w:color w:val="auto"/>
              </w:rPr>
            </w:pPr>
          </w:p>
        </w:tc>
        <w:tc>
          <w:tcPr>
            <w:tcW w:w="2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 (range, if</w:t>
            </w:r>
          </w:p>
        </w:tc>
        <w:tc>
          <w:tcPr>
            <w:tcW w:w="0" w:type="dxa"/>
            <w:vAlign w:val="bottom"/>
          </w:tcPr>
          <w:p>
            <w:pPr>
              <w:spacing w:after="0"/>
              <w:rPr>
                <w:sz w:val="1"/>
                <w:szCs w:val="1"/>
                <w:color w:val="auto"/>
              </w:rPr>
            </w:pPr>
          </w:p>
        </w:tc>
      </w:tr>
      <w:tr>
        <w:trPr>
          <w:trHeight w:val="187"/>
        </w:trPr>
        <w:tc>
          <w:tcPr>
            <w:tcW w:w="1620" w:type="dxa"/>
            <w:vAlign w:val="bottom"/>
          </w:tcPr>
          <w:p>
            <w:pPr>
              <w:spacing w:after="0"/>
              <w:rPr>
                <w:sz w:val="16"/>
                <w:szCs w:val="16"/>
                <w:color w:val="auto"/>
              </w:rPr>
            </w:pPr>
          </w:p>
        </w:tc>
        <w:tc>
          <w:tcPr>
            <w:tcW w:w="2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0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204"/>
        </w:trPr>
        <w:tc>
          <w:tcPr>
            <w:tcW w:w="16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Contingent</w:t>
            </w:r>
          </w:p>
        </w:tc>
        <w:tc>
          <w:tcPr>
            <w:tcW w:w="2340" w:type="dxa"/>
            <w:vAlign w:val="bottom"/>
            <w:shd w:val="clear" w:color="auto" w:fill="CFF0FC"/>
          </w:tcPr>
          <w:p>
            <w:pPr>
              <w:ind w:left="120"/>
              <w:spacing w:after="0" w:line="204" w:lineRule="exact"/>
              <w:rPr>
                <w:sz w:val="20"/>
                <w:szCs w:val="20"/>
                <w:color w:val="auto"/>
              </w:rPr>
            </w:pPr>
            <w:r>
              <w:rPr>
                <w:rFonts w:ascii="Times New Roman" w:cs="Times New Roman" w:eastAsia="Times New Roman" w:hAnsi="Times New Roman"/>
                <w:sz w:val="18"/>
                <w:szCs w:val="18"/>
                <w:color w:val="auto"/>
              </w:rPr>
              <w:t>Probability weighted income</w:t>
            </w:r>
          </w:p>
        </w:tc>
        <w:tc>
          <w:tcPr>
            <w:tcW w:w="100" w:type="dxa"/>
            <w:vAlign w:val="bottom"/>
            <w:shd w:val="clear" w:color="auto" w:fill="CFF0FC"/>
          </w:tcPr>
          <w:p>
            <w:pPr>
              <w:spacing w:after="0"/>
              <w:rPr>
                <w:sz w:val="17"/>
                <w:szCs w:val="17"/>
                <w:color w:val="auto"/>
              </w:rPr>
            </w:pPr>
          </w:p>
        </w:tc>
        <w:tc>
          <w:tcPr>
            <w:tcW w:w="2320" w:type="dxa"/>
            <w:vAlign w:val="bottom"/>
            <w:shd w:val="clear" w:color="auto" w:fill="CFF0FC"/>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Discount rate</w:t>
            </w:r>
          </w:p>
        </w:tc>
        <w:tc>
          <w:tcPr>
            <w:tcW w:w="2440" w:type="dxa"/>
            <w:vAlign w:val="bottom"/>
            <w:gridSpan w:val="2"/>
            <w:shd w:val="clear" w:color="auto" w:fill="CFF0FC"/>
          </w:tcPr>
          <w:p>
            <w:pPr>
              <w:jc w:val="right"/>
              <w:ind w:right="868"/>
              <w:spacing w:after="0" w:line="204" w:lineRule="exact"/>
              <w:rPr>
                <w:sz w:val="20"/>
                <w:szCs w:val="20"/>
                <w:color w:val="auto"/>
              </w:rPr>
            </w:pPr>
            <w:r>
              <w:rPr>
                <w:rFonts w:ascii="Times New Roman" w:cs="Times New Roman" w:eastAsia="Times New Roman" w:hAnsi="Times New Roman"/>
                <w:sz w:val="18"/>
                <w:szCs w:val="18"/>
                <w:color w:val="auto"/>
              </w:rPr>
              <w:t>14.2%</w:t>
            </w:r>
          </w:p>
        </w:tc>
        <w:tc>
          <w:tcPr>
            <w:tcW w:w="2420" w:type="dxa"/>
            <w:vAlign w:val="bottom"/>
            <w:gridSpan w:val="2"/>
            <w:shd w:val="clear" w:color="auto" w:fill="CFF0FC"/>
          </w:tcPr>
          <w:p>
            <w:pPr>
              <w:jc w:val="right"/>
              <w:ind w:right="848"/>
              <w:spacing w:after="0" w:line="204"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8"/>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0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3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4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16.8% - 19.8%</w:t>
            </w:r>
          </w:p>
        </w:tc>
        <w:tc>
          <w:tcPr>
            <w:tcW w:w="24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16.4% - 19.4%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are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7,625</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6,503</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16,125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20,457</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3,339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9,242</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28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49,339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46,713</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3,505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5,927</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1,659</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82,716</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Amendment to the Loan Agreement</w:t>
      </w:r>
    </w:p>
    <w:p>
      <w:pPr>
        <w:spacing w:after="0" w:line="22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On May 8, 2023, the Company entered into the Waiver and Fourth Amendment (the “Fourth Amendment”) to its Loan and Security Agreement, dated as of September 25, 2020 (as amended by that certain First Amendment to Loan and Security Agreement, dated as of October 14, 2021, as further amended by the Second Amendment to Loan and Security Agreement, dated as of March 27, 2022, and as further amended by the Third Amendment to Loan and Security Agreement, dated as of January 9, 2023) (the “Loan Agreement”) with Hercules Capital, Inc., a Maryland corporation (“Hercules”), in its capacity as administrative agent and collateral agent, and the other financial institutions or entities party thereto as lenders, with respect to the term loan thereunder (the “2020 Term Loan”).</w:t>
      </w:r>
    </w:p>
    <w:p>
      <w:pPr>
        <w:spacing w:after="0" w:line="18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Fourth Amendment increased the amount of cash that could be held by Axsome Malta Ltd. (“Axsome Malta”) outside of the United States from $3.0 million to $15.0 million for a 45-day period after the closing of the Fourth Amendment and to $10.0 million thereafter. The Fourth Amendment also waived any purported default with respect to the amount of cash held by Axsome Malta prior to the date of the Fourth Amendment. In August 2023, Hercules granted the Company a waiver to the Fourth Amendment, permitting Axsome Malta to hold up to $12.5 million in Cash outside of the United States until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Amendment to the Loan Agreement</w:t>
      </w:r>
    </w:p>
    <w:p>
      <w:pPr>
        <w:spacing w:after="0" w:line="227" w:lineRule="exact"/>
        <w:rPr>
          <w:sz w:val="20"/>
          <w:szCs w:val="20"/>
          <w:color w:val="auto"/>
        </w:rPr>
      </w:pPr>
    </w:p>
    <w:p>
      <w:pPr>
        <w:ind w:right="460" w:firstLine="749"/>
        <w:spacing w:after="0" w:line="281" w:lineRule="auto"/>
        <w:rPr>
          <w:sz w:val="20"/>
          <w:szCs w:val="20"/>
          <w:color w:val="auto"/>
        </w:rPr>
      </w:pPr>
      <w:r>
        <w:rPr>
          <w:rFonts w:ascii="Times New Roman" w:cs="Times New Roman" w:eastAsia="Times New Roman" w:hAnsi="Times New Roman"/>
          <w:sz w:val="18"/>
          <w:szCs w:val="18"/>
          <w:color w:val="auto"/>
        </w:rPr>
        <w:t>On January 9, 2023, the Company entered into a Third Amendment (the “Third Amendment”) to the Loan Agreement with Hercules, in its capacity as administrative agent and collateral agent, and the other financial institutions or entities party thereto as lenders.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Third Amendment amended the terms of the Loan Agreement to, among other things:</w:t>
      </w:r>
    </w:p>
    <w:p>
      <w:pPr>
        <w:spacing w:after="0" w:line="117" w:lineRule="exact"/>
        <w:rPr>
          <w:sz w:val="20"/>
          <w:szCs w:val="20"/>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to January 1, 2028, unless the Company meets certain revenue targets as described in the Loan Agreement, in which case the Company can extend the maturity date to January 1, 2029;</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principal amount under the Loan Agreement from $300.0 million to $350.0 million;</w:t>
      </w:r>
    </w:p>
    <w:p>
      <w:pPr>
        <w:spacing w:after="0" w:line="116" w:lineRule="exact"/>
        <w:rPr>
          <w:rFonts w:ascii="Times New Roman" w:cs="Times New Roman" w:eastAsia="Times New Roman" w:hAnsi="Times New Roman"/>
          <w:sz w:val="18"/>
          <w:szCs w:val="18"/>
          <w:color w:val="auto"/>
        </w:rPr>
      </w:pPr>
    </w:p>
    <w:p>
      <w:pPr>
        <w:ind w:left="1020" w:right="220" w:hanging="504"/>
        <w:spacing w:after="0" w:line="25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 the Loan Agreement, change the term loan advance amounts and dates available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to one tranche of $25.0 million, changing the tranche 3 advance from two sub-tranches of $15.0 million and $5.0 million to one tranche of $75.0 million and removing the tranche 4 advance and tranche 5 advance entirely;</w:t>
      </w:r>
    </w:p>
    <w:p>
      <w:pPr>
        <w:spacing w:after="0" w:line="7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interest rate applicable to extensions of credit under the Loan Agreement to equal (a) if the prime rate is greater than or equal to</w:t>
      </w:r>
    </w:p>
    <w:p>
      <w:pPr>
        <w:spacing w:after="0" w:line="27" w:lineRule="exact"/>
        <w:rPr>
          <w:rFonts w:ascii="Times New Roman" w:cs="Times New Roman" w:eastAsia="Times New Roman" w:hAnsi="Times New Roman"/>
          <w:sz w:val="18"/>
          <w:szCs w:val="18"/>
          <w:color w:val="auto"/>
        </w:rPr>
      </w:pPr>
    </w:p>
    <w:p>
      <w:pPr>
        <w:ind w:left="102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the greater of either (i) the prime rate plus 2.20%, and (ii) 9.95%, but in no event greater than 10.70%, and (b) if the prime rate is less than 7.00%, 9.70%;</w:t>
      </w:r>
    </w:p>
    <w:p>
      <w:pPr>
        <w:spacing w:after="0" w:line="7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minimum cash requirement of the Company to $30.0 million; and</w:t>
      </w:r>
    </w:p>
    <w:p>
      <w:pPr>
        <w:spacing w:after="0" w:line="116"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pay a facility fee equal to 0.75% of the amount of principal actually funded pursuant to the tranche 1B advance, tranche 1C advance, tranche 1D advance, tranche 1E advance, tranche 2 advance and tranche 3 advance.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allowed tranche 1D to expire undrawn.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160" w:firstLine="749"/>
        <w:spacing w:after="0" w:line="265" w:lineRule="auto"/>
        <w:rPr>
          <w:sz w:val="20"/>
          <w:szCs w:val="20"/>
          <w:color w:val="auto"/>
        </w:rPr>
      </w:pPr>
      <w:r>
        <w:rPr>
          <w:rFonts w:ascii="Times New Roman" w:cs="Times New Roman" w:eastAsia="Times New Roman" w:hAnsi="Times New Roman"/>
          <w:sz w:val="18"/>
          <w:szCs w:val="18"/>
          <w:color w:val="auto"/>
        </w:rPr>
        <w:t>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w:t>
      </w:r>
    </w:p>
    <w:p>
      <w:pPr>
        <w:spacing w:after="0" w:line="17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Antecip and Hercules.</w:t>
      </w:r>
    </w:p>
    <w:p>
      <w:pPr>
        <w:spacing w:after="0" w:line="182"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Effective upon closing of the Third Amendment of the Loan Agreement in January 2023, the following limited financial covenants applied:</w:t>
      </w:r>
    </w:p>
    <w:p>
      <w:pPr>
        <w:spacing w:after="0" w:line="74" w:lineRule="exact"/>
        <w:rPr>
          <w:sz w:val="20"/>
          <w:szCs w:val="20"/>
          <w:color w:val="auto"/>
        </w:rPr>
      </w:pPr>
    </w:p>
    <w:p>
      <w:pPr>
        <w:ind w:left="1020" w:right="2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closing of the Third Amendment of the Loan Agreement, the Company at all times thereafter must maintain cash in an account or accounts in which Hercules has a first priority security interest, in an aggregate amount greater than or equal to $30.0 million, plus the amount of the Company’s accounts payable under U.S. GAAP not paid after the 180th day following the invoice for such account payable (such amount, the “Qualified Cash A/P Amount”).</w:t>
      </w:r>
    </w:p>
    <w:p>
      <w:pPr>
        <w:spacing w:after="0" w:line="73" w:lineRule="exact"/>
        <w:rPr>
          <w:rFonts w:ascii="Times New Roman" w:cs="Times New Roman" w:eastAsia="Times New Roman" w:hAnsi="Times New Roman"/>
          <w:sz w:val="18"/>
          <w:szCs w:val="18"/>
          <w:color w:val="auto"/>
        </w:rPr>
      </w:pPr>
    </w:p>
    <w:p>
      <w:pPr>
        <w:ind w:left="1020" w:hanging="504"/>
        <w:spacing w:after="0" w:line="254"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must meet, beginning June 30, 2023, any of the following conditions: (A) ensure that at all times its market capitalization exceeds $1.5 billion, and that it maintains cash in an account which Hercules has a first priority security interest in an amount not less than 50% of the sum of the outstanding principal amount of the term loan advances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Qualified Cash A/P Amount, (B) ensure that at all times that it maintains cash in an account which Hercules has a first priority security interest in an amount not less than 95% of the sum of the outstanding principal amount of the term loan advances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Qualified Cash A/P Amount, or (C) achieve at least 60% of the net product revenue per the Board approved forecast solely from the sale of AXS-05, AXS-07, and Sunosi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78" w:lineRule="exact"/>
        <w:rPr>
          <w:rFonts w:ascii="Times New Roman" w:cs="Times New Roman" w:eastAsia="Times New Roman" w:hAnsi="Times New Roman"/>
          <w:sz w:val="18"/>
          <w:szCs w:val="18"/>
          <w:color w:val="auto"/>
        </w:rPr>
      </w:pPr>
    </w:p>
    <w:p>
      <w:pPr>
        <w:ind w:left="1020" w:right="40" w:hanging="504"/>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Malta, a company organized under the laws of the Republic of Malta, shall not hold cash outside of the United States in excess of $3.0 million in the aggregate at any time. This amount, however, was increased by the Fourth Amendment to $15.0 million for a 45-day period after the closing of the Fourth Amendment and to $10.0 million thereafter. Furthermore, in August 2023, Hercules granted the Company a waiver to the Fourth Amendment, permitting Axsome Malta to hold up to $12.5 million in Cash outside of the United States until December 31, 2023.</w:t>
      </w:r>
    </w:p>
    <w:p>
      <w:pPr>
        <w:spacing w:after="0" w:line="7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63"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8"/>
          <w:szCs w:val="18"/>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 xml:space="preserve">In addition, the Company is required to pay certain end of term charges, including (A) an initial end of term charge of $4.45 million and (B) a subsequent end of term charge of (i) 1.10% of the aggregate amount of all tranche 1A advances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4.95% of the aggregate amount of all term loan advances (other than tranche 1A advances) funded. The end of term charges are being accreted into interest expense using the effective interest rate method over the term of the loan.</w:t>
      </w:r>
    </w:p>
    <w:p>
      <w:pPr>
        <w:spacing w:after="0" w:line="182"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If certain maturity extension conditions are satisfied, the Company must pay an extension end of term charge equal to 1.00% of the aggregate amount of all term loan advances outstanding as of the date on which the maturity extension conditions are satisfied, in addition to the end of term charges described above.</w:t>
      </w:r>
    </w:p>
    <w:p>
      <w:pPr>
        <w:spacing w:after="0" w:line="177" w:lineRule="exact"/>
        <w:rPr>
          <w:sz w:val="20"/>
          <w:szCs w:val="20"/>
          <w:color w:val="auto"/>
        </w:rPr>
      </w:pPr>
    </w:p>
    <w:p>
      <w:pPr>
        <w:jc w:val="both"/>
        <w:ind w:right="40" w:firstLine="749"/>
        <w:spacing w:after="0" w:line="260" w:lineRule="auto"/>
        <w:rPr>
          <w:sz w:val="20"/>
          <w:szCs w:val="20"/>
          <w:color w:val="auto"/>
        </w:rPr>
      </w:pPr>
      <w:r>
        <w:rPr>
          <w:rFonts w:ascii="Times New Roman" w:cs="Times New Roman" w:eastAsia="Times New Roman" w:hAnsi="Times New Roman"/>
          <w:sz w:val="18"/>
          <w:szCs w:val="18"/>
          <w:color w:val="auto"/>
        </w:rPr>
        <w:t>The Company may, at its option prepay the term loans in full or in part, subject to a prepayment penalty equal to (i) 2.0% of the principal amount prepaid if the prepayment occurs prior to February 1, 2024, (ii) 1.5% of the principal amount prepaid if the prepayment occurs on or after February 1, 2024 but prior to February 1, 2025, and (iii) 1.0% of the principal amount prepaid if the prepayment occurs on or after February 1, 2025 but prior to February 1, 2026.</w:t>
      </w:r>
    </w:p>
    <w:p>
      <w:pPr>
        <w:spacing w:after="0" w:line="182" w:lineRule="exact"/>
        <w:rPr>
          <w:sz w:val="20"/>
          <w:szCs w:val="20"/>
          <w:color w:val="auto"/>
        </w:rPr>
      </w:pPr>
    </w:p>
    <w:p>
      <w:pPr>
        <w:ind w:right="120" w:firstLine="749"/>
        <w:spacing w:after="0" w:line="276" w:lineRule="auto"/>
        <w:rPr>
          <w:sz w:val="20"/>
          <w:szCs w:val="20"/>
          <w:color w:val="auto"/>
        </w:rPr>
      </w:pPr>
      <w:r>
        <w:rPr>
          <w:rFonts w:ascii="Times New Roman" w:cs="Times New Roman" w:eastAsia="Times New Roman" w:hAnsi="Times New Roman"/>
          <w:sz w:val="17"/>
          <w:szCs w:val="17"/>
          <w:color w:val="auto"/>
        </w:rPr>
        <w:t xml:space="preserve">The Company evaluated whether the Third Amendment entered into in January 2023 represented a debt modification or extinguishment in accordance with ASC 470-50, </w:t>
      </w:r>
      <w:r>
        <w:rPr>
          <w:rFonts w:ascii="Times New Roman" w:cs="Times New Roman" w:eastAsia="Times New Roman" w:hAnsi="Times New Roman"/>
          <w:sz w:val="17"/>
          <w:szCs w:val="17"/>
          <w:i w:val="1"/>
          <w:iCs w:val="1"/>
          <w:color w:val="auto"/>
        </w:rPr>
        <w:t>Debt – Modifications and Extinguishments</w:t>
      </w:r>
      <w:r>
        <w:rPr>
          <w:rFonts w:ascii="Times New Roman" w:cs="Times New Roman" w:eastAsia="Times New Roman" w:hAnsi="Times New Roman"/>
          <w:sz w:val="17"/>
          <w:szCs w:val="17"/>
          <w:color w:val="auto"/>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 utilizing the effective interest rate method.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180,000</w:t>
            </w: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180,000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accreted final payment fee</w:t>
            </w:r>
          </w:p>
        </w:tc>
        <w:tc>
          <w:tcPr>
            <w:tcW w:w="28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2,959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2,610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payable, long-term</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178,689</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178,070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of debt approximates its fair value given its variable interest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amortization of the final payment fee, amortization of the debt discount related to the issuance costs and warrants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780" w:type="dxa"/>
            <w:vAlign w:val="bottom"/>
            <w:tcBorders>
              <w:bottom w:val="single" w:sz="8" w:color="auto"/>
            </w:tcBorders>
            <w:gridSpan w:val="5"/>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104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10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FF0FC"/>
          </w:tcPr>
          <w:p>
            <w:pPr>
              <w:spacing w:after="0"/>
              <w:rPr>
                <w:sz w:val="21"/>
                <w:szCs w:val="21"/>
                <w:color w:val="auto"/>
              </w:rPr>
            </w:pPr>
          </w:p>
        </w:tc>
      </w:tr>
      <w:tr>
        <w:trPr>
          <w:trHeight w:val="432"/>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Scheduled principal payments on outstanding debt, as of March 31, 2024, are as follows: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180,000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10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180,000</w:t>
            </w:r>
          </w:p>
        </w:tc>
        <w:tc>
          <w:tcPr>
            <w:tcW w:w="100" w:type="dxa"/>
            <w:vAlign w:val="bottom"/>
            <w:tcBorders>
              <w:bottom w:val="single" w:sz="8" w:color="auto"/>
            </w:tcBorders>
            <w:shd w:val="clear" w:color="auto" w:fill="CFF0FC"/>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Leases are accounted for under ASC Topic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has entered into a lease agreement for the Company’s principal executive offices located in New York, NY. The lease does not include any restrictions or covenants that had to be accounted for under the lease guidance.</w:t>
      </w:r>
    </w:p>
    <w:p>
      <w:pPr>
        <w:spacing w:after="0" w:line="18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February 2023, the Company entered into a ten-year agreement to sublease office space at One World Trade Center, which began in April 2023. Based on the Company's past experience and current expectation for administrative office needs, the Company determined the lease term to be five years. As of March 31, 2024, the remaining lease term for the Company's operating lease was 4.0 years with a discount rate of 12.0%.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three months ended March 31, 2024, the Company recognized a right-of-use asset of $2.5 million and lease liability of $2.5 million in connection to this lease. As of March 31, 2024, right-of-use asset and lease liability related to the finance lease were $2.4 million and $2.3 million, respectively, and the weighted average remaining lease term was 3.4 years with a weighted average discount rate of 9.7%.</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expenses recognized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7"/>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40"/>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Future minimum lease payments of the Company’s leases as of March 31, 2024 were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2"/>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100" w:type="dxa"/>
            <w:vAlign w:val="bottom"/>
          </w:tcPr>
          <w:p>
            <w:pPr>
              <w:spacing w:after="0"/>
              <w:rPr>
                <w:sz w:val="24"/>
                <w:szCs w:val="2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1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(2,884 )</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(384 )</w:t>
            </w:r>
          </w:p>
        </w:tc>
      </w:tr>
      <w:tr>
        <w:trPr>
          <w:trHeight w:val="276"/>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December 2019, the Company entered into a sales agreement (the “December 2019 Sales Agreement”) with SVB Securities LLC (now known as Leerink Partners LLC) (“Leerink”), pursuant to which the Company may sell up to $80 million in shares of the Company’s common stock from time to time through Leerink, acting as the Company’s sales agent, in one or more at-the-market offerings utilizing an automatic shelf registration statement (the “2019 Shelf Registration Statement”) the Company filed with the U.S. Securities and Exchange Commission (the “SEC”) on December 5, 2019 for the issuance of common stock, preferred stock, warrants, rights, debt securities and units. Leerink is entitled to receive a commission of 3.0% of the gross proceeds for any shares sold under the December 2019 Sales Agreement. The December 2019 Sales Agreement was replaced by the March 2022 Sales Agreement (as defined below).</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“March 2022 Sales Agreement”) with Leerink, pursuant to which the Company may sell up to $200 million in shares of the Company’s common stock from time to time through Leerink, acting as the Company’s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dated December 5, 2019, by and between the Company and Leerink. The Company exhausted sales of its shares of the Company’s common stock under its prior at-the-market offering program.</w:t>
      </w:r>
    </w:p>
    <w:p>
      <w:pPr>
        <w:spacing w:after="0" w:line="186"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August 2022, the Company filed a prospectus supplement to the 2019 Shelf Registration Statement for the issuance and sale, if any, of up to an additional $250 million in shares of the Company’s common stock. The Company will pay Leerink a commission of up to 3.0% of the gross sales proceeds of any shares sold through Leerink, acting as sales agent, under the March 2022 Sales Agreement.</w:t>
      </w:r>
    </w:p>
    <w:p>
      <w:pPr>
        <w:spacing w:after="0" w:line="177"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the Company’s common stock that may be issued and sold from time to time through Leerink, as the Company’s sales agent, under the March 2022 Sales Agreement.</w:t>
      </w:r>
    </w:p>
    <w:p>
      <w:pPr>
        <w:spacing w:after="0" w:line="18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did not utilize the March 2022 Sales Agreement with Leerink during the three months ended March 31, 2024. Under the December 2019 Sales Agreement and March 2022 Sales Agreement, the Company received approximately $238.8 million in gross proceeds through the sale of 5,167,973 shares, of which net proceeds were approximately $231.8 million for the year ended December 31, 2022. Under the December 2019 Sales Agreement, the Company received approximately $7.4 million in gross proceeds through the sale of 110,296 shares, of which net proceeds were approximately $7.2 million for the year ended December 31, 2021.</w:t>
      </w:r>
    </w:p>
    <w:p>
      <w:pPr>
        <w:spacing w:after="0" w:line="182" w:lineRule="exact"/>
        <w:rPr>
          <w:sz w:val="20"/>
          <w:szCs w:val="20"/>
          <w:color w:val="auto"/>
        </w:rPr>
      </w:pPr>
    </w:p>
    <w:p>
      <w:pPr>
        <w:ind w:right="260" w:firstLine="749"/>
        <w:spacing w:after="0" w:line="281" w:lineRule="auto"/>
        <w:rPr>
          <w:sz w:val="20"/>
          <w:szCs w:val="20"/>
          <w:color w:val="auto"/>
        </w:rPr>
      </w:pPr>
      <w:r>
        <w:rPr>
          <w:rFonts w:ascii="Times New Roman" w:cs="Times New Roman" w:eastAsia="Times New Roman" w:hAnsi="Times New Roman"/>
          <w:sz w:val="18"/>
          <w:szCs w:val="18"/>
          <w:color w:val="auto"/>
        </w:rPr>
        <w:t>Upon the closing of the Second Amendment, which occurred in March 2022, Hercules also purchased 152,487 of the Company’s unregistered common stock for a total consideration of $5.0 million at a share price equal to $32.79 per share, pursuant to a share transfer agreement.</w:t>
      </w:r>
    </w:p>
    <w:p>
      <w:pPr>
        <w:spacing w:after="0" w:line="163"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Public Offering</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jc w:val="both"/>
        <w:ind w:right="140" w:firstLine="749"/>
        <w:spacing w:after="0" w:line="265" w:lineRule="auto"/>
        <w:rPr>
          <w:sz w:val="20"/>
          <w:szCs w:val="20"/>
          <w:color w:val="auto"/>
        </w:rPr>
      </w:pPr>
      <w:r>
        <w:rPr>
          <w:rFonts w:ascii="Times New Roman" w:cs="Times New Roman" w:eastAsia="Times New Roman" w:hAnsi="Times New Roman"/>
          <w:sz w:val="18"/>
          <w:szCs w:val="18"/>
          <w:color w:val="auto"/>
        </w:rPr>
        <w:t>On December 2, 2022, the Company filed an automatic shelf registration statement (the “2022 Shelf Registration Statement”) with the SEC for the issuance of common stock, preferred stock, warrants, rights, debt securities and units. It became effective upon filing with the SEC and is currently the Company’s only active shelf registration.</w:t>
      </w:r>
    </w:p>
    <w:p>
      <w:pPr>
        <w:spacing w:after="0" w:line="177" w:lineRule="exact"/>
        <w:rPr>
          <w:sz w:val="20"/>
          <w:szCs w:val="20"/>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8"/>
          <w:szCs w:val="18"/>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500" w:firstLine="749"/>
        <w:spacing w:after="0" w:line="281" w:lineRule="auto"/>
        <w:rPr>
          <w:sz w:val="20"/>
          <w:szCs w:val="20"/>
          <w:color w:val="auto"/>
        </w:rPr>
      </w:pPr>
      <w:r>
        <w:rPr>
          <w:rFonts w:ascii="Times New Roman" w:cs="Times New Roman" w:eastAsia="Times New Roman" w:hAnsi="Times New Roman"/>
          <w:sz w:val="18"/>
          <w:szCs w:val="18"/>
          <w:color w:val="auto"/>
        </w:rPr>
        <w:t>In November 2015, the 2015 Omnibus Incentive Compensation Plan (the “2015 Plan”) was adopted by the Company’s stockholders. As of March 31, 2024, there were 1,065,737 shares available for future grant under the 2015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 option activity as of March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2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2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3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6"/>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8,462,294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896,281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84.57</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(80,294 )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31.15</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(122,151 )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56.37</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3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9,156,130</w:t>
            </w:r>
          </w:p>
        </w:tc>
        <w:tc>
          <w:tcPr>
            <w:tcW w:w="1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45.59</w:t>
            </w:r>
          </w:p>
        </w:tc>
        <w:tc>
          <w:tcPr>
            <w:tcW w:w="12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318,271</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2024</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9,156,130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45.59</w:t>
            </w:r>
          </w:p>
        </w:tc>
        <w:tc>
          <w:tcPr>
            <w:tcW w:w="14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318,271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March 31, 2024</w:t>
            </w:r>
          </w:p>
        </w:tc>
        <w:tc>
          <w:tcPr>
            <w:tcW w:w="13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4,789,624</w:t>
            </w:r>
          </w:p>
        </w:tc>
        <w:tc>
          <w:tcPr>
            <w:tcW w:w="1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238,931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-384810</wp:posOffset>
            </wp:positionV>
            <wp:extent cx="93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-367665</wp:posOffset>
            </wp:positionV>
            <wp:extent cx="93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-384810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-367665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-384810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-367665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93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939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ectPr>
          <w:pgSz w:w="11900" w:h="16838" w:orient="portrait"/>
          <w:cols w:equalWidth="0" w:num="1">
            <w:col w:w="11240"/>
          </w:cols>
          <w:pgMar w:left="320" w:top="3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80" w:firstLine="749"/>
        <w:spacing w:after="0" w:line="220" w:lineRule="exact"/>
        <w:rPr>
          <w:sz w:val="20"/>
          <w:szCs w:val="20"/>
          <w:color w:val="auto"/>
        </w:rPr>
      </w:pPr>
      <w:r>
        <w:rPr>
          <w:rFonts w:ascii="Times New Roman" w:cs="Times New Roman" w:eastAsia="Times New Roman" w:hAnsi="Times New Roman"/>
          <w:sz w:val="18"/>
          <w:szCs w:val="18"/>
          <w:color w:val="auto"/>
        </w:rPr>
        <w:t>The weighted average grant date fair value of options granted was $65.49 per option for the three months ended March 31, 2024. As of March 31, 2024, there was $198.4 million of total unrecognized compensation cost related to non-vested stock options which is expected to be recognized over a weighted average period of 2.8 years. These amounts do not include 6,169 options outstanding as of March 31, 2024, which are performance-based and vest upon the achievement of certain corporate milestones.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will be measured and recorded if and when it is probable that the milestone will occur.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300" w:firstLine="749"/>
        <w:spacing w:after="0" w:line="260" w:lineRule="auto"/>
        <w:rPr>
          <w:sz w:val="20"/>
          <w:szCs w:val="20"/>
          <w:color w:val="auto"/>
        </w:rPr>
      </w:pPr>
      <w:r>
        <w:rPr>
          <w:rFonts w:ascii="Times New Roman" w:cs="Times New Roman" w:eastAsia="Times New Roman" w:hAnsi="Times New Roman"/>
          <w:sz w:val="18"/>
          <w:szCs w:val="18"/>
          <w:color w:val="auto"/>
        </w:rPr>
        <w:t>The fair value of RSUs is determined on the date of the grant based on the market price of its shares of common stock as of that date. The fair value of the RSUs is recognized as an expense ratably over the vesting period of four years. As of March 31, 2024, total compensation cost not yet recognized related to unvested RSUs was $47.7 million, which is expected to be recognized over a weighted-average period of 3.0 years. The intrinsic value of RSUs lapsed during the three months ended March 31, 2024 was $4.3 million.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RSU activity for the three months ended March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9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6"/>
                <w:szCs w:val="16"/>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804,150</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340,341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(210,490 )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(11,350 )</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922,651</w:t>
            </w:r>
          </w:p>
        </w:tc>
        <w:tc>
          <w:tcPr>
            <w:tcW w:w="2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The ESPP allows employees to purchase shares of the Company’s common stock. The purchase price is equal to 85% of the lower of the closing price of the Company’s common stock on (1) the first day of the offering period or (2) the last day of the offering period. The Company commenced the first offering pursuant to the ESPP on June 1, 2023, and such offering will end on May 31, 2024. During the three months ended March 31, 2024, no shares of common stock were purchased pursuant to the ESPP, and $0.4 million of expense was recorded for the same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Stock-based compensation expense recognized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4,568</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2,414</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15,622</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10,529</w:t>
            </w:r>
          </w:p>
        </w:tc>
      </w:tr>
      <w:tr>
        <w:trPr>
          <w:trHeight w:val="272"/>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20,190</w:t>
            </w:r>
          </w:p>
        </w:tc>
        <w:tc>
          <w:tcPr>
            <w:tcW w:w="18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ind w:right="200" w:firstLine="749"/>
        <w:spacing w:after="0" w:line="260"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$0.3 million and $0.7 million for the three months ended March 31, 2024 and 2023, respectively. The Company started capitalizing stock-based compensation to inventory in the third quarter of 2022. Capitalized stock-based compensation is recognized as an expense in cost of product sales when the related product is sold or in selling, general and administrative expense when the related product is dispensed as a physician sample.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three months ended March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1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7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2024</w:t>
            </w:r>
          </w:p>
        </w:tc>
        <w:tc>
          <w:tcPr>
            <w:tcW w:w="1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79,220</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entry into the Third Amendment,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18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Loss per Common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(68,357 )</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47,393,563</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43,523,631</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ind w:right="240" w:firstLine="749"/>
        <w:spacing w:after="0" w:line="281"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they would be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2280" w:type="dxa"/>
            <w:vAlign w:val="bottom"/>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Pr>
          <w:p>
            <w:pPr>
              <w:spacing w:after="0"/>
              <w:rPr>
                <w:sz w:val="15"/>
                <w:szCs w:val="15"/>
                <w:color w:val="auto"/>
              </w:rPr>
            </w:pPr>
          </w:p>
        </w:tc>
      </w:tr>
      <w:tr>
        <w:trPr>
          <w:trHeight w:val="187"/>
        </w:trPr>
        <w:tc>
          <w:tcPr>
            <w:tcW w:w="7660" w:type="dxa"/>
            <w:vAlign w:val="bottom"/>
          </w:tcPr>
          <w:p>
            <w:pPr>
              <w:spacing w:after="0"/>
              <w:rPr>
                <w:sz w:val="16"/>
                <w:szCs w:val="16"/>
                <w:color w:val="auto"/>
              </w:rPr>
            </w:pPr>
          </w:p>
        </w:tc>
        <w:tc>
          <w:tcPr>
            <w:tcW w:w="174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9,156,130</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8,038,119</w:t>
            </w: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7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922,651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787,134</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7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79,220</w:t>
            </w:r>
          </w:p>
        </w:tc>
        <w:tc>
          <w:tcPr>
            <w:tcW w:w="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69,520</w:t>
            </w: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7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53,500</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10,211,501</w:t>
            </w:r>
          </w:p>
        </w:tc>
        <w:tc>
          <w:tcPr>
            <w:tcW w:w="12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8,894,773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Revenues</w:t>
      </w:r>
    </w:p>
    <w:p>
      <w:pPr>
        <w:spacing w:after="0" w:line="229" w:lineRule="exact"/>
        <w:rPr>
          <w:sz w:val="20"/>
          <w:szCs w:val="20"/>
          <w:color w:val="auto"/>
        </w:rPr>
      </w:pPr>
    </w:p>
    <w:p>
      <w:pPr>
        <w:ind w:right="260" w:firstLine="749"/>
        <w:spacing w:after="0" w:line="281" w:lineRule="auto"/>
        <w:rPr>
          <w:sz w:val="20"/>
          <w:szCs w:val="20"/>
          <w:color w:val="auto"/>
        </w:rPr>
      </w:pPr>
      <w:r>
        <w:rPr>
          <w:rFonts w:ascii="Times New Roman" w:cs="Times New Roman" w:eastAsia="Times New Roman" w:hAnsi="Times New Roman"/>
          <w:sz w:val="18"/>
          <w:szCs w:val="18"/>
          <w:color w:val="auto"/>
        </w:rPr>
        <w:t>The Company sells Sunosi and Auvelity in the United States through the Distributors. The Company sells Sunosi internationally through local distributors for delivery primarily to retail pharmacies and hospitals.</w:t>
      </w:r>
    </w:p>
    <w:p>
      <w:pPr>
        <w:spacing w:after="0" w:line="163" w:lineRule="exact"/>
        <w:rPr>
          <w:sz w:val="20"/>
          <w:szCs w:val="20"/>
          <w:color w:val="auto"/>
        </w:rPr>
      </w:pPr>
    </w:p>
    <w:p>
      <w:pPr>
        <w:ind w:right="480" w:firstLine="749"/>
        <w:spacing w:after="0" w:line="281" w:lineRule="auto"/>
        <w:rPr>
          <w:sz w:val="20"/>
          <w:szCs w:val="20"/>
          <w:color w:val="auto"/>
        </w:rPr>
      </w:pPr>
      <w:r>
        <w:rPr>
          <w:rFonts w:ascii="Times New Roman" w:cs="Times New Roman" w:eastAsia="Times New Roman" w:hAnsi="Times New Roman"/>
          <w:sz w:val="18"/>
          <w:szCs w:val="18"/>
          <w:color w:val="auto"/>
        </w:rPr>
        <w:t>License revenue consists of the recognition of the upfront payment the Company received from Pharmanovia in February 2023 and royalty revenue is related to sales of Sunosi by Pharmanovia in certain ex-U.S. markets.</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product:</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By Product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31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Auvelity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53,395</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Sunosi</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20,701</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100" w:type="dxa"/>
            <w:vAlign w:val="bottom"/>
          </w:tcPr>
          <w:p>
            <w:pPr>
              <w:spacing w:after="0"/>
              <w:rPr>
                <w:sz w:val="20"/>
                <w:szCs w:val="20"/>
                <w:color w:val="auto"/>
              </w:rPr>
            </w:pPr>
          </w:p>
        </w:tc>
      </w:tr>
      <w:tr>
        <w:trPr>
          <w:trHeight w:val="274"/>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Sunosi license revenue</w:t>
            </w: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shd w:val="clear" w:color="auto" w:fill="CFF0FC"/>
          </w:tcPr>
          <w:p>
            <w:pPr>
              <w:spacing w:after="0"/>
              <w:rPr>
                <w:sz w:val="23"/>
                <w:szCs w:val="23"/>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Sunosi royalty revenue</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r>
      <w:tr>
        <w:trPr>
          <w:trHeight w:val="27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94,576</w:t>
            </w:r>
          </w:p>
        </w:tc>
        <w:tc>
          <w:tcPr>
            <w:tcW w:w="100" w:type="dxa"/>
            <w:vAlign w:val="bottom"/>
            <w:shd w:val="clear" w:color="auto" w:fill="CFF0FC"/>
          </w:tcPr>
          <w:p>
            <w:pPr>
              <w:spacing w:after="0"/>
              <w:rPr>
                <w:sz w:val="24"/>
                <w:szCs w:val="24"/>
                <w:color w:val="auto"/>
              </w:rPr>
            </w:pPr>
          </w:p>
        </w:tc>
      </w:tr>
      <w:tr>
        <w:trPr>
          <w:trHeight w:val="416"/>
        </w:trPr>
        <w:tc>
          <w:tcPr>
            <w:tcW w:w="774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geographic location:</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1"/>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By Geographic Location</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4"/>
                <w:szCs w:val="24"/>
                <w:color w:val="auto"/>
              </w:rPr>
            </w:pPr>
          </w:p>
        </w:tc>
        <w:tc>
          <w:tcPr>
            <w:tcW w:w="31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73,271</w:t>
            </w: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74,096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74,999</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-3030220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-3030220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-2379980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-2362835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-2379980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-967105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For the three months ended March 31, 2024, product sales, net, includes adjustments for provisions for product sales made in prior periods resulting from changes in estimates of $1.2 million for Auvelity and $0.6 million for Sunosi. For the three months ended March 31, 2023, product sales, net, includes adjustments for provisions for product sales made in prior periods resulting from changes in estimates of $0.7 million for Auvelity and ($0.3) million for Sunosi.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consideration for entering the Pharmanovia License Agreement, the Company received a non-refundable upfront payment of €62.0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($65.7 million). The Company also will receive a royalty percentage in the mid-twenties on Sunosi net sales in the Territory and is eligible to receive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milestone payments totaling up to €94.5 million.</w:t>
      </w:r>
    </w:p>
    <w:p>
      <w:pPr>
        <w:spacing w:after="0" w:line="206" w:lineRule="exact"/>
        <w:rPr>
          <w:sz w:val="20"/>
          <w:szCs w:val="20"/>
          <w:color w:val="auto"/>
        </w:rPr>
      </w:pPr>
    </w:p>
    <w:p>
      <w:pPr>
        <w:ind w:right="100" w:firstLine="794"/>
        <w:spacing w:after="0" w:line="253" w:lineRule="auto"/>
        <w:rPr>
          <w:sz w:val="20"/>
          <w:szCs w:val="20"/>
          <w:color w:val="auto"/>
        </w:rPr>
      </w:pPr>
      <w:r>
        <w:rPr>
          <w:rFonts w:ascii="Times New Roman" w:cs="Times New Roman" w:eastAsia="Times New Roman" w:hAnsi="Times New Roman"/>
          <w:sz w:val="18"/>
          <w:szCs w:val="18"/>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For the three months ended March 31, 2024 and 2023, the Company recognized royalty revenue of $0.9 million and $0.3 million, respectively, related to Pharmanovia sales of Sunosi. No other development or sales-based milestones were recognized during the three months ended March 31, 2024 and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86" w:lineRule="exact"/>
        <w:rPr>
          <w:sz w:val="20"/>
          <w:szCs w:val="20"/>
          <w:color w:val="auto"/>
        </w:rPr>
      </w:pPr>
    </w:p>
    <w:p>
      <w:pPr>
        <w:ind w:right="140" w:firstLine="749"/>
        <w:spacing w:after="0" w:line="276" w:lineRule="auto"/>
        <w:rPr>
          <w:sz w:val="20"/>
          <w:szCs w:val="20"/>
          <w:color w:val="auto"/>
        </w:rPr>
      </w:pPr>
      <w:r>
        <w:rPr>
          <w:rFonts w:ascii="Times New Roman" w:cs="Times New Roman" w:eastAsia="Times New Roman" w:hAnsi="Times New Roman"/>
          <w:sz w:val="17"/>
          <w:szCs w:val="17"/>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w:t>
      </w:r>
    </w:p>
    <w:p>
      <w:pPr>
        <w:ind w:left="280" w:hanging="272"/>
        <w:spacing w:after="0"/>
        <w:tabs>
          <w:tab w:leader="none" w:pos="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2024 and 2023, no milestone payments or royalties were paid to Pfizer by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17"/>
          <w:szCs w:val="17"/>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three months ended March 31, 2024 and 2023, the Company recorded royalty expense of $1.6 million and $0.5 million, respectively, for royalty due to Antecip, which is equal to 3.0% of net sales of Auvelity. This is considered to be a related party transaction.</w:t>
      </w:r>
    </w:p>
    <w:p>
      <w:pPr>
        <w:spacing w:after="0" w:line="175"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In connection with the Loan Agreement, the Company entered into the Direct Agreement with Antecip and Hercules, pursuant to which Antecip consented to the collateral assignment of the License Agreement under the Loan Agreement, among other things.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Royalty Agreements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87"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w:t>
      </w:r>
    </w:p>
    <w:p>
      <w:pPr>
        <w:spacing w:after="0" w:line="17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the Company's loss before income taxes and effective tax rates for all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324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740" w:type="dxa"/>
            <w:vAlign w:val="bottom"/>
          </w:tcPr>
          <w:p>
            <w:pPr>
              <w:ind w:left="37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(68,357 )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(8,638 )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(2,580 )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280" w:firstLine="749"/>
        <w:spacing w:after="0" w:line="255"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foreign jurisdictions in which the Company does business. These foreign jurisdictions have statutory tax rates different from those in the United States. Accordingly, the Company's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 The Company regularly assesses the likelihood of adverse outcomes resulting from the examination of the Company's tax returns by the Internal Revenue Service (the “IRS”) and other tax authorities to determine the adequacy of its income tax reserves and expense. Should actual events or results differ from the Company's current expectations, charges or credits to its income tax expense may become necessary.</w:t>
      </w:r>
    </w:p>
    <w:p>
      <w:pPr>
        <w:spacing w:after="0" w:line="187" w:lineRule="exact"/>
        <w:rPr>
          <w:sz w:val="20"/>
          <w:szCs w:val="20"/>
          <w:color w:val="auto"/>
        </w:rPr>
      </w:pPr>
    </w:p>
    <w:p>
      <w:pPr>
        <w:jc w:val="both"/>
        <w:ind w:right="140" w:firstLine="749"/>
        <w:spacing w:after="0" w:line="312" w:lineRule="auto"/>
        <w:rPr>
          <w:sz w:val="20"/>
          <w:szCs w:val="20"/>
          <w:color w:val="auto"/>
        </w:rPr>
      </w:pPr>
      <w:r>
        <w:rPr>
          <w:rFonts w:ascii="Times New Roman" w:cs="Times New Roman" w:eastAsia="Times New Roman" w:hAnsi="Times New Roman"/>
          <w:sz w:val="17"/>
          <w:szCs w:val="17"/>
          <w:color w:val="auto"/>
        </w:rPr>
        <w:t>The Company did not record a tax expense for the three months ended March 31, 2024. The Company recorded a tax expense of $2.6 million for the three months ended March 31, 2023 on income earned in Malta in relation to the license revenue recognized from the Pharmanovia License Agreement.</w:t>
      </w:r>
    </w:p>
    <w:p>
      <w:pPr>
        <w:spacing w:after="0" w:line="139" w:lineRule="exact"/>
        <w:rPr>
          <w:sz w:val="20"/>
          <w:szCs w:val="20"/>
          <w:color w:val="auto"/>
        </w:rPr>
      </w:pPr>
    </w:p>
    <w:p>
      <w:pPr>
        <w:ind w:right="180" w:firstLine="749"/>
        <w:spacing w:after="0" w:line="281" w:lineRule="auto"/>
        <w:rPr>
          <w:sz w:val="20"/>
          <w:szCs w:val="20"/>
          <w:color w:val="auto"/>
        </w:rPr>
      </w:pPr>
      <w:r>
        <w:rPr>
          <w:rFonts w:ascii="Times New Roman" w:cs="Times New Roman" w:eastAsia="Times New Roman" w:hAnsi="Times New Roman"/>
          <w:sz w:val="18"/>
          <w:szCs w:val="18"/>
          <w:color w:val="auto"/>
        </w:rPr>
        <w:t>The Company did not have any unrecognized tax benefits as of March 31, 2024 related to uncertain tax positions that would impact the effective income tax rate if recognized.</w:t>
      </w:r>
    </w:p>
    <w:p>
      <w:pPr>
        <w:spacing w:after="0" w:line="163" w:lineRule="exact"/>
        <w:rPr>
          <w:sz w:val="20"/>
          <w:szCs w:val="20"/>
          <w:color w:val="auto"/>
        </w:rPr>
      </w:pPr>
    </w:p>
    <w:p>
      <w:pPr>
        <w:jc w:val="both"/>
        <w:ind w:right="360" w:firstLine="749"/>
        <w:spacing w:after="0" w:line="260" w:lineRule="auto"/>
        <w:rPr>
          <w:sz w:val="20"/>
          <w:szCs w:val="20"/>
          <w:color w:val="auto"/>
        </w:rPr>
      </w:pPr>
      <w:r>
        <w:rPr>
          <w:rFonts w:ascii="Times New Roman" w:cs="Times New Roman" w:eastAsia="Times New Roman" w:hAnsi="Times New Roman"/>
          <w:sz w:val="18"/>
          <w:szCs w:val="18"/>
          <w:color w:val="auto"/>
        </w:rPr>
        <w:t>The Company is currently under examination by the IRS for the Company's 2021 U.S. income tax return.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Related Party Transactions</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The Company recorded royalty expense of $1.6 million and $0.5 million for the three months ended March 31, 2024 and 2023, which equal 3.0% of net sales of Auvelity.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 a party to three exclusive license agreements with Antecip Bioventures II LLC, an entity owned by Dr. Tabuteau. See Note 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for further information regarding the license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11"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8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2023 which was filed with the Securities and Exchange Commission, or SEC, on February 23, 2024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are a commercial-stage biopharmaceutical company developing and delivering novel therapies for central nervous system, or CNS, conditions that have limited treatment options. By focusing on this therapeutic area, we are addressing significant and growing markets where current treatment options are limited or inadequate. The Company’s CNS portfolio includes three not yet approved product candidates, AXS-07, AXS-12, and AXS-14, which are being developed for multiple indications, and two approved products - Auvelity® and Sunosi® - both of which are also being developed for further indications. In May 2022, the Company completed the U.S. acquisition of Sunosi from Jazz Pharmaceuticals, or Jazz, and in November 2022, the Company acquired the ex-U.S. assets of Sunosi from Jazz for certain international markets, or, collectively, the Acquisition. Sunosi is a product approved by the U.S. Food and Drug Administration, or the FDA, and marketed in the U.S. to improve wakefulness in adult patients with excessive daytime sleepiness associated with narcolepsy or obstructive sleep apnea, and also approved in Europe in January 2020 by the European Commission. In August 2022, the Company announced the FDA approval, and in October 2022, the U.S. commercial availability of Auvelity. Auvelity is indicated to the treatment of major depressive disorder in adults.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117" w:lineRule="exact"/>
        <w:rPr>
          <w:sz w:val="20"/>
          <w:szCs w:val="20"/>
          <w:color w:val="auto"/>
        </w:rPr>
      </w:pPr>
    </w:p>
    <w:p>
      <w:pPr>
        <w:ind w:left="1020" w:right="20" w:hanging="504"/>
        <w:spacing w:after="0" w:line="262" w:lineRule="auto"/>
        <w:tabs>
          <w:tab w:leader="none" w:pos="10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Auvelity®. </w:t>
      </w:r>
      <w:r>
        <w:rPr>
          <w:rFonts w:ascii="Times New Roman" w:cs="Times New Roman" w:eastAsia="Times New Roman" w:hAnsi="Times New Roman"/>
          <w:sz w:val="18"/>
          <w:szCs w:val="18"/>
          <w:color w:val="auto"/>
        </w:rPr>
        <w:t>Auvelity (dextromethorphan-bupropion) is a novel, oral, N-methyl-D-aspartate (NMDA) receptor antagonist with multimodal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activity indicated to the treatment of major depressive disorder, also known as MDD. Auvelity was developed by the Company and approved by the U.S. Food and Drug Administration, or the FDA, for the treatment of MDD in August 2022. We commenced the commercial sale of Auvelity in the United States in October 2022.</w:t>
      </w:r>
    </w:p>
    <w:p>
      <w:pPr>
        <w:spacing w:after="0" w:line="67" w:lineRule="exact"/>
        <w:rPr>
          <w:rFonts w:ascii="Times New Roman" w:cs="Times New Roman" w:eastAsia="Times New Roman" w:hAnsi="Times New Roman"/>
          <w:sz w:val="18"/>
          <w:szCs w:val="18"/>
          <w:b w:val="1"/>
          <w:bCs w:val="1"/>
          <w:i w:val="1"/>
          <w:iCs w:val="1"/>
          <w:color w:val="auto"/>
        </w:rPr>
      </w:pPr>
    </w:p>
    <w:p>
      <w:pPr>
        <w:ind w:left="1020" w:hanging="504"/>
        <w:spacing w:after="0" w:line="255" w:lineRule="auto"/>
        <w:tabs>
          <w:tab w:leader="none" w:pos="10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Sunosi®. </w:t>
      </w:r>
      <w:r>
        <w:rPr>
          <w:rFonts w:ascii="Times New Roman" w:cs="Times New Roman" w:eastAsia="Times New Roman" w:hAnsi="Times New Roman"/>
          <w:sz w:val="18"/>
          <w:szCs w:val="18"/>
          <w:color w:val="auto"/>
        </w:rPr>
        <w:t>Sunosi (solriamfetol) is a novel, oral medication indicated to the treatment of excessive daytime sleepiness, also known as EDS,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with narcolepsy or obstructive sleep apnea. Sunosi was approved for the treatment of EDS in the United States in 2019 and by the European Commission in 2022. We acquired the U.S. rights to Sunosi from Jazz Pharmaceuticals plc, or Jazz, in May 2022 and worldwide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announced a licensing transaction, or the Pharmanovia License Agreement, with Atnahs Pharma UK Limited, or Pharmanovia, to market Sunosi in Europe and certain countries in the Middle East and North Africa, or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Programs</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When used in programs for further development, we refer to the proprietary dextromethorphan-bupropion formulation contained in Auvelity as “AXS-05.” AXS-05 is a novel, oral, investigational NMDA receptor antagonist with multimodal activity under development for the treatment of Alzheimer’s disease agitation, or AD agitation and smoking cessation. AXS-05 utilizes a proprietary formulation and dose of dextromethorphan and bupropion, and Axsome’s metabolic inhibition technology, to modulate the delivery of the components. We have completed a Phase 2/3 trial of AXS-05 in AD agitation, which we refer to as the ADVANCE-1 trial. AXS-05 achieved the primary endpoint in the ADVANCE-1 trial. We have also completed the ACCORD trial, a Phase 3, double blind, placebo-controlled, randomized withdrawal trial in patients with AD agitation, and we are conducting an open-label long-term safety study in AD agitation. We are currently conducting the ADVANCE-2 trial, another Phase 3, double blind, placebo-controlled, trial in patients with AD agitation. We are also conducting the ACCORD-2 study, a Phase 3, double-blind, placebo-controlled, randomized withdrawal trial in patients with AD agitation. A positive Phase 2 trial for the use of AXS-05 in smoking cessation has been completed under a research collaboration with Duke University.</w:t>
      </w:r>
    </w:p>
    <w:p>
      <w:pPr>
        <w:spacing w:after="0" w:line="19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AXS-07 is a novel, oral, rapidly absorbed, multi-mechanistic, investigational medicine under development for the acute treatment of migraine. AXS-07 consists of MoSEIC™, or Molecular Solubility Enhanced Inclusion Complex, meloxicam and rizatriptan. We have completed two Phase 3 trials of AXS-07 for the acute treatment of migraine, which we refer to as the MOMENTUM and INTERCEPT trials. AXS-07 achieved the co-primary endpoints in both the MOMENTUM and INTERCEPT trials. We have also completed an open-label, long-term, safety study of AXS-07 in patients with migraine known as the MOVEMENT trial. In the MOVEMENT trial, administration of AXS-07 resulted in rapid, and substantial relief of migraine pain and associated symptoms and was well tolerated with long term dosing. We submitted a new drug application, or NDA, for AXS-07 in 2021, which was accepted, and received a complete response letter, or CRL, from the FDA in April 2022. The principal reasons given in the CRL relate to chemistry, manufacturing, and controls, or CMC considerations.</w:t>
      </w:r>
    </w:p>
    <w:p>
      <w:pPr>
        <w:spacing w:after="0" w:line="189" w:lineRule="exact"/>
        <w:rPr>
          <w:sz w:val="20"/>
          <w:szCs w:val="20"/>
          <w:color w:val="auto"/>
        </w:rPr>
      </w:pPr>
    </w:p>
    <w:p>
      <w:pPr>
        <w:jc w:val="both"/>
        <w:ind w:right="100" w:firstLine="749"/>
        <w:spacing w:after="0" w:line="258" w:lineRule="auto"/>
        <w:rPr>
          <w:sz w:val="20"/>
          <w:szCs w:val="20"/>
          <w:color w:val="auto"/>
        </w:rPr>
      </w:pPr>
      <w:r>
        <w:rPr>
          <w:rFonts w:ascii="Times New Roman" w:cs="Times New Roman" w:eastAsia="Times New Roman" w:hAnsi="Times New Roman"/>
          <w:sz w:val="18"/>
          <w:szCs w:val="18"/>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study. We recently completed the randomized, placebo-controlled Phase 3 trial with AXS-12 in narcolepsy, which we refer to as the SYMPHONY study, where AXS-12 achieved the primary endpoint in the trial of reducing cataplexy attacks. We are currently conducting one open-label long-term safety extension study with AXS-12.</w:t>
      </w:r>
    </w:p>
    <w:p>
      <w:pPr>
        <w:spacing w:after="0" w:line="182"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AXS-14, esreboxetine, is a novel, oral, investigational medicine in development for the treatment of fibromyalgia. AXS-14 is a highly selective and potent norepinephrine reuptake inhibitor. Esreboxetine, the SS-enantiomer of reboxetine, is more potent and selective than racemic reboxetine. We have in-licensed data from Pfizer Inc., or Pfizer, which includes a completed Phase 2 trial and Phase 3 trial in fibromyalgia, both of which were positive.</w:t>
      </w:r>
    </w:p>
    <w:p>
      <w:pPr>
        <w:spacing w:after="0" w:line="17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Solriamfetol is the active ingredient in Sunosi. It is an oral, dual-acting dopamine and norepinephrine reuptake inhibitor and TAAR1 agonist. We recently initiated two randomized, double-blind, placebo-controlled, Phase 3 trials with solriamfetol, one in MDD, which we refer to as the PARADIGM study, and the second in binge eating disorder, or BED, which we refer to as the ENGAGE study. We are also currently conducting a Phase 3, double blind, placebo-controlled, randomized multicenter trial in adults with attention-deficit/hyperactivity disorder, which we refer to as the FOCUS study. We recently announced our intention to conduct a new Phase 3 trial of solriamfetol in shift work disorder.</w:t>
      </w:r>
    </w:p>
    <w:p>
      <w:pPr>
        <w:spacing w:after="0" w:line="182"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with claims extending to 2034, 2040, 2041, and 2043 for AXS-05, to 2038 for AXS-07, and to 2040 for AXS-12, as well as U.S. and foreign patent applications for AXS-05, AXS-07, AXS-12, and AXS-14. As with respect to Sunosi, Orange Book listed patents in the United States extend out to 2042. We also have patents in various other countries pertaining to Sunosi.</w:t>
      </w:r>
    </w:p>
    <w:p>
      <w:pPr>
        <w:spacing w:after="0" w:line="182"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engaging in other discovery and preclinical activities, and the commercial launches of Sunosi and Auvelity. Subsequent to our IPO, we financed our operations primarily through proceeds from sales of our common stock to equity investors and debt borrowings. For a further discussion, see the section entitled “Liquidity and Capital Resources” below.</w:t>
      </w:r>
    </w:p>
    <w:p>
      <w:pPr>
        <w:spacing w:after="0" w:line="182" w:lineRule="exact"/>
        <w:rPr>
          <w:sz w:val="20"/>
          <w:szCs w:val="20"/>
          <w:color w:val="auto"/>
        </w:rPr>
      </w:pPr>
    </w:p>
    <w:p>
      <w:pPr>
        <w:ind w:right="320" w:firstLine="749"/>
        <w:spacing w:after="0" w:line="281"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We have begun commercial sales of Sunosi and Auvelity, but we have limited experience with commercializing these, or any, products.</w:t>
      </w:r>
    </w:p>
    <w:p>
      <w:pPr>
        <w:spacing w:after="0" w:line="16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$68.4 million and $11.2 million for the three months ended March 31, 2024 and 2023, respectively. Our accumulated deficit as of March 31, 2024 was $903.9 million, and we expect to incur significant expenses and continuing operating losses. We expect our expenses to increase in connection with our ongoing activities as we continue the commercialization of our currently marketed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and 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AXS-05</w:t>
      </w:r>
    </w:p>
    <w:p>
      <w:pPr>
        <w:spacing w:after="0" w:line="227" w:lineRule="exact"/>
        <w:rPr>
          <w:sz w:val="20"/>
          <w:szCs w:val="20"/>
          <w:color w:val="auto"/>
        </w:rPr>
      </w:pPr>
    </w:p>
    <w:p>
      <w:pPr>
        <w:ind w:right="120" w:firstLine="749"/>
        <w:spacing w:after="0" w:line="281" w:lineRule="auto"/>
        <w:rPr>
          <w:sz w:val="20"/>
          <w:szCs w:val="20"/>
          <w:color w:val="auto"/>
        </w:rPr>
      </w:pPr>
      <w:r>
        <w:rPr>
          <w:rFonts w:ascii="Times New Roman" w:cs="Times New Roman" w:eastAsia="Times New Roman" w:hAnsi="Times New Roman"/>
          <w:sz w:val="18"/>
          <w:szCs w:val="18"/>
          <w:color w:val="auto"/>
        </w:rPr>
        <w:t>In May 2024, we announced the initiation of the ACCORD-2 study, a Phase 3, double-blind, placebo-controlled, randomized withdrawal trial to evaluate the efficacy and safety of AXS-05 in the treatment of AD agitation.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Solriamfetol</w:t>
      </w:r>
    </w:p>
    <w:p>
      <w:pPr>
        <w:spacing w:after="0" w:line="227"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In March 2024, we announced the initiation of the PARADIGM study, a Phase 3, randomized, double-blind, placebo-controlled, multicenter trial of solriamfetol for the treatment of MDD.</w:t>
      </w:r>
    </w:p>
    <w:p>
      <w:pPr>
        <w:spacing w:after="0" w:line="163"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In April 2024, we announced the initiation of the ENGAGE study, a Phase 3, randomized, double-blind, placebo-controlled, multicenter trial of solriamfetol for the treatment of BED.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AXS-12</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March 2024, we reported positive top-line data from the Phase 3 trial of AXS-12 in narcolepsy, which we call the SYMPHONY study.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880" w:firstLine="749"/>
        <w:spacing w:after="0" w:line="281" w:lineRule="auto"/>
        <w:rPr>
          <w:sz w:val="20"/>
          <w:szCs w:val="20"/>
          <w:color w:val="auto"/>
        </w:rPr>
      </w:pPr>
      <w:r>
        <w:rPr>
          <w:rFonts w:ascii="Times New Roman" w:cs="Times New Roman" w:eastAsia="Times New Roman" w:hAnsi="Times New Roman"/>
          <w:sz w:val="18"/>
          <w:szCs w:val="18"/>
          <w:color w:val="auto"/>
        </w:rPr>
        <w:t>We generated $74.1 million and $28.6 million in net revenue from product sales in the three months ended March 31, 2024 and 2023, respectively.</w:t>
      </w:r>
    </w:p>
    <w:p>
      <w:pPr>
        <w:spacing w:after="0" w:line="16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expect that Sunosi and Auvelity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6"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Additionally, in the first quarter of 2023, we recorded license revenue of $65.7 million related to the Pharmanovia License Agreement (as defined below). See below for more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8"/>
          <w:szCs w:val="18"/>
          <w:color w:val="auto"/>
        </w:rPr>
        <w:t>In February 2023, we entered into the Pharmanovia License Agreement with Pharmanovia to commercialize and further develop Sunosi® in the Territory. Pharmanovia is a UK-based global life cycle management healthcare company that focuses on four core therapeutic areas – Oncology, Endocrinology, Neurology and Cardiovascular.</w:t>
      </w:r>
    </w:p>
    <w:p>
      <w:pPr>
        <w:spacing w:after="0" w:line="17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We received an upfront payment of €62.0 million ($65.7 million) during the first quarter of 2023 and are eligible to receive sales-based and other milestone payments totaling up to €94.5 million. We will receive a royalty percentage in the mid-twenties on net sales of the Licensed Products (as defined in the Pharmanovia License Agreement) in the Territory. For the three months ended March 31, 2024 and 2023, we recognized royalty revenue of $0.9 million and $0.3 million, respectively, related to Pharmanovia’s sales of Sunosi.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240" w:firstLine="749"/>
        <w:spacing w:after="0" w:line="281" w:lineRule="auto"/>
        <w:rPr>
          <w:sz w:val="20"/>
          <w:szCs w:val="20"/>
          <w:color w:val="auto"/>
        </w:rPr>
      </w:pPr>
      <w:r>
        <w:rPr>
          <w:rFonts w:ascii="Times New Roman" w:cs="Times New Roman" w:eastAsia="Times New Roman" w:hAnsi="Times New Roman"/>
          <w:sz w:val="18"/>
          <w:szCs w:val="18"/>
          <w:color w:val="auto"/>
        </w:rPr>
        <w:t>Cost of revenue includes direct costs of formulating, manufacturing and packaging drug product, overhead costs consisting of labor, customs, stock-based compensation, shipping, outside inventory management, royalty expense, and other miscellaneous operating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20" w:firstLine="749"/>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9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to what extent we will generate revenue from the commercialization and sale of Sunosi and Auvelity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420" w:firstLine="749"/>
        <w:spacing w:after="0" w:line="265" w:lineRule="auto"/>
        <w:rPr>
          <w:sz w:val="20"/>
          <w:szCs w:val="20"/>
          <w:color w:val="auto"/>
        </w:rPr>
      </w:pPr>
      <w:r>
        <w:rPr>
          <w:rFonts w:ascii="Times New Roman" w:cs="Times New Roman" w:eastAsia="Times New Roman" w:hAnsi="Times New Roman"/>
          <w:sz w:val="18"/>
          <w:szCs w:val="18"/>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6" w:lineRule="exact"/>
        <w:rPr>
          <w:sz w:val="20"/>
          <w:szCs w:val="20"/>
          <w:color w:val="auto"/>
        </w:rPr>
      </w:pPr>
    </w:p>
    <w:p>
      <w:pPr>
        <w:ind w:right="160" w:firstLine="749"/>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to the critical accounting policies disclosed in our 2023 Annual Report on Form 10-K, except for revenue recognition related to license agreements. Our critical accounting policies are described in the notes to the consolidated financial statements appearing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74,096</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28,569</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65,735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272</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74,999</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94,576</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6,297</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7,556</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36,830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17,793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98,970</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74,191</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in fair value of contingent consideration</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1,589</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1,572</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142,274</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100,950</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(67,275 )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(1,082 )</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(68,357 )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(68,357 )</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(11,218 )</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47,393,563</w:t>
            </w:r>
          </w:p>
        </w:tc>
        <w:tc>
          <w:tcPr>
            <w:tcW w:w="1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43,523,631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-2277110</wp:posOffset>
            </wp:positionV>
            <wp:extent cx="1111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-1343660</wp:posOffset>
            </wp:positionV>
            <wp:extent cx="1111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-384810</wp:posOffset>
            </wp:positionV>
            <wp:extent cx="1111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-367665</wp:posOffset>
            </wp:positionV>
            <wp:extent cx="1111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5" w:lineRule="exact"/>
        <w:rPr>
          <w:sz w:val="20"/>
          <w:szCs w:val="20"/>
          <w:color w:val="auto"/>
        </w:rPr>
      </w:pPr>
    </w:p>
    <w:p>
      <w:pPr>
        <w:ind w:right="3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sales, net. </w:t>
      </w:r>
      <w:r>
        <w:rPr>
          <w:rFonts w:ascii="Times New Roman" w:cs="Times New Roman" w:eastAsia="Times New Roman" w:hAnsi="Times New Roman"/>
          <w:sz w:val="18"/>
          <w:szCs w:val="18"/>
          <w:color w:val="auto"/>
        </w:rPr>
        <w:t>Auvelity U.S. net sales were $53.4 million and $15.7 million for the three months ended March 31,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Sunosi net sales were $20.7 million and $12.9 million for the three months ended March 31, 2024 and 2023, respectively. The increases in product sales were primarily due to the increase in unit sales volume of both Auvelity and Sunosi.</w:t>
      </w:r>
    </w:p>
    <w:p>
      <w:pPr>
        <w:spacing w:after="0" w:line="172"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In February 2023, we entered into the Pharmanovia License Agreement to commercialize Sunosi in certain ex-U.S. markets.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the upfront payment of $65.7 million from Pharmanovia as license revenue. We did not have license revenue during the three months ended March 31, 2024.</w:t>
      </w:r>
    </w:p>
    <w:p>
      <w:pPr>
        <w:spacing w:after="0" w:line="172"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Royalty revenue. </w:t>
      </w:r>
      <w:r>
        <w:rPr>
          <w:rFonts w:ascii="Times New Roman" w:cs="Times New Roman" w:eastAsia="Times New Roman" w:hAnsi="Times New Roman"/>
          <w:sz w:val="18"/>
          <w:szCs w:val="18"/>
          <w:color w:val="auto"/>
        </w:rPr>
        <w:t>In connection with the February 2023 Pharmanovia License Agreement to commercialize Sunosi in certain ex-U.S. markets,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royalty revenue of $0.9 million and $0.3 million for the three months ended March 31, 2024 and 2023, respectively. The increase was mainly due to the increase in unit sales volume of Sunosi in international markets.</w:t>
      </w:r>
    </w:p>
    <w:p>
      <w:pPr>
        <w:spacing w:after="0" w:line="17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$6.3 million for the three months ended March 31, 2024, as compared to $7.6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2023. The decrease was mainly due to the $5.0 million license revenue sharing expense related to the Pharmanovia License Agreement recognized in the first quarter of 2023, which was partially offset by an increase due to growth in sales of Auvelity and Sunosi during the first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500"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expenses for our primary products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and 2023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r>
      <w:tr>
        <w:trPr>
          <w:trHeight w:val="23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Solriamfetol</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8,564</w:t>
            </w:r>
          </w:p>
        </w:tc>
        <w:tc>
          <w:tcPr>
            <w:tcW w:w="11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2,401</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AXS-05</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13,525</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6,651</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AXS-07</w:t>
            </w: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2,972</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1,979</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AXS-12</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AXS-14</w:t>
            </w: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2,609</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 (*)</w:t>
            </w: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2,546</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1,078</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4,568</w:t>
            </w:r>
          </w:p>
        </w:tc>
        <w:tc>
          <w:tcPr>
            <w:tcW w:w="1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2,414</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36,830</w:t>
            </w:r>
          </w:p>
        </w:tc>
        <w:tc>
          <w:tcPr>
            <w:tcW w:w="11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17,793</w:t>
            </w:r>
          </w:p>
        </w:tc>
      </w:tr>
      <w:tr>
        <w:trPr>
          <w:trHeight w:val="20"/>
        </w:trPr>
        <w:tc>
          <w:tcPr>
            <w:tcW w:w="7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research and development expenses primarily consist of costs related to other product candidates, facilities and overhead costs</w:t>
      </w:r>
    </w:p>
    <w:p>
      <w:pPr>
        <w:spacing w:after="0" w:line="20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$19.0 million for the three months ended March 31, 2024, as compared to the same period in 2023. The increase was primarily related to the initiation of Phase 3 trials for additional indications, including the continuation of studies in ADHD, for solriamfetol, the advancement of ongoing Phase 3 trials of AXS-05 and AXS-12, higher CMC costs associated primarily with the advancement of solriamfetol, AXS-05, AXS-14, and AXS-07, and higher personnel costs. We expect research and development costs to increase moderately as we continue to conduct non-clinical and pre-clinical testing, conduct ongoing and planned clinical trials, and manufacture drug products in anticipation of FDA approvals for the further development of our current and future product candidates.</w:t>
      </w:r>
    </w:p>
    <w:p>
      <w:pPr>
        <w:spacing w:after="0" w:line="184"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$99.0 million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$74.2 million for the same period in 2023. The increase was primarily related to greater commercial activities for Auvelity and Sunosi, and higher personnel costs related to organizational growth, including non-cash stock-based compensation. We expect selling, general and administrative expenses to increase slightly as we expand marketing, promotional, and advertising for our products and continue our increased efforts to educate physicians and expand market access.</w:t>
      </w:r>
    </w:p>
    <w:p>
      <w:pPr>
        <w:spacing w:after="0" w:line="182" w:lineRule="exact"/>
        <w:rPr>
          <w:sz w:val="20"/>
          <w:szCs w:val="20"/>
          <w:color w:val="auto"/>
        </w:rPr>
      </w:pPr>
    </w:p>
    <w:p>
      <w:pPr>
        <w:ind w:right="10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in Fair Value of Contingent Consideration. </w:t>
      </w:r>
      <w:r>
        <w:rPr>
          <w:rFonts w:ascii="Times New Roman" w:cs="Times New Roman" w:eastAsia="Times New Roman" w:hAnsi="Times New Roman"/>
          <w:sz w:val="18"/>
          <w:szCs w:val="18"/>
          <w:color w:val="auto"/>
        </w:rPr>
        <w:t>The gain position of $1.4 million for the three months ended March 31, 2024, as compared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position of $0.2 million for the same period in 2023 is related to the change in fair value of contingent consideration which was primarily due to the change in significant unobservable inputs, including the discount rate.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We amortize the intangible asset, which we recognized as part of the Acquisition, over its useful life of 10 years.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was $1.6 million for both the three months ended March 31, 2024 and 2023.</w:t>
      </w:r>
    </w:p>
    <w:p>
      <w:pPr>
        <w:spacing w:after="0" w:line="204" w:lineRule="exact"/>
        <w:rPr>
          <w:sz w:val="20"/>
          <w:szCs w:val="20"/>
          <w:color w:val="auto"/>
        </w:rPr>
      </w:pPr>
    </w:p>
    <w:p>
      <w:pPr>
        <w:ind w:right="2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$1.1 million for the three months ended March 31, 2024, as compared to $2.3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2023. The decrease was mainly due to interest income on higher cash balances, which partially offset the interest expense, issuance costs, and fees related to the Loan Agreement (as defined below) with Hercules (as defined below).</w:t>
      </w:r>
    </w:p>
    <w:p>
      <w:pPr>
        <w:spacing w:after="0" w:line="17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did not record an income tax expense for the three months ended March 31, 2024 due to losses incurred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jurisdictions during the quarter from which we do not benefit due to the full valuation allowance position against our deferred tax assets. Tax expense was $2.6 million for the three months ended March 31, 2023 due to income earned in Malta in relation to the license revenue recognized from the Pharmanovia License Agreement.</w:t>
      </w:r>
    </w:p>
    <w:p>
      <w:pPr>
        <w:spacing w:after="0" w:line="178"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was $68.4 million for the three months ended March 31, 2024, as compared to $11.2 million for the same period in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is primarily due to higher selling, general and administrative expenses related to commercial activities related to Sunosi and Auvelity, including sales force and marketing spend, and higher personnel costs, including non-cash stock compensation expense. Additionally, the increase was impacted by the upfront payment of $65.7 million received from Pharmanovia in the first quarter of 2023.</w:t>
      </w:r>
    </w:p>
    <w:p>
      <w:pPr>
        <w:sectPr>
          <w:pgSz w:w="11900" w:h="16838" w:orient="portrait"/>
          <w:cols w:equalWidth="0" w:num="1">
            <w:col w:w="11240"/>
          </w:cols>
          <w:pgMar w:left="320" w:top="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80" w:firstLine="749"/>
        <w:spacing w:after="0" w:line="281" w:lineRule="auto"/>
        <w:rPr>
          <w:sz w:val="20"/>
          <w:szCs w:val="20"/>
          <w:color w:val="auto"/>
        </w:rPr>
      </w:pPr>
      <w:r>
        <w:rPr>
          <w:rFonts w:ascii="Times New Roman" w:cs="Times New Roman" w:eastAsia="Times New Roman" w:hAnsi="Times New Roman"/>
          <w:sz w:val="18"/>
          <w:szCs w:val="18"/>
          <w:color w:val="auto"/>
        </w:rPr>
        <w:t>Since our inception through March 31, 2024, we have financed our operations primarily through proceeds from equity offerings, debt borrowings, and proceeds from product sales. See discussion below.</w:t>
      </w:r>
    </w:p>
    <w:p>
      <w:pPr>
        <w:spacing w:after="0" w:line="16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8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December 2019, we entered into a sales agreement, or the December 2019 Sales Agreement, with SVB Securities LLC (now known as Leerink Partners LLC), or Leerink, pursuant to which we may sell up to $80 million in shares of our common stock from time to time through Leerink, acting as our sales agent, in one or more at-the-market offerings utilizing an automatic shelf registration statement we filed with the SEC on December 5, 2019 for the issuance of common stock, preferred stock, warrants, rights, debt securities and units up to an unlimited amount, which we refer to as the 2019 Shelf Registration Statement. Leerink is entitled to receive a commission of 3.0% of the gross proceeds for any shares sold under the December 2019 Sales Agreement.</w:t>
      </w:r>
    </w:p>
    <w:p>
      <w:pPr>
        <w:spacing w:after="0" w:line="18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March 2022, we entered into a sales agreement, or the March 2022 Sales Agreement with Leerink, pursuant to which we may sell up to $200 million in shares of our common stock from time to time through Leerink, acting as our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by and between the Company and Leerink. The Company exhausted sales of its shares of the Company’s common stock under its prior at-the-market offering program.</w:t>
      </w:r>
    </w:p>
    <w:p>
      <w:pPr>
        <w:spacing w:after="0" w:line="182" w:lineRule="exact"/>
        <w:rPr>
          <w:sz w:val="20"/>
          <w:szCs w:val="20"/>
          <w:color w:val="auto"/>
        </w:rPr>
      </w:pPr>
    </w:p>
    <w:p>
      <w:pPr>
        <w:ind w:right="120" w:firstLine="749"/>
        <w:spacing w:after="0" w:line="265" w:lineRule="auto"/>
        <w:rPr>
          <w:sz w:val="20"/>
          <w:szCs w:val="20"/>
          <w:color w:val="auto"/>
        </w:rPr>
      </w:pPr>
      <w:r>
        <w:rPr>
          <w:rFonts w:ascii="Times New Roman" w:cs="Times New Roman" w:eastAsia="Times New Roman" w:hAnsi="Times New Roman"/>
          <w:sz w:val="18"/>
          <w:szCs w:val="18"/>
          <w:color w:val="auto"/>
        </w:rPr>
        <w:t>In August 2022, we filed a prospectus supplement to the 2019 Shelf Registration Statement for the issuance and sale, if any, of up to an additional $250 million in shares of our common stock. Leerink is entitled to receive a commission of up to 3.0% of the gross proceeds for any shares sold under the March 2022 Sales Agreement.</w:t>
      </w:r>
    </w:p>
    <w:p>
      <w:pPr>
        <w:spacing w:after="0" w:line="177" w:lineRule="exact"/>
        <w:rPr>
          <w:sz w:val="20"/>
          <w:szCs w:val="20"/>
          <w:color w:val="auto"/>
        </w:rPr>
      </w:pPr>
    </w:p>
    <w:p>
      <w:pPr>
        <w:ind w:right="220" w:firstLine="749"/>
        <w:spacing w:after="0" w:line="260"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Company’s sales agent, under the March 2022 Sales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did not utilize the March 2022 Sales Agreement with Leerink during the three months ended March 31, 2024.</w:t>
      </w:r>
    </w:p>
    <w:p>
      <w:pPr>
        <w:spacing w:after="0" w:line="22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January 2023, we entered into a Third Amendment to the Loan Agreement, or the Third Amendment, with Hercules. The Third Amendment increases the size of the Term Loan Advance (as defined in the Loan Agreement) to $350.0 million, reduces the interest rate, and extends the maturity and interest-only period of the Loan Agreement. The Company drew down upon Tranche 1C of the 2020 Term Loan (as defined below), and as of March 31, 2024, the Company had approximately $180 million outstanding and $170 million remaining under the 2020 Term Loan. See the “Contractual Obligations and Commitments – January 2023 Third Amendment to the Loan and Security Agreement – Hercules” section below for more information.</w:t>
      </w:r>
    </w:p>
    <w:p>
      <w:pPr>
        <w:spacing w:after="0" w:line="182" w:lineRule="exact"/>
        <w:rPr>
          <w:sz w:val="20"/>
          <w:szCs w:val="20"/>
          <w:color w:val="auto"/>
        </w:rPr>
      </w:pPr>
    </w:p>
    <w:p>
      <w:pPr>
        <w:jc w:val="both"/>
        <w:ind w:right="200" w:firstLine="749"/>
        <w:spacing w:after="0" w:line="258" w:lineRule="auto"/>
        <w:rPr>
          <w:sz w:val="20"/>
          <w:szCs w:val="20"/>
          <w:color w:val="auto"/>
        </w:rPr>
      </w:pPr>
      <w:r>
        <w:rPr>
          <w:rFonts w:ascii="Times New Roman" w:cs="Times New Roman" w:eastAsia="Times New Roman" w:hAnsi="Times New Roman"/>
          <w:sz w:val="18"/>
          <w:szCs w:val="18"/>
          <w:color w:val="auto"/>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82"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9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(53,467 )</w:t>
            </w:r>
          </w:p>
        </w:tc>
        <w:tc>
          <w:tcPr>
            <w:tcW w:w="116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(1,187 )</w:t>
            </w:r>
          </w:p>
        </w:tc>
        <w:tc>
          <w:tcPr>
            <w:tcW w:w="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51,565</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98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(54,752 )</w:t>
            </w:r>
          </w:p>
        </w:tc>
        <w:tc>
          <w:tcPr>
            <w:tcW w:w="1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45,673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three months ended March 31, 2024 was $53.5 million, as compared to $5.8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2023. The increase of $47.7 million was impacted by the upfront payment of $65.7 million received from Pharmanovia in the first quarter of 2023 and cash used in commercial and clinical activities in the first quarter of 2024, which was partially offset by, in comparison, higher net product revenues from Auvelity and Sunosi in the first quarter of 2024.</w:t>
      </w:r>
    </w:p>
    <w:p>
      <w:pPr>
        <w:spacing w:after="0" w:line="178" w:lineRule="exact"/>
        <w:rPr>
          <w:sz w:val="20"/>
          <w:szCs w:val="20"/>
          <w:color w:val="auto"/>
        </w:rPr>
      </w:pPr>
    </w:p>
    <w:p>
      <w:pPr>
        <w:ind w:right="20"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three months ended March 31, 2024 was $98 thousand, as compared to $71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2023. The increase is due to purchases of equipment in connection to commercial and clinical activities.</w:t>
      </w:r>
    </w:p>
    <w:p>
      <w:pPr>
        <w:spacing w:after="0" w:line="15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in financing activities was $1.2 million for the three months ended March 31, 2024, which included 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and tax withholdings on stock awards for a total of $3.5 million, which was partially offset by proceeds of $2.5 million from the issuance of common stock upon the exercise of employee stock options. Cash used in financing activities was $51.6 million for the three months ended March 31, 2023, which included net proceeds of $53.8 million related to drawing upon a tranche of the 2020 Term Loan and proceeds from the issuance of common stock upon exercise of employee stock options of $0.4 million, which was partially offset by payment of contingent consideration and tax withholdings on stock awards, for a total of $2.6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have losses as we continue the development of, and seek regulatory approvals for, our product candidates, and begin to commercialize any additional approved products while further investing in Auvelity and Sunosi. We are subject to all of the risks pertinent to the development of new product candidates, and we may encounter unforeseen expenses, difficulties, complications, delays, and other unknown factors that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2"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22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22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2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224" w:lineRule="exact"/>
        <w:rPr>
          <w:rFonts w:ascii="Times New Roman" w:cs="Times New Roman" w:eastAsia="Times New Roman" w:hAnsi="Times New Roman"/>
          <w:sz w:val="16"/>
          <w:szCs w:val="16"/>
          <w:color w:val="auto"/>
        </w:rPr>
      </w:pPr>
    </w:p>
    <w:p>
      <w:pPr>
        <w:ind w:left="760" w:right="420" w:hanging="378"/>
        <w:spacing w:after="0" w:line="281" w:lineRule="auto"/>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and timing of our commercialization activities, including product manufacturing, marketing, sales, and distribution, for any of our products and product candidates for which we receive marketing approval;</w:t>
      </w:r>
    </w:p>
    <w:p>
      <w:pPr>
        <w:spacing w:after="0" w:line="162"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2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expenses needed to attract and retain skilled personnel;</w:t>
      </w:r>
    </w:p>
    <w:p>
      <w:pPr>
        <w:spacing w:after="0" w:line="22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22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revenue received from commercial sales of our products and product candidates for which we receive marketing approval; and</w:t>
      </w:r>
    </w:p>
    <w:p>
      <w:pPr>
        <w:spacing w:after="0" w:line="224" w:lineRule="exact"/>
        <w:rPr>
          <w:rFonts w:ascii="Times New Roman" w:cs="Times New Roman" w:eastAsia="Times New Roman" w:hAnsi="Times New Roman"/>
          <w:sz w:val="16"/>
          <w:szCs w:val="16"/>
          <w:color w:val="auto"/>
        </w:rPr>
      </w:pPr>
    </w:p>
    <w:p>
      <w:pPr>
        <w:ind w:left="760" w:right="540" w:hanging="378"/>
        <w:spacing w:after="0" w:line="239" w:lineRule="exact"/>
        <w:tabs>
          <w:tab w:leader="none" w:pos="7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Pfizer</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82" w:lineRule="exact"/>
        <w:rPr>
          <w:sz w:val="20"/>
          <w:szCs w:val="20"/>
          <w:color w:val="auto"/>
        </w:rPr>
      </w:pPr>
    </w:p>
    <w:p>
      <w:pPr>
        <w:ind w:right="80" w:firstLine="749"/>
        <w:spacing w:after="0" w:line="265" w:lineRule="auto"/>
        <w:rPr>
          <w:sz w:val="20"/>
          <w:szCs w:val="20"/>
          <w:color w:val="auto"/>
        </w:rPr>
      </w:pPr>
      <w:r>
        <w:rPr>
          <w:rFonts w:ascii="Times New Roman" w:cs="Times New Roman" w:eastAsia="Times New Roman" w:hAnsi="Times New Roman"/>
          <w:sz w:val="18"/>
          <w:szCs w:val="18"/>
          <w:color w:val="auto"/>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227"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82" w:lineRule="exact"/>
        <w:rPr>
          <w:sz w:val="20"/>
          <w:szCs w:val="20"/>
          <w:color w:val="auto"/>
        </w:rPr>
      </w:pPr>
    </w:p>
    <w:p>
      <w:pPr>
        <w:ind w:right="320" w:firstLine="749"/>
        <w:spacing w:after="0" w:line="281" w:lineRule="auto"/>
        <w:rPr>
          <w:sz w:val="20"/>
          <w:szCs w:val="20"/>
          <w:color w:val="auto"/>
        </w:rPr>
      </w:pPr>
      <w:r>
        <w:rPr>
          <w:rFonts w:ascii="Times New Roman" w:cs="Times New Roman" w:eastAsia="Times New Roman" w:hAnsi="Times New Roman"/>
          <w:sz w:val="18"/>
          <w:szCs w:val="18"/>
          <w:color w:val="auto"/>
        </w:rPr>
        <w:t>In connection with the Loan Agreement (see below), Antecip consented to the collateral assignment of one of the license agreements, among other things, under a direct agreement with us and Hercules.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Fourth Amendment to the Loan and Security Agreement - Hercules</w:t>
      </w:r>
    </w:p>
    <w:p>
      <w:pPr>
        <w:spacing w:after="0" w:line="22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On May 8, 2023, we entered into the Waiver and Fourth Amendment to the Loan Agreement, or the Fourth Amendment, with Hercules, in its capacity as administrative agent and collateral agent, and the other financial institutions or entities party thereto as lenders. The Fourth Amendment increased the amount of Cash (as defined in the Loan Agreement) that could be held by Axsome Malta Ltd., or the Malta Subsidiary, outside of the United States from $3.0 million to $15.0 million for a 45-day period after the closing of the Fourth Amendment and to $10.0 million thereafter. The Fourth Amendment also waived any purported default with respect to the amount of cash held by the Malta Subsidiary prior to the date of the Fourth Amendment. In August 2023, Hercules granted Axsome a waiver to the Fourth Amendment, permitting the Malta Subsidiary to hold up to $12.5 million in Cash outside of the United States until December 31, 2023.</w:t>
      </w:r>
    </w:p>
    <w:p>
      <w:pPr>
        <w:spacing w:after="0" w:line="185" w:lineRule="exact"/>
        <w:rPr>
          <w:sz w:val="20"/>
          <w:szCs w:val="20"/>
          <w:color w:val="auto"/>
        </w:rPr>
      </w:pPr>
    </w:p>
    <w:p>
      <w:pPr>
        <w:jc w:val="center"/>
        <w:ind w:right="5420"/>
        <w:spacing w:after="0"/>
        <w:rPr>
          <w:sz w:val="20"/>
          <w:szCs w:val="20"/>
          <w:color w:val="auto"/>
        </w:rPr>
      </w:pPr>
      <w:r>
        <w:rPr>
          <w:rFonts w:ascii="Times New Roman" w:cs="Times New Roman" w:eastAsia="Times New Roman" w:hAnsi="Times New Roman"/>
          <w:sz w:val="17"/>
          <w:szCs w:val="17"/>
          <w:i w:val="1"/>
          <w:iCs w:val="1"/>
          <w:color w:val="auto"/>
        </w:rPr>
        <w:t>January 2023 Third Amendment to the Loan and Security Agreement – Hercules</w:t>
      </w:r>
    </w:p>
    <w:p>
      <w:pPr>
        <w:spacing w:after="0" w:line="2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January 9, 2023, we entered into the Third Amendment.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Third Amendment amended the terms of the Loan Agreement to, among other things:</w:t>
      </w:r>
    </w:p>
    <w:p>
      <w:pPr>
        <w:spacing w:after="0" w:line="225" w:lineRule="exact"/>
        <w:rPr>
          <w:sz w:val="20"/>
          <w:szCs w:val="20"/>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to January 1, 2028, unless the Company meets certain revenue targets as described in the Loan Agreement, in which case the Company can extend the maturity date to January 1, 2029;</w:t>
      </w:r>
    </w:p>
    <w:p>
      <w:pPr>
        <w:spacing w:after="0" w:line="162"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principal amount under the Loan Agreement from $300.0 million to $350.0 million;</w:t>
      </w:r>
    </w:p>
    <w:p>
      <w:pPr>
        <w:spacing w:after="0" w:line="224" w:lineRule="exact"/>
        <w:rPr>
          <w:rFonts w:ascii="Times New Roman" w:cs="Times New Roman" w:eastAsia="Times New Roman" w:hAnsi="Times New Roman"/>
          <w:sz w:val="18"/>
          <w:szCs w:val="18"/>
          <w:color w:val="auto"/>
        </w:rPr>
      </w:pPr>
    </w:p>
    <w:p>
      <w:pPr>
        <w:ind w:left="1020" w:hanging="504"/>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 the Loan Agreement, change the Term Loan Advance amounts and dates available under the Tranche 1 Advance (as defined in the Loan Agreement) through Tranche 5 Advance (as defined in the Loan Agreement), including increasing the Tranche 1 Advance from one tranche of $95.0 million to five sub-tranches of $95.0 million, $55.0 million, $30.0 million, $35.0 million and $35.0 million, respectively, changing the Tranche 2 Advance (as defined in the Loan Agreement) from three sub-tranches of $35.0 million, $35.0 million and $30.0 million to one tranche of $25.0 million, changing the Tranche 3 Advance (as defined in the Loan Agreement) from two sub-tranches of $15.0 million and $5.0 million to one tranche of $75.0 million, and removing the Tranche 4 Advance (as defined in the Loan Agreement) and Tranche 5 Advance entirely;</w:t>
      </w:r>
    </w:p>
    <w:p>
      <w:pPr>
        <w:spacing w:after="0" w:line="18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interest rate applicable to extensions of credit under the Loan Agreement to equal (a) if the prime rate is greater than or equal to</w:t>
      </w:r>
    </w:p>
    <w:p>
      <w:pPr>
        <w:spacing w:after="0" w:line="27" w:lineRule="exact"/>
        <w:rPr>
          <w:rFonts w:ascii="Times New Roman" w:cs="Times New Roman" w:eastAsia="Times New Roman" w:hAnsi="Times New Roman"/>
          <w:sz w:val="18"/>
          <w:szCs w:val="18"/>
          <w:color w:val="auto"/>
        </w:rPr>
      </w:pPr>
    </w:p>
    <w:p>
      <w:pPr>
        <w:ind w:left="102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the greater of either (i) the prime rate plus 2.20%, and (ii) 9.95%, but in no event greater than 10.70%, and (b) if the prime rate is less than 7.00%, 9.70%;</w:t>
      </w:r>
    </w:p>
    <w:p>
      <w:pPr>
        <w:spacing w:after="0" w:line="18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minimum cash requirement of the Company to $30.0 million; and</w:t>
      </w:r>
    </w:p>
    <w:p>
      <w:pPr>
        <w:spacing w:after="0" w:line="22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pay a facility fee equal to 0.75% of the amount of principal actually funded pursuant to the Tranche 1B Advance (as defined in the Loan Agreement), Tranche 1C Advance (as defined in the Loan Agreement), Tranche 1D Advance (as defined in the Loan Agreement), Tranche 1E Advance (as defined in the Loan Agreement), Tranche 2 Advance and Tranche 3 Advance.</w:t>
      </w:r>
    </w:p>
    <w:p>
      <w:pPr>
        <w:sectPr>
          <w:pgSz w:w="11900" w:h="16838" w:orient="portrait"/>
          <w:cols w:equalWidth="0" w:num="1">
            <w:col w:w="11200"/>
          </w:cols>
          <w:pgMar w:left="320" w:top="4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Agreements</w:t>
      </w:r>
    </w:p>
    <w:p>
      <w:pPr>
        <w:spacing w:after="0" w:line="227" w:lineRule="exact"/>
        <w:rPr>
          <w:sz w:val="20"/>
          <w:szCs w:val="20"/>
          <w:color w:val="auto"/>
        </w:rPr>
      </w:pPr>
    </w:p>
    <w:p>
      <w:pPr>
        <w:ind w:right="320" w:firstLine="749"/>
        <w:spacing w:after="0" w:line="260" w:lineRule="auto"/>
        <w:rPr>
          <w:sz w:val="20"/>
          <w:szCs w:val="20"/>
          <w:color w:val="auto"/>
        </w:rPr>
      </w:pPr>
      <w:r>
        <w:rPr>
          <w:rFonts w:ascii="Times New Roman" w:cs="Times New Roman" w:eastAsia="Times New Roman" w:hAnsi="Times New Roman"/>
          <w:sz w:val="18"/>
          <w:szCs w:val="18"/>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2"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At the initial closing, we assumed all of the commitments of Jazz to SK and Aerial Biopharma, LLC, or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World Trade Center Lease</w:t>
      </w:r>
    </w:p>
    <w:p>
      <w:pPr>
        <w:spacing w:after="0" w:line="227" w:lineRule="exact"/>
        <w:rPr>
          <w:sz w:val="20"/>
          <w:szCs w:val="20"/>
          <w:color w:val="auto"/>
        </w:rPr>
      </w:pPr>
    </w:p>
    <w:p>
      <w:pPr>
        <w:ind w:firstLine="794"/>
        <w:spacing w:after="0" w:line="256" w:lineRule="auto"/>
        <w:rPr>
          <w:sz w:val="20"/>
          <w:szCs w:val="20"/>
          <w:color w:val="auto"/>
        </w:rPr>
      </w:pPr>
      <w:r>
        <w:rPr>
          <w:rFonts w:ascii="Times New Roman" w:cs="Times New Roman" w:eastAsia="Times New Roman" w:hAnsi="Times New Roman"/>
          <w:sz w:val="18"/>
          <w:szCs w:val="18"/>
          <w:color w:val="auto"/>
        </w:rPr>
        <w:t>On February 21, 2023, we entered into a Sublease with Advance Magazine Publishers d/b/a Conde Nast for the entirety of the twenty-second floor of One Word Trade Center in New York, NY, or the Sublease. This space is utilized by the Company for its corporate and executive offices. The Sublease commenced on April 7, 2023 and will run for ten (10) years. The Company has a one-time option to terminate the Sublease on its fifth anniversary upon the payment of a fee to the sublandlord. The Company is responsible for base rent under the Sublease and certain additional customary variable costs such as an allocable portion of building taxes and operating expenses. In connection with the Sublease, the Company received certain rent and work concessions from the sublandlord.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ind w:right="20" w:firstLine="749"/>
        <w:spacing w:after="0" w:line="222" w:lineRule="exact"/>
        <w:rPr>
          <w:sz w:val="20"/>
          <w:szCs w:val="20"/>
          <w:color w:val="auto"/>
        </w:rPr>
      </w:pPr>
      <w:r>
        <w:rPr>
          <w:rFonts w:ascii="Times New Roman" w:cs="Times New Roman" w:eastAsia="Times New Roman" w:hAnsi="Times New Roman"/>
          <w:sz w:val="18"/>
          <w:szCs w:val="18"/>
          <w:color w:val="auto"/>
        </w:rPr>
        <w:t>As of April 29, 2024, we had 569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00" w:firstLine="749"/>
        <w:spacing w:after="0" w:line="281"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by applicable SEC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60" w:firstLine="749"/>
        <w:spacing w:after="0" w:line="281"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$331.4 million and $386.2 million as of March 31, 2024 and December 31, 2023, respectively. The primary objective of our investment activities is to preserve principal and liquidity while maximizing income without significantly increasing risk. We do not enter into investments for trading or speculative purposes. Due to the short term nature of our investment portfolio and debt agreement, which use short term interest rates and the prime rate,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contract with vendors and third-party manufactures located in Europe and certain invoices are denominated in foreign currencies. Royalty revenues from Pharmanovia are derived from their sales of Sunosi in ex-U.S markets and those sales are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do not believe a 10% change in these currencies on March 31, 2024 would have had a material effect on our results of operations or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three months ended March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 our principal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9" w:lineRule="exact"/>
        <w:rPr>
          <w:sz w:val="20"/>
          <w:szCs w:val="20"/>
          <w:color w:val="auto"/>
        </w:rPr>
      </w:pPr>
    </w:p>
    <w:p>
      <w:pPr>
        <w:ind w:firstLine="74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During the quarter ended March 31, 2024, there have been no changes in internal controls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300" w:firstLine="749"/>
        <w:spacing w:after="0" w:line="312" w:lineRule="auto"/>
        <w:rPr>
          <w:sz w:val="20"/>
          <w:szCs w:val="20"/>
          <w:color w:val="auto"/>
        </w:rPr>
      </w:pPr>
      <w:r>
        <w:rPr>
          <w:rFonts w:ascii="Times New Roman" w:cs="Times New Roman" w:eastAsia="Times New Roman" w:hAnsi="Times New Roman"/>
          <w:sz w:val="17"/>
          <w:szCs w:val="17"/>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we refer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product candidates, AXS-07. The plaintiffs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189"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On October 13, 2023, plaintiffs’ counsel filed a letter seeking leave to file an amended complaint and to substitute new plaintiffs, which defendants opposed. The SDNY District Court re-opened the lead plaintiff appointment process. Thomas Giblin, Paul Berger, and Paul Sutherland moved jointly to be appointed replacement plaintiffs. On January 22, 2024, the SDNY District Court granted that motion and ordered that the case name be changed to In re Axsome Therapeutics, Inc. Securities Litigation. On January 26, 2024, the replacement plaintiffs renewed their request for leave to file a proposed second amended complaint, and, on February 6, 2024, the SDNY District Court granted that request. Plaintiffs filed the second amended complaint on February 7, 2024. On March 11, 2024, defendants moved to dismiss the second amended complaint.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Action</w:t>
      </w:r>
    </w:p>
    <w:p>
      <w:pPr>
        <w:spacing w:after="0" w:line="22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On July 21, 2022, Daniel Engel filed a stockholder derivative complaint captioned Engel v. Herriot Tabuteau, et al. in the SDNY District Court against the Company’s current directors, certain of the Company’s current and former officers, and the Company (as nominal defendant). On January 27, 2023, Kyle Guterba filed a stockholder derivative complaint captioned Guterba v. Tabuteau, et al. in the SDNY District Court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 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Auvelity Paragraph IV Litigation</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On March 24, 2023, we commenced a patent infringement action against Teva relating to Teva's ANDA for Auvelity. This action is captioned Axsome Therapeutics, Inc. and Antecip Bioventures II LLC v. Teva Pharmaceuticals, Inc. No. 2:23-CV-01695 in the United States District Court for the District of New Jersey, or the NJ District Court. On December 15, 2023, we commenced a second patent infringement action against Teva relating to Teva’s ANDA. This action is captioned Axsome Therapeutics, Inc., and Antecip Bioventures II LLC v. Teva Pharmaceuticals, Inc. No. 2:23-cv-23142 in the NJ District Court. Both actions are currently 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Sunosi Paragraph IV Litigation</w:t>
      </w:r>
    </w:p>
    <w:p>
      <w:pPr>
        <w:spacing w:after="0" w:line="227"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On September 13, 2023, we commenced a patent infringement action against Hikma and five other drug companies relating to each defendant's ANDA for Sunosi. This action is captioned Axsome Malta Ltd. &amp; Axsome Therapeutics, Inc. v. Alkem Laboratories Ltd., et al. No. 2:23-CV-20354 in the NJ District Court. We commenced related patent infringement actions against the defendants relating to their ANDAs on December 20, 2023, January 11, 2024, January 18, 2024, February 14, 2024, March 19, 2024 (2 actions filed), and April 5, 2024. Those actions are captioned Axsome Malta Ltd. &amp; Axsome Therapeutics, Inc. v. Unichem Laboratories Ltd. No. 2:23-cv-23255; Axsome Malta Ltd. &amp; Axsome Therapeutics, Inc. v. Hetero USA, Inc. et al. No 2:24-cv-00196; Axsome Malta Ltd. &amp; Axsome Therapeutics, Inc. v. Aurobindo Pharma USA, Inc. et al. No. 2:24-cv-00309; Axsome Malta Ltd. &amp; Axsome Therapeutics, Inc. v. Sandoz, Inc. No. 2:24-cv-00860; Axsome Malta Ltd. &amp; Axsome Therapeutics, Inc. v. Hetero USA, Inc. et al. No 2:24-cv-03999; Axsome Malta Ltd. &amp; Axsome Therapeutics, Inc. v. Aurobindo Pharma USA, Inc. et al. No. 2:24-cv-04002; and Axsome Malta Ltd. &amp; Axsome Therapeutics, Inc. v. Alkem Laboratories Ltd., et al. No. 2:24-CV-04608, respectively, all of which are in the NJ District Court. All actions are currently pending.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We have restated and revised our risk factors for material updates for this quarter, where appropriate, from those included in our Annual Report on Form 10-K dated and filed with the SEC on February 23, 2024. Investors should carefully consider all of the information set forth in this Quarterly Report on Form 10-Q, including the following risk factors, before deciding to invest in any of the Company’s securities.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59" w:lineRule="exact"/>
        <w:rPr>
          <w:sz w:val="20"/>
          <w:szCs w:val="20"/>
          <w:color w:val="auto"/>
        </w:rPr>
      </w:pPr>
    </w:p>
    <w:p>
      <w:pPr>
        <w:ind w:left="760" w:right="240" w:hanging="378"/>
        <w:spacing w:after="0" w:line="286" w:lineRule="auto"/>
        <w:tabs>
          <w:tab w:leader="none" w:pos="7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continue to have losses, and may never achieve or maintain profitability.</w:t>
      </w:r>
    </w:p>
    <w:p>
      <w:pPr>
        <w:spacing w:after="0" w:line="153" w:lineRule="exact"/>
        <w:rPr>
          <w:rFonts w:ascii="Times New Roman" w:cs="Times New Roman" w:eastAsia="Times New Roman" w:hAnsi="Times New Roman"/>
          <w:sz w:val="16"/>
          <w:szCs w:val="16"/>
          <w:color w:val="auto"/>
        </w:rPr>
      </w:pPr>
    </w:p>
    <w:p>
      <w:pPr>
        <w:ind w:left="760" w:right="40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9" w:lineRule="exact"/>
        <w:rPr>
          <w:rFonts w:ascii="Times New Roman" w:cs="Times New Roman" w:eastAsia="Times New Roman" w:hAnsi="Times New Roman"/>
          <w:sz w:val="18"/>
          <w:szCs w:val="18"/>
          <w:color w:val="auto"/>
        </w:rPr>
      </w:pPr>
    </w:p>
    <w:p>
      <w:pPr>
        <w:ind w:left="760" w:right="40" w:hanging="378"/>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4" w:lineRule="exact"/>
        <w:rPr>
          <w:rFonts w:ascii="Times New Roman" w:cs="Times New Roman" w:eastAsia="Times New Roman" w:hAnsi="Times New Roman"/>
          <w:sz w:val="18"/>
          <w:szCs w:val="18"/>
          <w:color w:val="auto"/>
        </w:rPr>
      </w:pPr>
    </w:p>
    <w:p>
      <w:pPr>
        <w:ind w:left="760" w:right="38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3" w:lineRule="exact"/>
        <w:rPr>
          <w:rFonts w:ascii="Times New Roman" w:cs="Times New Roman" w:eastAsia="Times New Roman" w:hAnsi="Times New Roman"/>
          <w:sz w:val="18"/>
          <w:szCs w:val="18"/>
          <w:color w:val="auto"/>
        </w:rPr>
      </w:pPr>
    </w:p>
    <w:p>
      <w:pPr>
        <w:ind w:left="760" w:hanging="378"/>
        <w:spacing w:after="0" w:line="26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ectPr>
          <w:pgSz w:w="11900" w:h="16838" w:orient="portrait"/>
          <w:cols w:equalWidth="0" w:num="1">
            <w:col w:w="11240"/>
          </w:cols>
          <w:pgMar w:left="320" w:top="4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60" w:right="40" w:hanging="378"/>
        <w:spacing w:after="0" w:line="26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4" w:lineRule="exact"/>
        <w:rPr>
          <w:rFonts w:ascii="Times New Roman" w:cs="Times New Roman" w:eastAsia="Times New Roman" w:hAnsi="Times New Roman"/>
          <w:sz w:val="18"/>
          <w:szCs w:val="18"/>
          <w:color w:val="auto"/>
        </w:rPr>
      </w:pPr>
    </w:p>
    <w:p>
      <w:pPr>
        <w:ind w:left="760" w:right="180" w:hanging="378"/>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3" w:lineRule="exact"/>
        <w:rPr>
          <w:rFonts w:ascii="Times New Roman" w:cs="Times New Roman" w:eastAsia="Times New Roman" w:hAnsi="Times New Roman"/>
          <w:sz w:val="18"/>
          <w:szCs w:val="18"/>
          <w:color w:val="auto"/>
        </w:rPr>
      </w:pPr>
    </w:p>
    <w:p>
      <w:pPr>
        <w:ind w:left="760" w:right="100" w:hanging="378"/>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4" w:lineRule="exact"/>
        <w:rPr>
          <w:rFonts w:ascii="Times New Roman" w:cs="Times New Roman" w:eastAsia="Times New Roman" w:hAnsi="Times New Roman"/>
          <w:sz w:val="18"/>
          <w:szCs w:val="18"/>
          <w:color w:val="auto"/>
        </w:rPr>
      </w:pPr>
    </w:p>
    <w:p>
      <w:pPr>
        <w:ind w:left="76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69"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9" w:lineRule="exact"/>
        <w:rPr>
          <w:rFonts w:ascii="Times New Roman" w:cs="Times New Roman" w:eastAsia="Times New Roman" w:hAnsi="Times New Roman"/>
          <w:sz w:val="18"/>
          <w:szCs w:val="18"/>
          <w:color w:val="auto"/>
        </w:rPr>
      </w:pPr>
    </w:p>
    <w:p>
      <w:pPr>
        <w:jc w:val="both"/>
        <w:ind w:left="760" w:right="40" w:hanging="378"/>
        <w:spacing w:after="0" w:line="26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74" w:lineRule="exact"/>
        <w:rPr>
          <w:rFonts w:ascii="Times New Roman" w:cs="Times New Roman" w:eastAsia="Times New Roman" w:hAnsi="Times New Roman"/>
          <w:sz w:val="18"/>
          <w:szCs w:val="18"/>
          <w:color w:val="auto"/>
        </w:rPr>
      </w:pPr>
    </w:p>
    <w:p>
      <w:pPr>
        <w:ind w:left="760" w:right="800" w:hanging="378"/>
        <w:spacing w:after="0" w:line="28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3" w:lineRule="exact"/>
        <w:rPr>
          <w:rFonts w:ascii="Times New Roman" w:cs="Times New Roman" w:eastAsia="Times New Roman" w:hAnsi="Times New Roman"/>
          <w:sz w:val="18"/>
          <w:szCs w:val="18"/>
          <w:color w:val="auto"/>
        </w:rPr>
      </w:pPr>
    </w:p>
    <w:p>
      <w:pPr>
        <w:ind w:left="760" w:right="12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69" w:lineRule="exact"/>
        <w:rPr>
          <w:rFonts w:ascii="Times New Roman" w:cs="Times New Roman" w:eastAsia="Times New Roman" w:hAnsi="Times New Roman"/>
          <w:sz w:val="18"/>
          <w:szCs w:val="18"/>
          <w:color w:val="auto"/>
        </w:rPr>
      </w:pPr>
    </w:p>
    <w:p>
      <w:pPr>
        <w:ind w:left="760" w:right="18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69" w:lineRule="exact"/>
        <w:rPr>
          <w:rFonts w:ascii="Times New Roman" w:cs="Times New Roman" w:eastAsia="Times New Roman" w:hAnsi="Times New Roman"/>
          <w:sz w:val="18"/>
          <w:szCs w:val="18"/>
          <w:color w:val="auto"/>
        </w:rPr>
      </w:pPr>
    </w:p>
    <w:p>
      <w:pPr>
        <w:ind w:left="760" w:right="10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health maintenance organization (HMOs) or long-term care facilities choose to use therapies that are less expensive, our revenue and prospects for profitability will be limited.</w:t>
      </w:r>
    </w:p>
    <w:p>
      <w:pPr>
        <w:spacing w:after="0" w:line="169" w:lineRule="exact"/>
        <w:rPr>
          <w:rFonts w:ascii="Times New Roman" w:cs="Times New Roman" w:eastAsia="Times New Roman" w:hAnsi="Times New Roman"/>
          <w:sz w:val="18"/>
          <w:szCs w:val="18"/>
          <w:color w:val="auto"/>
        </w:rPr>
      </w:pPr>
    </w:p>
    <w:p>
      <w:pPr>
        <w:jc w:val="both"/>
        <w:ind w:left="760" w:right="200" w:hanging="378"/>
        <w:spacing w:after="0" w:line="26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60" w:right="20" w:hanging="378"/>
        <w:spacing w:after="0" w:line="26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69" w:lineRule="exact"/>
        <w:rPr>
          <w:rFonts w:ascii="Times New Roman" w:cs="Times New Roman" w:eastAsia="Times New Roman" w:hAnsi="Times New Roman"/>
          <w:sz w:val="18"/>
          <w:szCs w:val="18"/>
          <w:color w:val="auto"/>
        </w:rPr>
      </w:pPr>
    </w:p>
    <w:p>
      <w:pPr>
        <w:ind w:left="760" w:right="400" w:hanging="378"/>
        <w:spacing w:after="0" w:line="28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continue to have losses, and may never achieve or maintain profitability.</w:t>
      </w:r>
    </w:p>
    <w:p>
      <w:pPr>
        <w:spacing w:after="0" w:line="240"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significant operating losses. Our net loss was $68.4 million and $11.2 million for the three months ended March 31, 2024 and 2023, respectively. As of March 31, 2024, we had an accumulated deficit of $903.9 million. In 2022, we commenced the commercial sale of Auvelity in the United States and Sunosi in the United States and select global markets. Apart from Sunosi and Auvelity, we have no other products which have received regulatory approval.</w:t>
      </w:r>
    </w:p>
    <w:p>
      <w:pPr>
        <w:spacing w:after="0" w:line="182" w:lineRule="exact"/>
        <w:rPr>
          <w:sz w:val="20"/>
          <w:szCs w:val="20"/>
          <w:color w:val="auto"/>
        </w:rPr>
      </w:pPr>
    </w:p>
    <w:p>
      <w:pPr>
        <w:ind w:right="20" w:firstLine="749"/>
        <w:spacing w:after="0" w:line="265"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Sunosi, Auvelity, and any other product candidate which may be approved or which we may in-license. We anticipate that our expenses will increase substantially as we:</w:t>
      </w:r>
    </w:p>
    <w:p>
      <w:pPr>
        <w:spacing w:after="0" w:line="17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additional product candidates;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marketing, and distribution infrastructure;</w:t>
      </w:r>
    </w:p>
    <w:p>
      <w:pPr>
        <w:spacing w:after="0" w:line="224" w:lineRule="exact"/>
        <w:rPr>
          <w:rFonts w:ascii="Times New Roman" w:cs="Times New Roman" w:eastAsia="Times New Roman" w:hAnsi="Times New Roman"/>
          <w:sz w:val="18"/>
          <w:szCs w:val="18"/>
          <w:color w:val="auto"/>
        </w:rPr>
      </w:pPr>
    </w:p>
    <w:p>
      <w:pPr>
        <w:ind w:left="760" w:right="580" w:hanging="378"/>
        <w:spacing w:after="0" w:line="28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18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clinical trials with AXS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in AD agitation;</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clinical trials with AXS-12 in narcolepsy;</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plan for, and potentially submit an NDA for AXS-14 in fibromyalgia;</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commercial sales of Sunosi and Auvelity;</w:t>
      </w:r>
    </w:p>
    <w:p>
      <w:pPr>
        <w:spacing w:after="0" w:line="18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ectPr>
          <w:pgSz w:w="11900" w:h="16838" w:orient="portrait"/>
          <w:cols w:equalWidth="0" w:num="1">
            <w:col w:w="11200"/>
          </w:cols>
          <w:pgMar w:left="320" w:top="4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60" w:hanging="378"/>
        <w:spacing w:after="0" w:line="207" w:lineRule="exact"/>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24"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87"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2"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7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4" w:lineRule="exact"/>
        <w:rPr>
          <w:sz w:val="20"/>
          <w:szCs w:val="20"/>
          <w:color w:val="auto"/>
        </w:rPr>
      </w:pPr>
    </w:p>
    <w:p>
      <w:pPr>
        <w:ind w:right="220" w:firstLine="749"/>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8" w:lineRule="exact"/>
        <w:rPr>
          <w:sz w:val="20"/>
          <w:szCs w:val="20"/>
          <w:color w:val="auto"/>
        </w:rPr>
      </w:pPr>
    </w:p>
    <w:p>
      <w:pPr>
        <w:ind w:left="760" w:right="220" w:hanging="378"/>
        <w:spacing w:after="0" w:line="28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our operations and continue to commercialize our products;</w:t>
      </w:r>
    </w:p>
    <w:p>
      <w:pPr>
        <w:spacing w:after="0" w:line="18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and outsource the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our products under current good manufacturing practices, or cGMP;</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product candidates; and</w:t>
      </w:r>
    </w:p>
    <w:p>
      <w:pPr>
        <w:spacing w:after="0" w:line="18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40" w:firstLine="749"/>
        <w:spacing w:after="0" w:line="288" w:lineRule="auto"/>
        <w:rPr>
          <w:sz w:val="20"/>
          <w:szCs w:val="20"/>
          <w:color w:val="auto"/>
        </w:rPr>
      </w:pPr>
      <w:r>
        <w:rPr>
          <w:rFonts w:ascii="Times New Roman" w:cs="Times New Roman" w:eastAsia="Times New Roman" w:hAnsi="Times New Roman"/>
          <w:sz w:val="17"/>
          <w:szCs w:val="17"/>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59" w:lineRule="exact"/>
        <w:rPr>
          <w:sz w:val="20"/>
          <w:szCs w:val="20"/>
          <w:color w:val="auto"/>
        </w:rPr>
      </w:pPr>
    </w:p>
    <w:p>
      <w:pPr>
        <w:ind w:left="760" w:right="46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24"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2" w:lineRule="exact"/>
        <w:rPr>
          <w:rFonts w:ascii="Times New Roman" w:cs="Times New Roman" w:eastAsia="Times New Roman" w:hAnsi="Times New Roman"/>
          <w:sz w:val="18"/>
          <w:szCs w:val="18"/>
          <w:color w:val="auto"/>
        </w:rPr>
      </w:pPr>
    </w:p>
    <w:p>
      <w:pPr>
        <w:ind w:left="760" w:right="420" w:hanging="378"/>
        <w:spacing w:after="0" w:line="281"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commercial sales of our approved products;</w:t>
      </w:r>
    </w:p>
    <w:p>
      <w:pPr>
        <w:spacing w:after="0" w:line="18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11"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74"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the Third Amendment which amended the terms of the Loan Agreement to, among other things, increase the size of the aggregate principal amount under the 2020 Term Loan from $300.0 million to $350.0 million, reduce the interest rate, and extend the maturity and interest-only period of the Loan Agreement. In May 2023, we entered into the Fourth Amendment which increased the amount of cash that could be held by Axsome Malta Ltd., or the Malta Subsidiary, outside of the United States and waived any purported default with respect to the amount of cash held by the Malta Subsidiary prior to the date of the Fourth Amendment. In August 2023, Hercules granted Axsome a waiver to the Fourth Amendment, increasing the amount of cash that could be held by the Malta Subsidiary outside of the United States until December 31, 2023.</w:t>
      </w:r>
    </w:p>
    <w:p>
      <w:pPr>
        <w:spacing w:after="0" w:line="186" w:lineRule="exact"/>
        <w:rPr>
          <w:sz w:val="20"/>
          <w:szCs w:val="20"/>
          <w:color w:val="auto"/>
        </w:rPr>
      </w:pPr>
    </w:p>
    <w:p>
      <w:pPr>
        <w:ind w:right="120" w:firstLine="749"/>
        <w:spacing w:after="0" w:line="280" w:lineRule="auto"/>
        <w:rPr>
          <w:sz w:val="20"/>
          <w:szCs w:val="20"/>
          <w:color w:val="auto"/>
        </w:rPr>
      </w:pPr>
      <w:r>
        <w:rPr>
          <w:rFonts w:ascii="Times New Roman" w:cs="Times New Roman" w:eastAsia="Times New Roman" w:hAnsi="Times New Roman"/>
          <w:sz w:val="17"/>
          <w:szCs w:val="17"/>
          <w:color w:val="auto"/>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66" w:lineRule="exact"/>
        <w:rPr>
          <w:sz w:val="20"/>
          <w:szCs w:val="20"/>
          <w:color w:val="auto"/>
        </w:rPr>
      </w:pPr>
    </w:p>
    <w:p>
      <w:pPr>
        <w:ind w:right="80" w:firstLine="749"/>
        <w:spacing w:after="0" w:line="281" w:lineRule="auto"/>
        <w:rPr>
          <w:sz w:val="20"/>
          <w:szCs w:val="20"/>
          <w:color w:val="auto"/>
        </w:rPr>
      </w:pPr>
      <w:r>
        <w:rPr>
          <w:rFonts w:ascii="Times New Roman" w:cs="Times New Roman" w:eastAsia="Times New Roman" w:hAnsi="Times New Roman"/>
          <w:sz w:val="18"/>
          <w:szCs w:val="18"/>
          <w:color w:val="auto"/>
        </w:rPr>
        <w:t>The covenants under the Loan Agreement also requiring maintaining a minimum amount of cash in an account or accounts in which the Lenders have a first priority security interest.</w:t>
      </w:r>
    </w:p>
    <w:p>
      <w:pPr>
        <w:spacing w:after="0" w:line="163"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9"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We are an early-stage commercial company. Prior to our commercialization of Auvelity and Sunosi in 2022,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2" w:lineRule="exact"/>
        <w:rPr>
          <w:sz w:val="20"/>
          <w:szCs w:val="20"/>
          <w:color w:val="auto"/>
        </w:rPr>
      </w:pPr>
    </w:p>
    <w:p>
      <w:pPr>
        <w:ind w:right="100" w:firstLine="749"/>
        <w:spacing w:after="0" w:line="260"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encounter unforeseen expenses, difficulties, complications and delays, and may not be successful in such a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Our business, financial condition and results of operations could be materially adversely affected by any negative impact on the global economy and capital markets resulting from geopolitical tensions.</w:t>
      </w:r>
    </w:p>
    <w:p>
      <w:pPr>
        <w:spacing w:after="0" w:line="174"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2" w:lineRule="exact"/>
        <w:rPr>
          <w:sz w:val="20"/>
          <w:szCs w:val="20"/>
          <w:color w:val="auto"/>
        </w:rPr>
      </w:pPr>
    </w:p>
    <w:p>
      <w:pPr>
        <w:ind w:right="260" w:firstLine="749"/>
        <w:spacing w:after="0" w:line="260"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then also began ground operations in the Gaza Strip, which remain ongoing. It is possible that other terrorist and/or regional organizations will join the hostilities as well, resulting in a widening of the conflict, which could negatively impact the global economy.</w:t>
      </w:r>
    </w:p>
    <w:p>
      <w:pPr>
        <w:spacing w:after="0" w:line="18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Furthermore, because of current geopolitical tensions, the Biden administration has recently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recent bill titled the Biosecure Act, to discourage contracting with Chinese companies on the development or manufacturing of pharmaceutical products. Any additional executive orders or legislative action regarding or potential sanctions on China could materially impact our current manufacturing partners.</w:t>
      </w:r>
    </w:p>
    <w:p>
      <w:pPr>
        <w:spacing w:after="0" w:line="186"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these geopolitical issues to date, it is impossible to predict the extent to which our operations, or those of our suppliers and manufacturers, will be impacted in the short and long term, or the ways in which the conflict may impact our business. The extent and duration of the military action, sanctions and resulting market disruptions are impossible to predict, but could be substantial. Any such disruptions may also magnify the impact of other risks described herein.</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58"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12"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86"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8"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We currently have two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Sunosi and Auvelity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89"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18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00" w:firstLine="749"/>
        <w:spacing w:after="0" w:line="288" w:lineRule="auto"/>
        <w:rPr>
          <w:sz w:val="20"/>
          <w:szCs w:val="20"/>
          <w:color w:val="auto"/>
        </w:rPr>
      </w:pPr>
      <w:r>
        <w:rPr>
          <w:rFonts w:ascii="Times New Roman" w:cs="Times New Roman" w:eastAsia="Times New Roman" w:hAnsi="Times New Roman"/>
          <w:sz w:val="17"/>
          <w:szCs w:val="17"/>
          <w:color w:val="auto"/>
        </w:rPr>
        <w:t>Although we submitted NDAs to the FDA for Auvelity (which was approved) and for AXS-07 for the acute treatment of migraines (which received a CRL),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depend on our 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6" w:lineRule="exact"/>
        <w:rPr>
          <w:sz w:val="20"/>
          <w:szCs w:val="20"/>
          <w:color w:val="auto"/>
        </w:rPr>
      </w:pPr>
    </w:p>
    <w:p>
      <w:pPr>
        <w:ind w:left="760" w:right="20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deploy a sales force to commercialize our product candidates;</w:t>
      </w:r>
    </w:p>
    <w:p>
      <w:pPr>
        <w:spacing w:after="0" w:line="22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(or have manufactured by third parties) our product candidates in sufficient quantities and at acceptable quality and manufacturing cost to meet commercial demand at launch and thereafter;</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4" w:lineRule="exact"/>
        <w:rPr>
          <w:rFonts w:ascii="Times New Roman" w:cs="Times New Roman" w:eastAsia="Times New Roman" w:hAnsi="Times New Roman"/>
          <w:sz w:val="18"/>
          <w:szCs w:val="18"/>
          <w:color w:val="auto"/>
        </w:rPr>
      </w:pPr>
    </w:p>
    <w:p>
      <w:pPr>
        <w:ind w:left="760" w:right="60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appropriate reimbursement for our product candidates;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compete with other therapies;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8"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agitation associated with AD, and smoking cessation, AXS-07 for the acute treatment of migraines,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340" w:firstLine="749"/>
        <w:spacing w:after="0" w:line="265"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77"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inability to secure financing to fund business activities for such development;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development costs;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22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For instance, our prior efforts have resulted in our decision not to further develop certain product candidates that, at one time, appeared to be promising. Likewise, we received a CRL from the FDA relating to the Company’s AXS-07 portfolio product in 2022 (we intend to resubmit the NDA for AXS-07). We have limited resources to identify and execute the development of products.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1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4"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some of our product candidates using the 505(b)(2) pathway. These 505(b)(2) product candidates include AXS-05 and AXS-07.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2" w:lineRule="exact"/>
        <w:rPr>
          <w:sz w:val="20"/>
          <w:szCs w:val="20"/>
          <w:color w:val="auto"/>
        </w:rPr>
      </w:pPr>
    </w:p>
    <w:p>
      <w:pPr>
        <w:ind w:right="20" w:firstLine="749"/>
        <w:spacing w:after="0" w:line="225" w:lineRule="exact"/>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Auvelity,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addition, because we plan to file certain product candidates under an NDA submitted pursuant to 505(b)(2), we will rely, at least in part, upon a reference drug and published literature. For example, we intend to rely on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these product candidates.</w:t>
      </w:r>
    </w:p>
    <w:p>
      <w:pPr>
        <w:spacing w:after="0" w:line="18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8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7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NDA submitted under Section 505(b)(2) subjects us to the risk that we may be subject to a patent infringement lawsuit or regulatory actions that would delay or prevent the review or approval of our product candidates.</w:t>
      </w:r>
    </w:p>
    <w:p>
      <w:pPr>
        <w:spacing w:after="0" w:line="15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Under the Hatch-Waxman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months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w:t>
      </w:r>
    </w:p>
    <w:p>
      <w:pPr>
        <w:spacing w:after="0" w:line="1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institutional review board, or IRB, approval, or otherwise cause delays in the approval or rejection of an application. To date, we have submitted two NDAs to the FDA and have obtained regulatory approval for one of our product candidates, Auvelity. It is possible that none of our other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91" w:lineRule="exact"/>
        <w:rPr>
          <w:sz w:val="20"/>
          <w:szCs w:val="20"/>
          <w:color w:val="auto"/>
        </w:rPr>
      </w:pPr>
    </w:p>
    <w:p>
      <w:pPr>
        <w:ind w:right="80" w:firstLine="749"/>
        <w:spacing w:after="0" w:line="218" w:lineRule="exact"/>
        <w:rPr>
          <w:sz w:val="20"/>
          <w:szCs w:val="20"/>
          <w:color w:val="auto"/>
        </w:rPr>
      </w:pPr>
      <w:r>
        <w:rPr>
          <w:rFonts w:ascii="Times New Roman" w:cs="Times New Roman" w:eastAsia="Times New Roman" w:hAnsi="Times New Roman"/>
          <w:sz w:val="17"/>
          <w:szCs w:val="17"/>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02" w:lineRule="exact"/>
        <w:rPr>
          <w:sz w:val="20"/>
          <w:szCs w:val="20"/>
          <w:color w:val="auto"/>
        </w:rPr>
      </w:pPr>
    </w:p>
    <w:p>
      <w:pPr>
        <w:ind w:right="20" w:firstLine="749"/>
        <w:spacing w:after="0" w:line="218"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3" w:lineRule="exact"/>
        <w:rPr>
          <w:sz w:val="20"/>
          <w:szCs w:val="20"/>
          <w:color w:val="auto"/>
        </w:rPr>
      </w:pPr>
    </w:p>
    <w:p>
      <w:pPr>
        <w:ind w:left="760" w:right="22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62"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162" w:lineRule="exact"/>
        <w:rPr>
          <w:rFonts w:ascii="Times New Roman" w:cs="Times New Roman" w:eastAsia="Times New Roman" w:hAnsi="Times New Roman"/>
          <w:sz w:val="18"/>
          <w:szCs w:val="18"/>
          <w:color w:val="auto"/>
        </w:rPr>
      </w:pPr>
    </w:p>
    <w:p>
      <w:pPr>
        <w:jc w:val="both"/>
        <w:ind w:left="760" w:right="400" w:hanging="378"/>
        <w:spacing w:after="0" w:line="265"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7"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2"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1" w:lineRule="exact"/>
        <w:rPr>
          <w:rFonts w:ascii="Times New Roman" w:cs="Times New Roman" w:eastAsia="Times New Roman" w:hAnsi="Times New Roman"/>
          <w:sz w:val="18"/>
          <w:szCs w:val="18"/>
          <w:color w:val="auto"/>
        </w:rPr>
      </w:pPr>
    </w:p>
    <w:p>
      <w:pPr>
        <w:ind w:left="760" w:right="100" w:hanging="378"/>
        <w:spacing w:after="0" w:line="245" w:lineRule="exact"/>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98" w:lineRule="exact"/>
        <w:rPr>
          <w:rFonts w:ascii="Times New Roman" w:cs="Times New Roman" w:eastAsia="Times New Roman" w:hAnsi="Times New Roman"/>
          <w:sz w:val="18"/>
          <w:szCs w:val="18"/>
          <w:color w:val="auto"/>
        </w:rPr>
      </w:pPr>
    </w:p>
    <w:p>
      <w:pPr>
        <w:ind w:left="760" w:right="220" w:hanging="378"/>
        <w:spacing w:after="0" w:line="26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224"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2" w:lineRule="exact"/>
        <w:rPr>
          <w:rFonts w:ascii="Times New Roman" w:cs="Times New Roman" w:eastAsia="Times New Roman" w:hAnsi="Times New Roman"/>
          <w:sz w:val="18"/>
          <w:szCs w:val="18"/>
          <w:color w:val="auto"/>
        </w:rPr>
      </w:pPr>
    </w:p>
    <w:p>
      <w:pPr>
        <w:ind w:left="760" w:right="78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1"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right="60" w:hanging="378"/>
        <w:spacing w:after="0" w:line="25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8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4" w:lineRule="exact"/>
        <w:rPr>
          <w:rFonts w:ascii="Times New Roman" w:cs="Times New Roman" w:eastAsia="Times New Roman" w:hAnsi="Times New Roman"/>
          <w:sz w:val="18"/>
          <w:szCs w:val="18"/>
          <w:color w:val="auto"/>
        </w:rPr>
      </w:pPr>
    </w:p>
    <w:p>
      <w:pPr>
        <w:ind w:left="760" w:right="40" w:hanging="378"/>
        <w:spacing w:after="0" w:line="26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7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regulatory questions regarding interpretations of data and results, or new information may emerge regarding our product candidates;</w:t>
      </w:r>
    </w:p>
    <w:p>
      <w:pPr>
        <w:spacing w:after="0" w:line="236" w:lineRule="exact"/>
        <w:rPr>
          <w:rFonts w:ascii="Times New Roman" w:cs="Times New Roman" w:eastAsia="Times New Roman" w:hAnsi="Times New Roman"/>
          <w:sz w:val="17"/>
          <w:szCs w:val="17"/>
          <w:color w:val="auto"/>
        </w:rPr>
      </w:pPr>
    </w:p>
    <w:p>
      <w:pPr>
        <w:ind w:left="760" w:right="20" w:hanging="378"/>
        <w:spacing w:after="0" w:line="258"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81" w:lineRule="exact"/>
        <w:rPr>
          <w:rFonts w:ascii="Times New Roman" w:cs="Times New Roman" w:eastAsia="Times New Roman" w:hAnsi="Times New Roman"/>
          <w:sz w:val="18"/>
          <w:szCs w:val="18"/>
          <w:color w:val="auto"/>
        </w:rPr>
      </w:pPr>
    </w:p>
    <w:p>
      <w:pPr>
        <w:ind w:left="760" w:right="140" w:hanging="378"/>
        <w:spacing w:after="0" w:line="258"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4"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62" w:lineRule="exact"/>
        <w:rPr>
          <w:rFonts w:ascii="Times New Roman" w:cs="Times New Roman" w:eastAsia="Times New Roman" w:hAnsi="Times New Roman"/>
          <w:sz w:val="18"/>
          <w:szCs w:val="18"/>
          <w:color w:val="auto"/>
        </w:rPr>
      </w:pPr>
    </w:p>
    <w:p>
      <w:pPr>
        <w:ind w:left="760" w:right="120" w:hanging="378"/>
        <w:spacing w:after="0" w:line="281"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CMC data necessary for our NDA filing and approval, we will need to conduct stability studies and provide stability data to establish appropriate retest or expiration dating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hanging="378"/>
        <w:spacing w:after="0" w:line="260"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 our product candidates may not demonstrate sufficient long-term stability to support an NDA filing or obtain approval, or the product shelf life may be limited by stability results;</w:t>
      </w:r>
    </w:p>
    <w:p>
      <w:pPr>
        <w:spacing w:after="0" w:line="181"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62"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3"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7"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224" w:lineRule="exact"/>
        <w:rPr>
          <w:rFonts w:ascii="Times New Roman" w:cs="Times New Roman" w:eastAsia="Times New Roman" w:hAnsi="Times New Roman"/>
          <w:sz w:val="18"/>
          <w:szCs w:val="18"/>
          <w:color w:val="auto"/>
        </w:rPr>
      </w:pPr>
    </w:p>
    <w:p>
      <w:pPr>
        <w:ind w:left="760" w:right="40" w:hanging="378"/>
        <w:spacing w:after="0" w:line="265"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36"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AXS-07, the FDA noted the need for additional CMC data.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7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8" w:lineRule="exact"/>
        <w:rPr>
          <w:sz w:val="20"/>
          <w:szCs w:val="20"/>
          <w:color w:val="auto"/>
        </w:rPr>
      </w:pPr>
    </w:p>
    <w:p>
      <w:pPr>
        <w:ind w:right="80" w:firstLine="749"/>
        <w:spacing w:after="0" w:line="274" w:lineRule="auto"/>
        <w:rPr>
          <w:sz w:val="20"/>
          <w:szCs w:val="20"/>
          <w:color w:val="auto"/>
        </w:rPr>
      </w:pPr>
      <w:r>
        <w:rPr>
          <w:rFonts w:ascii="Times New Roman" w:cs="Times New Roman" w:eastAsia="Times New Roman" w:hAnsi="Times New Roman"/>
          <w:sz w:val="17"/>
          <w:szCs w:val="17"/>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71" w:lineRule="exact"/>
        <w:rPr>
          <w:sz w:val="20"/>
          <w:szCs w:val="20"/>
          <w:color w:val="auto"/>
        </w:rPr>
      </w:pPr>
    </w:p>
    <w:p>
      <w:pPr>
        <w:ind w:left="760" w:right="60" w:hanging="378"/>
        <w:spacing w:after="0" w:line="28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or nonclinical testing may produce inconclusive or negative safety results, which may require us to conduct additional nonclinical testing or to abandon product candidates;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unfavorable pharmacology or toxicity characteristics or suggest possible drug-drug interaction;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cause undesirable side effects;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determine that additional safety testing is required.</w:t>
      </w:r>
    </w:p>
    <w:p>
      <w:pPr>
        <w:spacing w:after="0" w:line="225" w:lineRule="exact"/>
        <w:rPr>
          <w:sz w:val="20"/>
          <w:szCs w:val="20"/>
          <w:color w:val="auto"/>
        </w:rPr>
      </w:pPr>
    </w:p>
    <w:p>
      <w:pPr>
        <w:ind w:right="60" w:firstLine="749"/>
        <w:spacing w:after="0" w:line="281" w:lineRule="auto"/>
        <w:rPr>
          <w:sz w:val="20"/>
          <w:szCs w:val="20"/>
          <w:color w:val="auto"/>
        </w:rPr>
      </w:pPr>
      <w:r>
        <w:rPr>
          <w:rFonts w:ascii="Times New Roman" w:cs="Times New Roman" w:eastAsia="Times New Roman" w:hAnsi="Times New Roman"/>
          <w:sz w:val="18"/>
          <w:szCs w:val="18"/>
          <w:color w:val="auto"/>
        </w:rPr>
        <w:t>Any such events would increase our costs and could delay or prevent our ability to commercialize our product candidates, which could adversely impact our business, financial condition and results of operation.</w:t>
      </w:r>
    </w:p>
    <w:p>
      <w:pPr>
        <w:spacing w:after="0" w:line="15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7"/>
          <w:szCs w:val="17"/>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98" w:lineRule="exact"/>
        <w:rPr>
          <w:sz w:val="20"/>
          <w:szCs w:val="20"/>
          <w:color w:val="auto"/>
        </w:rPr>
      </w:pPr>
    </w:p>
    <w:p>
      <w:pPr>
        <w:ind w:right="80" w:firstLine="749"/>
        <w:spacing w:after="0" w:line="224" w:lineRule="exact"/>
        <w:rPr>
          <w:sz w:val="20"/>
          <w:szCs w:val="20"/>
          <w:color w:val="auto"/>
        </w:rPr>
      </w:pPr>
      <w:r>
        <w:rPr>
          <w:rFonts w:ascii="Times New Roman" w:cs="Times New Roman" w:eastAsia="Times New Roman" w:hAnsi="Times New Roman"/>
          <w:sz w:val="17"/>
          <w:szCs w:val="17"/>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containing or rizatriptan-containing products including Anjeso, Vivlodex, Mobic, and Maxalt.</w:t>
      </w:r>
    </w:p>
    <w:p>
      <w:pPr>
        <w:spacing w:after="0" w:line="171"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Based on the side effects disclosed in the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86"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Known side effects for Auvelity and Sunosi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2" w:lineRule="exact"/>
        <w:rPr>
          <w:sz w:val="20"/>
          <w:szCs w:val="20"/>
          <w:color w:val="auto"/>
        </w:rPr>
      </w:pPr>
    </w:p>
    <w:p>
      <w:pPr>
        <w:ind w:right="340" w:firstLine="749"/>
        <w:spacing w:after="0" w:line="220" w:lineRule="exact"/>
        <w:rPr>
          <w:sz w:val="20"/>
          <w:szCs w:val="20"/>
          <w:color w:val="auto"/>
        </w:rPr>
      </w:pPr>
      <w:r>
        <w:rPr>
          <w:rFonts w:ascii="Times New Roman" w:cs="Times New Roman" w:eastAsia="Times New Roman" w:hAnsi="Times New Roman"/>
          <w:sz w:val="18"/>
          <w:szCs w:val="18"/>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2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2" w:lineRule="exact"/>
        <w:rPr>
          <w:rFonts w:ascii="Times New Roman" w:cs="Times New Roman" w:eastAsia="Times New Roman" w:hAnsi="Times New Roman"/>
          <w:sz w:val="18"/>
          <w:szCs w:val="18"/>
          <w:color w:val="auto"/>
        </w:rPr>
      </w:pPr>
    </w:p>
    <w:p>
      <w:pPr>
        <w:ind w:left="760" w:right="620" w:hanging="378"/>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maintain patient informed consents;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patients for enrollment and maintain a sufficient level of patient participants in our clinical studies;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12"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firstLine="749"/>
        <w:spacing w:after="0" w:line="265"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single agent product candidates.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Certain product candidates of ours, including AXS-05 and AXS-07,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products from being marketed abroad.</w:t>
      </w:r>
    </w:p>
    <w:p>
      <w:pPr>
        <w:spacing w:after="0" w:line="188" w:lineRule="exact"/>
        <w:rPr>
          <w:sz w:val="20"/>
          <w:szCs w:val="20"/>
          <w:color w:val="auto"/>
        </w:rPr>
      </w:pPr>
    </w:p>
    <w:p>
      <w:pPr>
        <w:ind w:firstLine="749"/>
        <w:spacing w:after="0" w:line="222" w:lineRule="exact"/>
        <w:rPr>
          <w:sz w:val="20"/>
          <w:szCs w:val="20"/>
          <w:color w:val="auto"/>
        </w:rPr>
      </w:pPr>
      <w:r>
        <w:rPr>
          <w:rFonts w:ascii="Times New Roman" w:cs="Times New Roman" w:eastAsia="Times New Roman" w:hAnsi="Times New Roman"/>
          <w:sz w:val="18"/>
          <w:szCs w:val="18"/>
          <w:color w:val="auto"/>
        </w:rPr>
        <w:t>In order to market and sell our products in the European Union, or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1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8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1" w:lineRule="exact"/>
        <w:rPr>
          <w:sz w:val="20"/>
          <w:szCs w:val="20"/>
          <w:color w:val="auto"/>
        </w:rPr>
      </w:pPr>
    </w:p>
    <w:p>
      <w:pPr>
        <w:ind w:right="20" w:firstLine="749"/>
        <w:spacing w:after="0" w:line="274" w:lineRule="auto"/>
        <w:rPr>
          <w:sz w:val="20"/>
          <w:szCs w:val="20"/>
          <w:color w:val="auto"/>
        </w:rPr>
      </w:pPr>
      <w:r>
        <w:rPr>
          <w:rFonts w:ascii="Times New Roman" w:cs="Times New Roman" w:eastAsia="Times New Roman" w:hAnsi="Times New Roman"/>
          <w:sz w:val="17"/>
          <w:szCs w:val="17"/>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67"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-103505</wp:posOffset>
            </wp:positionV>
            <wp:extent cx="63500" cy="393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51" w:lineRule="exact"/>
        <w:rPr>
          <w:sz w:val="20"/>
          <w:szCs w:val="20"/>
          <w:color w:val="auto"/>
        </w:rPr>
      </w:pPr>
    </w:p>
    <w:p>
      <w:pPr>
        <w:ind w:right="40" w:firstLine="749"/>
        <w:spacing w:after="0" w:line="218" w:lineRule="exact"/>
        <w:rPr>
          <w:sz w:val="20"/>
          <w:szCs w:val="20"/>
          <w:color w:val="auto"/>
        </w:rPr>
      </w:pPr>
      <w:r>
        <w:rPr>
          <w:rFonts w:ascii="Times New Roman" w:cs="Times New Roman" w:eastAsia="Times New Roman" w:hAnsi="Times New Roman"/>
          <w:sz w:val="18"/>
          <w:szCs w:val="18"/>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our business may be adversely affected. We further must be able to sufficiently substantiate any claims that we make for our products including claims comparing our products to other companies’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2" w:right="3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firstLine="749"/>
        <w:spacing w:after="0" w:line="224"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70" w:lineRule="exact"/>
        <w:rPr>
          <w:sz w:val="20"/>
          <w:szCs w:val="20"/>
          <w:color w:val="auto"/>
        </w:rPr>
      </w:pPr>
    </w:p>
    <w:p>
      <w:pPr>
        <w:ind w:right="120"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58"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1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74"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Our product(s) are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 approval.</w:t>
      </w:r>
    </w:p>
    <w:p>
      <w:pPr>
        <w:spacing w:after="0" w:line="187" w:lineRule="exact"/>
        <w:rPr>
          <w:sz w:val="20"/>
          <w:szCs w:val="20"/>
          <w:color w:val="auto"/>
        </w:rPr>
      </w:pPr>
    </w:p>
    <w:p>
      <w:pPr>
        <w:ind w:right="160" w:firstLine="749"/>
        <w:spacing w:after="0" w:line="265"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77"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7"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22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18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 clinical holds or termination of clinical trials;</w:t>
      </w:r>
    </w:p>
    <w:p>
      <w:pPr>
        <w:spacing w:after="0" w:line="265" w:lineRule="exact"/>
        <w:rPr>
          <w:rFonts w:ascii="Times New Roman" w:cs="Times New Roman" w:eastAsia="Times New Roman" w:hAnsi="Times New Roman"/>
          <w:sz w:val="18"/>
          <w:szCs w:val="18"/>
          <w:color w:val="auto"/>
        </w:rPr>
      </w:pPr>
    </w:p>
    <w:p>
      <w:pPr>
        <w:ind w:left="760" w:right="120" w:hanging="378"/>
        <w:spacing w:after="0" w:line="288"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5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drug is administered;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becoming less competitive;</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4"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4" w:lineRule="exact"/>
        <w:rPr>
          <w:rFonts w:ascii="Times New Roman" w:cs="Times New Roman" w:eastAsia="Times New Roman" w:hAnsi="Times New Roman"/>
          <w:sz w:val="18"/>
          <w:szCs w:val="18"/>
          <w:color w:val="auto"/>
        </w:rPr>
      </w:pPr>
    </w:p>
    <w:p>
      <w:pPr>
        <w:ind w:left="760" w:right="12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25"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products,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2"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2" w:lineRule="exact"/>
        <w:rPr>
          <w:sz w:val="20"/>
          <w:szCs w:val="20"/>
          <w:color w:val="auto"/>
        </w:rPr>
      </w:pPr>
    </w:p>
    <w:p>
      <w:pPr>
        <w:ind w:right="680" w:firstLine="749"/>
        <w:spacing w:after="0" w:line="239"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16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Timelines for the review of our regulatory submissions by the FDA and other regulatory agencies are subject to change and uncertainty, which may delay the potential approval of any product candidates we seek to develop or commercialize.</w:t>
      </w:r>
    </w:p>
    <w:p>
      <w:pPr>
        <w:spacing w:after="0" w:line="158"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We cannot predict the timeline for review of submissions to any regulatory authorities or when any of our product candidates will receive marketing approval, if at all. The timeline for regulatory approval can be affected by a variety of factors, including disruptive effects of the COVID-19 pandemic, budget and funding levels, agency staffing, and statutory, regulatory and policy changes. Delays or uncertainty in the timing of regulatory action in response to our submissions could adversely impact our development and commercialization efforts and our business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2" w:right="3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jc w:val="both"/>
        <w:ind w:right="100" w:firstLine="749"/>
        <w:spacing w:after="0" w:line="265" w:lineRule="auto"/>
        <w:rPr>
          <w:sz w:val="20"/>
          <w:szCs w:val="20"/>
          <w:color w:val="auto"/>
        </w:rPr>
      </w:pPr>
      <w:r>
        <w:rPr>
          <w:rFonts w:ascii="Times New Roman" w:cs="Times New Roman" w:eastAsia="Times New Roman" w:hAnsi="Times New Roman"/>
          <w:sz w:val="18"/>
          <w:szCs w:val="18"/>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7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3" w:lineRule="exact"/>
        <w:rPr>
          <w:rFonts w:ascii="Times New Roman" w:cs="Times New Roman" w:eastAsia="Times New Roman" w:hAnsi="Times New Roman"/>
          <w:sz w:val="18"/>
          <w:szCs w:val="18"/>
          <w:color w:val="auto"/>
        </w:rPr>
      </w:pPr>
    </w:p>
    <w:p>
      <w:pPr>
        <w:ind w:left="760" w:hanging="378"/>
        <w:spacing w:after="0" w:line="235" w:lineRule="exact"/>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9" w:lineRule="exact"/>
        <w:rPr>
          <w:rFonts w:ascii="Times New Roman" w:cs="Times New Roman" w:eastAsia="Times New Roman" w:hAnsi="Times New Roman"/>
          <w:sz w:val="18"/>
          <w:szCs w:val="18"/>
          <w:color w:val="auto"/>
        </w:rPr>
      </w:pPr>
    </w:p>
    <w:p>
      <w:pPr>
        <w:ind w:left="760" w:right="26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2" w:lineRule="exact"/>
        <w:rPr>
          <w:rFonts w:ascii="Times New Roman" w:cs="Times New Roman" w:eastAsia="Times New Roman" w:hAnsi="Times New Roman"/>
          <w:sz w:val="18"/>
          <w:szCs w:val="18"/>
          <w:color w:val="auto"/>
        </w:rPr>
      </w:pPr>
    </w:p>
    <w:p>
      <w:pPr>
        <w:ind w:left="760" w:right="68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224"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staffing and managing foreign operations;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224" w:lineRule="exact"/>
        <w:rPr>
          <w:rFonts w:ascii="Times New Roman" w:cs="Times New Roman" w:eastAsia="Times New Roman" w:hAnsi="Times New Roman"/>
          <w:sz w:val="18"/>
          <w:szCs w:val="18"/>
          <w:color w:val="auto"/>
        </w:rPr>
      </w:pPr>
    </w:p>
    <w:p>
      <w:pPr>
        <w:ind w:left="760" w:right="30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U.S. laws and regulations for foreign operations, including the Foreign Corrupt Practices Act or comparable foreign regulations, and the risks and costs of noncompliance;</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4" w:lineRule="exact"/>
        <w:rPr>
          <w:rFonts w:ascii="Times New Roman" w:cs="Times New Roman" w:eastAsia="Times New Roman" w:hAnsi="Times New Roman"/>
          <w:sz w:val="18"/>
          <w:szCs w:val="18"/>
          <w:color w:val="auto"/>
        </w:rPr>
      </w:pPr>
    </w:p>
    <w:p>
      <w:pPr>
        <w:ind w:left="760" w:right="42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3" w:lineRule="exact"/>
        <w:rPr>
          <w:sz w:val="20"/>
          <w:szCs w:val="20"/>
          <w:color w:val="auto"/>
        </w:rPr>
      </w:pPr>
    </w:p>
    <w:p>
      <w:pPr>
        <w:ind w:right="420" w:firstLine="749"/>
        <w:spacing w:after="0" w:line="281"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PRODUCTS</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6"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Intra-Cellular Therapies, Inc.; Janssen; Jazz; Otsuka Pharmaceutical Co. Ltd.; Pfizer Inc.; Relmada Therapeutics Inc.; Sage Therapeutics, Inc.; and Takeda Pharmaceutical Company Limited.</w:t>
      </w:r>
    </w:p>
    <w:p>
      <w:pPr>
        <w:spacing w:after="0" w:line="182"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9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7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w:t>
      </w:r>
    </w:p>
    <w:p>
      <w:pPr>
        <w:spacing w:after="0" w:line="186" w:lineRule="exact"/>
        <w:rPr>
          <w:sz w:val="20"/>
          <w:szCs w:val="20"/>
          <w:color w:val="auto"/>
        </w:rPr>
      </w:pPr>
    </w:p>
    <w:p>
      <w:pPr>
        <w:ind w:right="140" w:firstLine="749"/>
        <w:spacing w:after="0" w:line="220" w:lineRule="exact"/>
        <w:rPr>
          <w:sz w:val="20"/>
          <w:szCs w:val="20"/>
          <w:color w:val="auto"/>
        </w:rPr>
      </w:pPr>
      <w:r>
        <w:rPr>
          <w:rFonts w:ascii="Times New Roman" w:cs="Times New Roman" w:eastAsia="Times New Roman" w:hAnsi="Times New Roman"/>
          <w:sz w:val="18"/>
          <w:szCs w:val="18"/>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199" w:lineRule="exact"/>
        <w:rPr>
          <w:sz w:val="20"/>
          <w:szCs w:val="20"/>
          <w:color w:val="auto"/>
        </w:rPr>
      </w:pPr>
    </w:p>
    <w:p>
      <w:pPr>
        <w:jc w:val="both"/>
        <w:ind w:firstLine="749"/>
        <w:spacing w:after="0" w:line="288" w:lineRule="auto"/>
        <w:rPr>
          <w:sz w:val="20"/>
          <w:szCs w:val="20"/>
          <w:color w:val="auto"/>
        </w:rPr>
      </w:pPr>
      <w:r>
        <w:rPr>
          <w:rFonts w:ascii="Times New Roman" w:cs="Times New Roman" w:eastAsia="Times New Roman" w:hAnsi="Times New Roman"/>
          <w:sz w:val="17"/>
          <w:szCs w:val="17"/>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59" w:lineRule="exact"/>
        <w:rPr>
          <w:sz w:val="20"/>
          <w:szCs w:val="20"/>
          <w:color w:val="auto"/>
        </w:rPr>
      </w:pPr>
    </w:p>
    <w:p>
      <w:pPr>
        <w:ind w:right="260" w:firstLine="749"/>
        <w:spacing w:after="0" w:line="219"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1" w:lineRule="exact"/>
        <w:rPr>
          <w:sz w:val="20"/>
          <w:szCs w:val="20"/>
          <w:color w:val="auto"/>
        </w:rPr>
      </w:pPr>
    </w:p>
    <w:p>
      <w:pPr>
        <w:ind w:right="480" w:firstLine="749"/>
        <w:spacing w:after="0" w:line="312" w:lineRule="auto"/>
        <w:rPr>
          <w:sz w:val="20"/>
          <w:szCs w:val="20"/>
          <w:color w:val="auto"/>
        </w:rPr>
      </w:pPr>
      <w:r>
        <w:rPr>
          <w:rFonts w:ascii="Times New Roman" w:cs="Times New Roman" w:eastAsia="Times New Roman" w:hAnsi="Times New Roman"/>
          <w:sz w:val="17"/>
          <w:szCs w:val="17"/>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4"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AXS-12 received Orphan Drug Designation from FDA for the treatment of narcolepsy. We may also seek Orphan Drug Designation for our other products, as appropriate.</w:t>
      </w:r>
    </w:p>
    <w:p>
      <w:pPr>
        <w:spacing w:after="0" w:line="16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186" w:lineRule="exact"/>
        <w:rPr>
          <w:sz w:val="20"/>
          <w:szCs w:val="20"/>
          <w:color w:val="auto"/>
        </w:rPr>
      </w:pPr>
    </w:p>
    <w:p>
      <w:pPr>
        <w:ind w:right="40" w:firstLine="749"/>
        <w:spacing w:after="0" w:line="260" w:lineRule="auto"/>
        <w:rPr>
          <w:sz w:val="20"/>
          <w:szCs w:val="20"/>
          <w:color w:val="auto"/>
        </w:rPr>
      </w:pPr>
      <w:r>
        <w:rPr>
          <w:rFonts w:ascii="Times New Roman" w:cs="Times New Roman" w:eastAsia="Times New Roman" w:hAnsi="Times New Roman"/>
          <w:sz w:val="18"/>
          <w:szCs w:val="18"/>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8"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We recently expanded our commercial infrastructure for the marketing, sale, and distribution of pharmaceutical products, which included the creation of a sales force to launch our commercial stage products throughout the United States. This requires additional compliance with a range of federal and state laws. Additionally, we currently commercialize Sunosi outside the United States. Each global market we commercialize Sunosi in has its own set of applicable laws.</w:t>
      </w:r>
    </w:p>
    <w:p>
      <w:pPr>
        <w:spacing w:after="0" w:line="182"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224" w:lineRule="exact"/>
        <w:rPr>
          <w:rFonts w:ascii="Times New Roman" w:cs="Times New Roman" w:eastAsia="Times New Roman" w:hAnsi="Times New Roman"/>
          <w:sz w:val="18"/>
          <w:szCs w:val="18"/>
          <w:color w:val="auto"/>
        </w:rPr>
      </w:pPr>
    </w:p>
    <w:p>
      <w:pPr>
        <w:ind w:left="760" w:right="48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of our current or future product candidates;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federal and state drug distribution and supply chain requirements to our business;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adequate coverage and reimbursement by government and private health plans;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4" w:lineRule="exact"/>
        <w:rPr>
          <w:rFonts w:ascii="Times New Roman" w:cs="Times New Roman" w:eastAsia="Times New Roman" w:hAnsi="Times New Roman"/>
          <w:sz w:val="18"/>
          <w:szCs w:val="18"/>
          <w:color w:val="auto"/>
        </w:rPr>
      </w:pPr>
    </w:p>
    <w:p>
      <w:pPr>
        <w:ind w:left="760" w:right="10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2" w:lineRule="exact"/>
        <w:rPr>
          <w:rFonts w:ascii="Times New Roman" w:cs="Times New Roman" w:eastAsia="Times New Roman" w:hAnsi="Times New Roman"/>
          <w:sz w:val="18"/>
          <w:szCs w:val="18"/>
          <w:color w:val="auto"/>
        </w:rPr>
      </w:pPr>
    </w:p>
    <w:p>
      <w:pPr>
        <w:ind w:left="760" w:right="94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63" w:lineRule="exact"/>
        <w:rPr>
          <w:sz w:val="20"/>
          <w:szCs w:val="20"/>
          <w:color w:val="auto"/>
        </w:rPr>
      </w:pPr>
    </w:p>
    <w:p>
      <w:pPr>
        <w:ind w:right="160" w:firstLine="749"/>
        <w:spacing w:after="0" w:line="260" w:lineRule="auto"/>
        <w:rPr>
          <w:sz w:val="20"/>
          <w:szCs w:val="20"/>
          <w:color w:val="auto"/>
        </w:rPr>
      </w:pPr>
      <w:r>
        <w:rPr>
          <w:rFonts w:ascii="Times New Roman" w:cs="Times New Roman" w:eastAsia="Times New Roman" w:hAnsi="Times New Roman"/>
          <w:sz w:val="18"/>
          <w:szCs w:val="18"/>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products, and, if approved, our product candidates, may not gain acceptance among physicians, patients, third-party payors, and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100" w:firstLine="749"/>
        <w:spacing w:after="0" w:line="288" w:lineRule="auto"/>
        <w:rPr>
          <w:sz w:val="20"/>
          <w:szCs w:val="20"/>
          <w:color w:val="auto"/>
        </w:rPr>
      </w:pPr>
      <w:r>
        <w:rPr>
          <w:rFonts w:ascii="Times New Roman" w:cs="Times New Roman" w:eastAsia="Times New Roman" w:hAnsi="Times New Roman"/>
          <w:sz w:val="17"/>
          <w:szCs w:val="17"/>
          <w:color w:val="auto"/>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spacing w:after="0" w:line="159"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such product;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83" w:lineRule="exact"/>
        <w:rPr>
          <w:rFonts w:ascii="Times New Roman" w:cs="Times New Roman" w:eastAsia="Times New Roman" w:hAnsi="Times New Roman"/>
          <w:sz w:val="18"/>
          <w:szCs w:val="18"/>
          <w:color w:val="auto"/>
        </w:rPr>
      </w:pPr>
    </w:p>
    <w:p>
      <w:pPr>
        <w:ind w:left="760" w:right="640" w:hanging="378"/>
        <w:spacing w:after="0" w:line="245" w:lineRule="exact"/>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98"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such product;</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4"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third-party payors to prefer similar but less expensive products even if not approved for our product’s indication;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w:t>
      </w:r>
    </w:p>
    <w:p>
      <w:pPr>
        <w:spacing w:after="0" w:line="22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62"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with respect to such product or to which we agree as part of a mandatory risk evaluation and mitigation strategy or voluntary risk management plan;</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as well as competitive products;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3"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6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1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firstLine="749"/>
        <w:spacing w:after="0" w:line="227" w:lineRule="exact"/>
        <w:rPr>
          <w:sz w:val="20"/>
          <w:szCs w:val="20"/>
          <w:color w:val="auto"/>
        </w:rPr>
      </w:pPr>
      <w:r>
        <w:rPr>
          <w:rFonts w:ascii="Times New Roman" w:cs="Times New Roman" w:eastAsia="Times New Roman" w:hAnsi="Times New Roman"/>
          <w:sz w:val="18"/>
          <w:szCs w:val="18"/>
          <w:color w:val="auto"/>
        </w:rPr>
        <w:t>Our efforts to educate the medical community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on the benefits of our products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w:t>
      </w:r>
    </w:p>
    <w:p>
      <w:pPr>
        <w:spacing w:after="0" w:line="201"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7"/>
          <w:szCs w:val="17"/>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from including from:</w:t>
      </w:r>
    </w:p>
    <w:p>
      <w:pPr>
        <w:spacing w:after="0" w:line="186"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decreased demand for our products;</w:t>
      </w:r>
    </w:p>
    <w:p>
      <w:pPr>
        <w:spacing w:after="0" w:line="22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74"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9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2"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which could have a material adverse effect on our business, results of operations, financial condition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33"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20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48" w:lineRule="exact"/>
        <w:rPr>
          <w:sz w:val="20"/>
          <w:szCs w:val="20"/>
          <w:color w:val="auto"/>
        </w:rPr>
      </w:pPr>
    </w:p>
    <w:p>
      <w:pPr>
        <w:ind w:right="160" w:firstLine="749"/>
        <w:spacing w:after="0" w:line="227" w:lineRule="exact"/>
        <w:rPr>
          <w:sz w:val="20"/>
          <w:szCs w:val="20"/>
          <w:color w:val="auto"/>
        </w:rPr>
      </w:pPr>
      <w:r>
        <w:rPr>
          <w:rFonts w:ascii="Times New Roman" w:cs="Times New Roman" w:eastAsia="Times New Roman" w:hAnsi="Times New Roman"/>
          <w:sz w:val="18"/>
          <w:szCs w:val="18"/>
          <w:color w:val="auto"/>
        </w:rPr>
        <w:t>In addition, when we submit an NDA for review, we are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0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8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terminates,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82"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6" w:lineRule="exact"/>
        <w:rPr>
          <w:sz w:val="20"/>
          <w:szCs w:val="20"/>
          <w:color w:val="auto"/>
        </w:rPr>
      </w:pPr>
    </w:p>
    <w:p>
      <w:pPr>
        <w:ind w:firstLine="749"/>
        <w:spacing w:after="0" w:line="221"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firstLine="749"/>
        <w:spacing w:after="0" w:line="222"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03" w:lineRule="exact"/>
        <w:rPr>
          <w:sz w:val="20"/>
          <w:szCs w:val="20"/>
          <w:color w:val="auto"/>
        </w:rPr>
      </w:pPr>
    </w:p>
    <w:p>
      <w:pPr>
        <w:ind w:right="200" w:firstLine="749"/>
        <w:spacing w:after="0" w:line="218"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03"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202" w:lineRule="exact"/>
        <w:rPr>
          <w:sz w:val="20"/>
          <w:szCs w:val="20"/>
          <w:color w:val="auto"/>
        </w:rPr>
      </w:pPr>
    </w:p>
    <w:p>
      <w:pPr>
        <w:ind w:right="180" w:firstLine="749"/>
        <w:spacing w:after="0" w:line="260" w:lineRule="auto"/>
        <w:rPr>
          <w:sz w:val="20"/>
          <w:szCs w:val="20"/>
          <w:color w:val="auto"/>
        </w:rPr>
      </w:pPr>
      <w:r>
        <w:rPr>
          <w:rFonts w:ascii="Times New Roman" w:cs="Times New Roman" w:eastAsia="Times New Roman" w:hAnsi="Times New Roman"/>
          <w:sz w:val="18"/>
          <w:szCs w:val="18"/>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7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8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2"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7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8" w:lineRule="exact"/>
        <w:rPr>
          <w:sz w:val="20"/>
          <w:szCs w:val="20"/>
          <w:color w:val="auto"/>
        </w:rPr>
      </w:pPr>
    </w:p>
    <w:p>
      <w:pPr>
        <w:ind w:right="220" w:firstLine="749"/>
        <w:spacing w:after="0" w:line="269" w:lineRule="auto"/>
        <w:rPr>
          <w:sz w:val="20"/>
          <w:szCs w:val="20"/>
          <w:color w:val="auto"/>
        </w:rPr>
      </w:pPr>
      <w:r>
        <w:rPr>
          <w:rFonts w:ascii="Times New Roman" w:cs="Times New Roman" w:eastAsia="Times New Roman" w:hAnsi="Times New Roman"/>
          <w:sz w:val="17"/>
          <w:szCs w:val="17"/>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79" w:lineRule="exact"/>
        <w:rPr>
          <w:sz w:val="20"/>
          <w:szCs w:val="20"/>
          <w:color w:val="auto"/>
        </w:rPr>
      </w:pPr>
    </w:p>
    <w:p>
      <w:pPr>
        <w:jc w:val="both"/>
        <w:ind w:right="20" w:firstLine="749"/>
        <w:spacing w:after="0" w:line="265" w:lineRule="auto"/>
        <w:rPr>
          <w:sz w:val="20"/>
          <w:szCs w:val="20"/>
          <w:color w:val="auto"/>
        </w:rPr>
      </w:pPr>
      <w:r>
        <w:rPr>
          <w:rFonts w:ascii="Times New Roman" w:cs="Times New Roman" w:eastAsia="Times New Roman" w:hAnsi="Times New Roman"/>
          <w:sz w:val="18"/>
          <w:szCs w:val="18"/>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00" w:firstLine="749"/>
        <w:spacing w:after="0" w:line="265"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7"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4" w:lineRule="exact"/>
        <w:rPr>
          <w:rFonts w:ascii="Times New Roman" w:cs="Times New Roman" w:eastAsia="Times New Roman" w:hAnsi="Times New Roman"/>
          <w:sz w:val="18"/>
          <w:szCs w:val="18"/>
          <w:color w:val="auto"/>
        </w:rPr>
      </w:pPr>
    </w:p>
    <w:p>
      <w:pPr>
        <w:ind w:left="760" w:right="80" w:hanging="378"/>
        <w:spacing w:after="0" w:line="265"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7" w:lineRule="exact"/>
        <w:rPr>
          <w:rFonts w:ascii="Times New Roman" w:cs="Times New Roman" w:eastAsia="Times New Roman" w:hAnsi="Times New Roman"/>
          <w:sz w:val="18"/>
          <w:szCs w:val="18"/>
          <w:color w:val="auto"/>
        </w:rPr>
      </w:pPr>
    </w:p>
    <w:p>
      <w:pPr>
        <w:ind w:left="760" w:right="72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4" w:lineRule="exact"/>
        <w:rPr>
          <w:rFonts w:ascii="Times New Roman" w:cs="Times New Roman" w:eastAsia="Times New Roman" w:hAnsi="Times New Roman"/>
          <w:sz w:val="18"/>
          <w:szCs w:val="18"/>
          <w:color w:val="auto"/>
        </w:rPr>
      </w:pPr>
    </w:p>
    <w:p>
      <w:pPr>
        <w:ind w:left="760" w:right="46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62" w:lineRule="exact"/>
        <w:rPr>
          <w:rFonts w:ascii="Times New Roman" w:cs="Times New Roman" w:eastAsia="Times New Roman" w:hAnsi="Times New Roman"/>
          <w:sz w:val="18"/>
          <w:szCs w:val="18"/>
          <w:color w:val="auto"/>
        </w:rPr>
      </w:pPr>
    </w:p>
    <w:p>
      <w:pPr>
        <w:ind w:left="760" w:right="140" w:hanging="378"/>
        <w:spacing w:after="0" w:line="265"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7"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2"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2" w:lineRule="exact"/>
        <w:rPr>
          <w:rFonts w:ascii="Times New Roman" w:cs="Times New Roman" w:eastAsia="Times New Roman" w:hAnsi="Times New Roman"/>
          <w:sz w:val="18"/>
          <w:szCs w:val="18"/>
          <w:color w:val="auto"/>
        </w:rPr>
      </w:pPr>
    </w:p>
    <w:p>
      <w:pPr>
        <w:ind w:left="760" w:right="340" w:hanging="378"/>
        <w:spacing w:after="0" w:line="260"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81" w:lineRule="exact"/>
        <w:rPr>
          <w:rFonts w:ascii="Times New Roman" w:cs="Times New Roman" w:eastAsia="Times New Roman" w:hAnsi="Times New Roman"/>
          <w:sz w:val="18"/>
          <w:szCs w:val="18"/>
          <w:color w:val="auto"/>
        </w:rPr>
      </w:pPr>
    </w:p>
    <w:p>
      <w:pPr>
        <w:jc w:val="both"/>
        <w:ind w:left="760" w:right="300" w:hanging="378"/>
        <w:spacing w:after="0" w:line="312" w:lineRule="auto"/>
        <w:tabs>
          <w:tab w:leader="none" w:pos="7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3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2"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8" w:lineRule="exact"/>
        <w:rPr>
          <w:sz w:val="20"/>
          <w:szCs w:val="20"/>
          <w:color w:val="auto"/>
        </w:rPr>
      </w:pPr>
    </w:p>
    <w:p>
      <w:pPr>
        <w:ind w:right="60" w:firstLine="749"/>
        <w:spacing w:after="0" w:line="272" w:lineRule="auto"/>
        <w:rPr>
          <w:sz w:val="20"/>
          <w:szCs w:val="20"/>
          <w:color w:val="auto"/>
        </w:rPr>
      </w:pPr>
      <w:r>
        <w:rPr>
          <w:rFonts w:ascii="Times New Roman" w:cs="Times New Roman" w:eastAsia="Times New Roman" w:hAnsi="Times New Roman"/>
          <w:sz w:val="17"/>
          <w:szCs w:val="17"/>
          <w:color w:val="auto"/>
        </w:rPr>
        <w:t>Market exclusivity awarded by the FDA upon the approval of an NDA is limited in scope and duration. For example, our New Chemical Entity exclusivity for Sunosi expires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p>
    <w:p>
      <w:pPr>
        <w:spacing w:after="0" w:line="175" w:lineRule="exact"/>
        <w:rPr>
          <w:sz w:val="20"/>
          <w:szCs w:val="20"/>
          <w:color w:val="auto"/>
        </w:rPr>
      </w:pPr>
    </w:p>
    <w:p>
      <w:pPr>
        <w:ind w:firstLine="749"/>
        <w:spacing w:after="0" w:line="217" w:lineRule="exact"/>
        <w:rPr>
          <w:sz w:val="20"/>
          <w:szCs w:val="20"/>
          <w:color w:val="auto"/>
        </w:rPr>
      </w:pPr>
      <w:r>
        <w:rPr>
          <w:rFonts w:ascii="Times New Roman" w:cs="Times New Roman" w:eastAsia="Times New Roman" w:hAnsi="Times New Roman"/>
          <w:sz w:val="18"/>
          <w:szCs w:val="18"/>
          <w:color w:val="auto"/>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05" w:lineRule="exact"/>
        <w:rPr>
          <w:sz w:val="20"/>
          <w:szCs w:val="20"/>
          <w:color w:val="auto"/>
        </w:rPr>
      </w:pPr>
    </w:p>
    <w:p>
      <w:pPr>
        <w:ind w:left="76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conceive of and reduce to practice the inventions covered by each of our pending patent applications and issued patents;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224" w:lineRule="exact"/>
        <w:rPr>
          <w:rFonts w:ascii="Times New Roman" w:cs="Times New Roman" w:eastAsia="Times New Roman" w:hAnsi="Times New Roman"/>
          <w:sz w:val="18"/>
          <w:szCs w:val="18"/>
          <w:color w:val="auto"/>
        </w:rPr>
      </w:pPr>
    </w:p>
    <w:p>
      <w:pPr>
        <w:ind w:left="760" w:right="780" w:hanging="378"/>
        <w:spacing w:after="0" w:line="281"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of others may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right="80" w:hanging="378"/>
        <w:spacing w:after="0" w:line="265"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7" w:lineRule="exact"/>
        <w:rPr>
          <w:rFonts w:ascii="Times New Roman" w:cs="Times New Roman" w:eastAsia="Times New Roman" w:hAnsi="Times New Roman"/>
          <w:sz w:val="18"/>
          <w:szCs w:val="18"/>
          <w:color w:val="auto"/>
        </w:rPr>
      </w:pPr>
    </w:p>
    <w:p>
      <w:pPr>
        <w:ind w:left="760" w:right="160" w:hanging="378"/>
        <w:spacing w:after="0" w:line="265"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77" w:lineRule="exact"/>
        <w:rPr>
          <w:rFonts w:ascii="Times New Roman" w:cs="Times New Roman" w:eastAsia="Times New Roman" w:hAnsi="Times New Roman"/>
          <w:sz w:val="18"/>
          <w:szCs w:val="18"/>
          <w:color w:val="auto"/>
        </w:rPr>
      </w:pPr>
    </w:p>
    <w:p>
      <w:pPr>
        <w:ind w:left="760" w:right="120" w:hanging="378"/>
        <w:spacing w:after="0" w:line="265"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7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5"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9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8"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 third-party claims that we infringe their intellectual property rights, we could face a number of issues, including:</w:t>
      </w:r>
    </w:p>
    <w:p>
      <w:pPr>
        <w:spacing w:after="0" w:line="225" w:lineRule="exact"/>
        <w:rPr>
          <w:sz w:val="20"/>
          <w:szCs w:val="20"/>
          <w:color w:val="auto"/>
        </w:rPr>
      </w:pPr>
    </w:p>
    <w:p>
      <w:pPr>
        <w:ind w:left="760" w:right="140" w:hanging="378"/>
        <w:spacing w:after="0" w:line="28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224"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products and processes so they do not infringe, which may not be possible or could require substantial funds and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749"/>
        <w:spacing w:after="0" w:line="218"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8"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or related proceeding at the USPTO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9" w:lineRule="exact"/>
        <w:rPr>
          <w:sz w:val="20"/>
          <w:szCs w:val="20"/>
          <w:color w:val="auto"/>
        </w:rPr>
      </w:pPr>
    </w:p>
    <w:p>
      <w:pPr>
        <w:ind w:right="300" w:firstLine="749"/>
        <w:spacing w:after="0" w:line="260" w:lineRule="auto"/>
        <w:rPr>
          <w:sz w:val="20"/>
          <w:szCs w:val="20"/>
          <w:color w:val="auto"/>
        </w:rPr>
      </w:pPr>
      <w:r>
        <w:rPr>
          <w:rFonts w:ascii="Times New Roman" w:cs="Times New Roman" w:eastAsia="Times New Roman" w:hAnsi="Times New Roman"/>
          <w:sz w:val="18"/>
          <w:szCs w:val="18"/>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7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5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7"/>
          <w:szCs w:val="17"/>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85" w:lineRule="exact"/>
        <w:rPr>
          <w:sz w:val="20"/>
          <w:szCs w:val="20"/>
          <w:color w:val="auto"/>
        </w:rPr>
      </w:pPr>
    </w:p>
    <w:p>
      <w:pPr>
        <w:ind w:right="120" w:firstLine="749"/>
        <w:spacing w:after="0" w:line="217" w:lineRule="exact"/>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20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of Sunosi,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188"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fraud and abuse and transparency and health and other data protection, information privacy and security laws, we could face substantial penalties and our business, financial condition, results of operations, and prospects could be adversely affected.</w:t>
      </w:r>
    </w:p>
    <w:p>
      <w:pPr>
        <w:spacing w:after="0" w:line="17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including those described in the “Business— Government Regulation and Product Approval” section of our Annual Report on Form 10-K filed with the SEC on February 23, 2024, such as the federal Anti-Kickback Statute, the federal civil and criminal False Claims Act, the civil monetary penalties statute, the Medicaid Drug Rebate statute and other price reporting requirements, the Veterans Health Care Act of 1992, the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are subject to healthcare fraud and abuse laws by both the federal government and the states in which we conduct our business.</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enacted legislation – the California Consumer Privacy Act, or CCPA – which went into effect in January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8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health maintenance organization (HMOs) or long-term care facilities choose to use therapies that are less expensive, our revenue and prospects for profitability will be limited.</w:t>
      </w:r>
    </w:p>
    <w:p>
      <w:pPr>
        <w:spacing w:after="0" w:line="17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01"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6" w:lineRule="exact"/>
        <w:rPr>
          <w:sz w:val="20"/>
          <w:szCs w:val="20"/>
          <w:color w:val="auto"/>
        </w:rPr>
      </w:pPr>
    </w:p>
    <w:p>
      <w:pPr>
        <w:jc w:val="both"/>
        <w:ind w:right="440" w:firstLine="749"/>
        <w:spacing w:after="0" w:line="272" w:lineRule="auto"/>
        <w:rPr>
          <w:sz w:val="20"/>
          <w:szCs w:val="20"/>
          <w:color w:val="auto"/>
        </w:rPr>
      </w:pPr>
      <w:r>
        <w:rPr>
          <w:rFonts w:ascii="Times New Roman" w:cs="Times New Roman" w:eastAsia="Times New Roman" w:hAnsi="Times New Roman"/>
          <w:sz w:val="17"/>
          <w:szCs w:val="17"/>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8"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It is unclear how regulations and sub-regulatory policy, which fluctuate continually, may affect interpretation and further implementation of the ACA and its practical effects on our business.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82"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IRA was recently signed into law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5"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2"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it would permit certain exemptions and exclusions, and enforcement discretion on certain aspects due to the COVID-19 pandemic, although this situation may continue to evolve. The distribution of product samples continues to be regulated under the PDMA, and some states also impose regulations on drug sample distribution.</w:t>
      </w:r>
    </w:p>
    <w:p>
      <w:pPr>
        <w:spacing w:after="0" w:line="189" w:lineRule="exact"/>
        <w:rPr>
          <w:sz w:val="20"/>
          <w:szCs w:val="20"/>
          <w:color w:val="auto"/>
        </w:rPr>
      </w:pPr>
    </w:p>
    <w:p>
      <w:pPr>
        <w:ind w:right="140" w:firstLine="749"/>
        <w:spacing w:after="0" w:line="265"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40" w:firstLine="749"/>
        <w:spacing w:after="0" w:line="218"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99"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35"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38" w:lineRule="exact"/>
        <w:rPr>
          <w:sz w:val="20"/>
          <w:szCs w:val="20"/>
          <w:color w:val="auto"/>
        </w:rPr>
      </w:pPr>
    </w:p>
    <w:p>
      <w:pPr>
        <w:ind w:right="2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-223520</wp:posOffset>
            </wp:positionV>
            <wp:extent cx="63500" cy="393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78"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03"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380" w:firstLine="749"/>
        <w:spacing w:after="0" w:line="26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94" w:lineRule="exact"/>
        <w:rPr>
          <w:sz w:val="20"/>
          <w:szCs w:val="20"/>
          <w:color w:val="auto"/>
        </w:rPr>
      </w:pPr>
    </w:p>
    <w:p>
      <w:pPr>
        <w:ind w:right="140" w:firstLine="749"/>
        <w:spacing w:after="0" w:line="226" w:lineRule="exact"/>
        <w:rPr>
          <w:sz w:val="20"/>
          <w:szCs w:val="20"/>
          <w:color w:val="auto"/>
        </w:rPr>
      </w:pPr>
      <w:r>
        <w:rPr>
          <w:rFonts w:ascii="Times New Roman" w:cs="Times New Roman" w:eastAsia="Times New Roman" w:hAnsi="Times New Roman"/>
          <w:sz w:val="18"/>
          <w:szCs w:val="18"/>
          <w:color w:val="auto"/>
        </w:rPr>
        <w:t>As of April 29, 2024, we had 569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0" w:lineRule="exact"/>
        <w:rPr>
          <w:sz w:val="20"/>
          <w:szCs w:val="20"/>
          <w:color w:val="auto"/>
        </w:rPr>
      </w:pPr>
    </w:p>
    <w:p>
      <w:pPr>
        <w:ind w:left="760" w:right="200" w:hanging="378"/>
        <w:spacing w:after="0" w:line="28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hiring and training of personnel for our commercial organization, and maintain appropriate systems, policies and infrastructure to support that organization;</w:t>
      </w:r>
    </w:p>
    <w:p>
      <w:pPr>
        <w:spacing w:after="0" w:line="162"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080" w:firstLine="749"/>
        <w:spacing w:after="0" w:line="281"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15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1"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8"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6"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82" w:lineRule="exact"/>
        <w:rPr>
          <w:sz w:val="20"/>
          <w:szCs w:val="20"/>
          <w:color w:val="auto"/>
        </w:rPr>
      </w:pPr>
    </w:p>
    <w:p>
      <w:pPr>
        <w:ind w:right="180" w:firstLine="749"/>
        <w:spacing w:after="0" w:line="270" w:lineRule="auto"/>
        <w:rPr>
          <w:sz w:val="20"/>
          <w:szCs w:val="20"/>
          <w:color w:val="auto"/>
        </w:rPr>
      </w:pPr>
      <w:r>
        <w:rPr>
          <w:rFonts w:ascii="Times New Roman" w:cs="Times New Roman" w:eastAsia="Times New Roman" w:hAnsi="Times New Roman"/>
          <w:sz w:val="17"/>
          <w:szCs w:val="17"/>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78"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its ESG performance, we risk negative stockholder reaction, including from proxy advisory services, as well as damage to its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its investors, customers and other stakeholders, we could experience reduced demand for its products, loss of customers, and other negative impacts on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229" w:lineRule="exact"/>
        <w:rPr>
          <w:sz w:val="20"/>
          <w:szCs w:val="20"/>
          <w:color w:val="auto"/>
        </w:rPr>
      </w:pPr>
    </w:p>
    <w:p>
      <w:pPr>
        <w:ind w:right="100" w:firstLine="749"/>
        <w:spacing w:after="0" w:line="260"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2"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the commencement, enrollment, and ultimate completion, of our planned and ongoing Phase 3 clinical trials for our product candidates;</w:t>
      </w:r>
    </w:p>
    <w:p>
      <w:pPr>
        <w:spacing w:after="0" w:line="236"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by securities analysts;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relating to our industry as a whole and news relating to trends in our markets;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competitive products or technologies;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security breaches;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ectPr>
          <w:pgSz w:w="11900" w:h="16838" w:orient="portrait"/>
          <w:cols w:equalWidth="0" w:num="1">
            <w:col w:w="11200"/>
          </w:cols>
          <w:pgMar w:left="320" w:top="4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companies similar to us;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trends in our industry;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right="400" w:firstLine="749"/>
        <w:spacing w:after="0" w:line="281"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3"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w:t>
      </w:r>
    </w:p>
    <w:p>
      <w:pPr>
        <w:spacing w:after="0" w:line="224"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any of our current and future product candidates, which may delay any such approval;</w:t>
      </w:r>
    </w:p>
    <w:p>
      <w:pPr>
        <w:spacing w:after="0" w:line="121" w:lineRule="exact"/>
        <w:rPr>
          <w:rFonts w:ascii="Times New Roman" w:cs="Times New Roman" w:eastAsia="Times New Roman" w:hAnsi="Times New Roman"/>
          <w:sz w:val="18"/>
          <w:szCs w:val="18"/>
          <w:color w:val="auto"/>
        </w:rPr>
      </w:pPr>
    </w:p>
    <w:p>
      <w:pPr>
        <w:ind w:left="760" w:right="480" w:hanging="378"/>
        <w:spacing w:after="0" w:line="245" w:lineRule="exact"/>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198" w:lineRule="exact"/>
        <w:rPr>
          <w:rFonts w:ascii="Times New Roman" w:cs="Times New Roman" w:eastAsia="Times New Roman" w:hAnsi="Times New Roman"/>
          <w:sz w:val="18"/>
          <w:szCs w:val="18"/>
          <w:color w:val="auto"/>
        </w:rPr>
      </w:pPr>
    </w:p>
    <w:p>
      <w:pPr>
        <w:ind w:left="760" w:right="660" w:hanging="378"/>
        <w:spacing w:after="0" w:line="28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current products, or the products of our competitors;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underlying demand for our products</w:t>
      </w:r>
    </w:p>
    <w:p>
      <w:pPr>
        <w:sectPr>
          <w:pgSz w:w="11900" w:h="16838" w:orient="portrait"/>
          <w:cols w:equalWidth="0" w:num="1">
            <w:col w:w="11200"/>
          </w:cols>
          <w:pgMar w:left="320" w:top="41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1" w:right="37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8"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8" w:lineRule="exact"/>
        <w:rPr>
          <w:sz w:val="20"/>
          <w:szCs w:val="20"/>
          <w:color w:val="auto"/>
        </w:rPr>
      </w:pPr>
    </w:p>
    <w:p>
      <w:pPr>
        <w:jc w:val="both"/>
        <w:ind w:right="60" w:firstLine="749"/>
        <w:spacing w:after="0" w:line="256" w:lineRule="auto"/>
        <w:rPr>
          <w:sz w:val="20"/>
          <w:szCs w:val="20"/>
          <w:color w:val="auto"/>
        </w:rPr>
      </w:pPr>
      <w:r>
        <w:rPr>
          <w:rFonts w:ascii="Times New Roman" w:cs="Times New Roman" w:eastAsia="Times New Roman" w:hAnsi="Times New Roman"/>
          <w:sz w:val="18"/>
          <w:szCs w:val="18"/>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8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of April 29, 2024, our executive officers, directors, and 5% stockholders and their affiliates beneficially owned an aggregate of approximately 44%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8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ind w:firstLine="749"/>
        <w:spacing w:after="0" w:line="26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As of April 29, 2024, we have outstanding 47,495,827 shares of common stock and 10,252,990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39,494,898 are freely tradable. The remainder of the outstanding shares of common stock are held by our affiliates and may be considered “control securities” for purposes of Rule 144 under the Securities Act.</w:t>
      </w:r>
    </w:p>
    <w:p>
      <w:pPr>
        <w:spacing w:after="0" w:line="141" w:lineRule="exact"/>
        <w:rPr>
          <w:sz w:val="20"/>
          <w:szCs w:val="20"/>
          <w:color w:val="auto"/>
        </w:rPr>
      </w:pPr>
    </w:p>
    <w:p>
      <w:pPr>
        <w:ind w:right="160" w:firstLine="749"/>
        <w:spacing w:after="0" w:line="227" w:lineRule="exact"/>
        <w:rPr>
          <w:sz w:val="20"/>
          <w:szCs w:val="20"/>
          <w:color w:val="auto"/>
        </w:rPr>
      </w:pPr>
      <w:r>
        <w:rPr>
          <w:rFonts w:ascii="Times New Roman" w:cs="Times New Roman" w:eastAsia="Times New Roman" w:hAnsi="Times New Roman"/>
          <w:sz w:val="18"/>
          <w:szCs w:val="18"/>
          <w:color w:val="auto"/>
        </w:rPr>
        <w:t>In addition, we have filed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an aggregate of 13,705,956 shares of common stock subject to options or other equity awards issued or reserved for future issuance under our 2015 Omnibus Incentive Compensation Plan and an additional 1,100,000 shares of common stock reserved for future issuance under our 2023 Employee Stock Purchase Plan. Shares registered under registration statements on Form S-8 will be available for sale in the public market subject to vesting arrangements and exercise of options, the lock up agreements described above and the restrictions of Rule 144 in the case of our affiliates.</w:t>
      </w:r>
    </w:p>
    <w:p>
      <w:pPr>
        <w:spacing w:after="0" w:line="19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the proceeds from sales pursuant to the March 2022 Sales Agreement with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2023, we had U.S. federal net operating loss, NOL, carryforwards of approximately $547.1 million and foreign NOL carryforwards of $0.7 million. U.S. federal net operating loss carry forwards amounting to $59.8 million generated before the 2018 tax year will start expiring beginning 2032, if we have not used them prior to that time, and the U.S. federal net operating losses of approximately $487.3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returns for our stockholders will be limited to any increase in the value of our stock.</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8" w:lineRule="exact"/>
        <w:rPr>
          <w:sz w:val="20"/>
          <w:szCs w:val="20"/>
          <w:color w:val="auto"/>
        </w:rPr>
      </w:pPr>
    </w:p>
    <w:p>
      <w:pPr>
        <w:ind w:right="8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3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6" w:lineRule="exact"/>
        <w:rPr>
          <w:sz w:val="20"/>
          <w:szCs w:val="20"/>
          <w:color w:val="auto"/>
        </w:rPr>
      </w:pPr>
    </w:p>
    <w:p>
      <w:pPr>
        <w:ind w:right="160" w:firstLine="749"/>
        <w:spacing w:after="0" w:line="227"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4"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2"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95" w:lineRule="exact"/>
        <w:rPr>
          <w:sz w:val="20"/>
          <w:szCs w:val="20"/>
          <w:color w:val="auto"/>
        </w:rPr>
      </w:pPr>
    </w:p>
    <w:p>
      <w:pPr>
        <w:ind w:right="260" w:firstLine="749"/>
        <w:spacing w:after="0" w:line="260"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8" w:lineRule="exact"/>
        <w:rPr>
          <w:sz w:val="20"/>
          <w:szCs w:val="20"/>
          <w:color w:val="auto"/>
        </w:rPr>
      </w:pPr>
    </w:p>
    <w:p>
      <w:pPr>
        <w:ind w:right="280" w:firstLine="749"/>
        <w:spacing w:after="0" w:line="265" w:lineRule="auto"/>
        <w:rPr>
          <w:sz w:val="20"/>
          <w:szCs w:val="20"/>
          <w:color w:val="auto"/>
        </w:rPr>
      </w:pPr>
      <w:r>
        <w:rPr>
          <w:rFonts w:ascii="Times New Roman" w:cs="Times New Roman" w:eastAsia="Times New Roman" w:hAnsi="Times New Roman"/>
          <w:sz w:val="18"/>
          <w:szCs w:val="18"/>
          <w:color w:val="auto"/>
        </w:rPr>
        <w:t>During the first quarter of 2024,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2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 of Rule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Scheduled Expiration</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w:t>
            </w:r>
          </w:p>
        </w:tc>
      </w:tr>
      <w:tr>
        <w:trPr>
          <w:trHeight w:val="196"/>
        </w:trPr>
        <w:tc>
          <w:tcPr>
            <w:tcW w:w="2260" w:type="dxa"/>
            <w:vAlign w:val="bottom"/>
            <w:tcBorders>
              <w:left w:val="single" w:sz="8" w:color="auto"/>
              <w:right w:val="single" w:sz="8" w:color="auto"/>
            </w:tcBorders>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b w:val="1"/>
                <w:bCs w:val="1"/>
                <w:color w:val="auto"/>
              </w:rPr>
              <w:t>10b5-1 Trading</w:t>
            </w:r>
          </w:p>
        </w:tc>
        <w:tc>
          <w:tcPr>
            <w:tcW w:w="224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b w:val="1"/>
                <w:bCs w:val="1"/>
                <w:color w:val="auto"/>
              </w:rPr>
              <w:t>Date of Rule 10b5-1</w:t>
            </w:r>
          </w:p>
        </w:tc>
        <w:tc>
          <w:tcPr>
            <w:tcW w:w="224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b w:val="1"/>
                <w:bCs w:val="1"/>
                <w:color w:val="auto"/>
              </w:rPr>
              <w:t>Securities to Be Sold</w:t>
            </w:r>
          </w:p>
        </w:tc>
      </w:tr>
      <w:tr>
        <w:trPr>
          <w:trHeight w:val="302"/>
        </w:trPr>
        <w:tc>
          <w:tcPr>
            <w:tcW w:w="22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24"/>
                <w:szCs w:val="24"/>
                <w:b w:val="1"/>
                <w:bCs w:val="1"/>
                <w:color w:val="auto"/>
                <w:vertAlign w:val="superscript"/>
              </w:rPr>
              <w:t>(1)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240" w:type="dxa"/>
            <w:vAlign w:val="bottom"/>
            <w:tcBorders>
              <w:bottom w:val="single" w:sz="8" w:color="auto"/>
              <w:right w:val="single" w:sz="8" w:color="auto"/>
            </w:tcBorders>
          </w:tcPr>
          <w:p>
            <w:pPr>
              <w:spacing w:after="0"/>
              <w:rPr>
                <w:sz w:val="24"/>
                <w:szCs w:val="24"/>
                <w:color w:val="auto"/>
              </w:rPr>
            </w:pPr>
          </w:p>
        </w:tc>
      </w:tr>
      <w:tr>
        <w:trPr>
          <w:trHeight w:val="168"/>
        </w:trPr>
        <w:tc>
          <w:tcPr>
            <w:tcW w:w="2260" w:type="dxa"/>
            <w:vAlign w:val="bottom"/>
            <w:tcBorders>
              <w:left w:val="single" w:sz="8" w:color="auto"/>
              <w:right w:val="single" w:sz="8" w:color="auto"/>
            </w:tcBorders>
          </w:tcPr>
          <w:p>
            <w:pPr>
              <w:ind w:left="120"/>
              <w:spacing w:after="0" w:line="168" w:lineRule="exact"/>
              <w:rPr>
                <w:sz w:val="20"/>
                <w:szCs w:val="20"/>
                <w:color w:val="auto"/>
              </w:rPr>
            </w:pPr>
            <w:r>
              <w:rPr>
                <w:rFonts w:ascii="Times New Roman" w:cs="Times New Roman" w:eastAsia="Times New Roman" w:hAnsi="Times New Roman"/>
                <w:sz w:val="18"/>
                <w:szCs w:val="18"/>
                <w:color w:val="auto"/>
              </w:rPr>
              <w:t>Mark Coleman</w:t>
            </w:r>
          </w:p>
        </w:tc>
        <w:tc>
          <w:tcPr>
            <w:tcW w:w="2260" w:type="dxa"/>
            <w:vAlign w:val="bottom"/>
            <w:tcBorders>
              <w:right w:val="single" w:sz="8" w:color="auto"/>
            </w:tcBorders>
          </w:tcPr>
          <w:p>
            <w:pPr>
              <w:ind w:left="100"/>
              <w:spacing w:after="0" w:line="168" w:lineRule="exact"/>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line="168" w:lineRule="exact"/>
              <w:rPr>
                <w:sz w:val="20"/>
                <w:szCs w:val="20"/>
                <w:color w:val="auto"/>
              </w:rPr>
            </w:pPr>
            <w:r>
              <w:rPr>
                <w:rFonts w:ascii="Times New Roman" w:cs="Times New Roman" w:eastAsia="Times New Roman" w:hAnsi="Times New Roman"/>
                <w:sz w:val="15"/>
                <w:szCs w:val="15"/>
                <w:color w:val="auto"/>
              </w:rPr>
              <w:t>February 27, 2024</w:t>
            </w:r>
            <w:r>
              <w:rPr>
                <w:rFonts w:ascii="Times New Roman" w:cs="Times New Roman" w:eastAsia="Times New Roman" w:hAnsi="Times New Roman"/>
                <w:sz w:val="19"/>
                <w:szCs w:val="19"/>
                <w:color w:val="auto"/>
                <w:vertAlign w:val="superscript"/>
              </w:rPr>
              <w:t>(2)</w:t>
            </w:r>
          </w:p>
        </w:tc>
        <w:tc>
          <w:tcPr>
            <w:tcW w:w="2240" w:type="dxa"/>
            <w:vAlign w:val="bottom"/>
            <w:tcBorders>
              <w:right w:val="single" w:sz="8" w:color="auto"/>
            </w:tcBorders>
          </w:tcPr>
          <w:p>
            <w:pPr>
              <w:ind w:left="100"/>
              <w:spacing w:after="0" w:line="168" w:lineRule="exact"/>
              <w:rPr>
                <w:sz w:val="20"/>
                <w:szCs w:val="20"/>
                <w:color w:val="auto"/>
              </w:rPr>
            </w:pPr>
            <w:r>
              <w:rPr>
                <w:rFonts w:ascii="Times New Roman" w:cs="Times New Roman" w:eastAsia="Times New Roman" w:hAnsi="Times New Roman"/>
                <w:sz w:val="18"/>
                <w:szCs w:val="18"/>
                <w:color w:val="auto"/>
              </w:rPr>
              <w:t>November 29, 2024</w:t>
            </w:r>
          </w:p>
        </w:tc>
        <w:tc>
          <w:tcPr>
            <w:tcW w:w="2240" w:type="dxa"/>
            <w:vAlign w:val="bottom"/>
            <w:tcBorders>
              <w:right w:val="single" w:sz="8" w:color="auto"/>
            </w:tcBorders>
          </w:tcPr>
          <w:p>
            <w:pPr>
              <w:ind w:left="100"/>
              <w:spacing w:after="0" w:line="168" w:lineRule="exact"/>
              <w:rPr>
                <w:sz w:val="20"/>
                <w:szCs w:val="20"/>
                <w:color w:val="auto"/>
              </w:rPr>
            </w:pPr>
            <w:r>
              <w:rPr>
                <w:rFonts w:ascii="Times New Roman" w:cs="Times New Roman" w:eastAsia="Times New Roman" w:hAnsi="Times New Roman"/>
                <w:sz w:val="18"/>
                <w:szCs w:val="18"/>
                <w:color w:val="auto"/>
              </w:rPr>
              <w:t>Up to 10,497 shares of</w:t>
            </w:r>
          </w:p>
        </w:tc>
      </w:tr>
      <w:tr>
        <w:trPr>
          <w:trHeight w:val="316"/>
        </w:trPr>
        <w:tc>
          <w:tcPr>
            <w:tcW w:w="2260" w:type="dxa"/>
            <w:vAlign w:val="bottom"/>
            <w:tcBorders>
              <w:left w:val="single" w:sz="8" w:color="auto"/>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24"/>
                <w:szCs w:val="24"/>
                <w:color w:val="auto"/>
                <w:vertAlign w:val="superscript"/>
              </w:rPr>
              <w:t>(3)</w:t>
            </w:r>
          </w:p>
        </w:tc>
      </w:tr>
      <w:tr>
        <w:trPr>
          <w:trHeight w:val="32"/>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r>
    </w:tbl>
    <w:p>
      <w:pPr>
        <w:spacing w:after="0" w:line="45" w:lineRule="exact"/>
        <w:rPr>
          <w:sz w:val="20"/>
          <w:szCs w:val="20"/>
          <w:color w:val="auto"/>
        </w:rPr>
      </w:pPr>
    </w:p>
    <w:p>
      <w:pPr>
        <w:ind w:left="220" w:hanging="212"/>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adoption of Rule 10b5-1 trading arrangements is in accordance with both the Company’s insider trading policy and applicable SEC rules and regulations.</w:t>
      </w:r>
    </w:p>
    <w:p>
      <w:pPr>
        <w:spacing w:after="0" w:line="3" w:lineRule="exact"/>
        <w:rPr>
          <w:rFonts w:ascii="Times New Roman" w:cs="Times New Roman" w:eastAsia="Times New Roman" w:hAnsi="Times New Roman"/>
          <w:sz w:val="14"/>
          <w:szCs w:val="14"/>
          <w:color w:val="auto"/>
        </w:rPr>
      </w:pPr>
    </w:p>
    <w:p>
      <w:pPr>
        <w:ind w:right="40" w:firstLine="8"/>
        <w:spacing w:after="0" w:line="221" w:lineRule="auto"/>
        <w:tabs>
          <w:tab w:leader="none" w:pos="20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ind w:left="220" w:hanging="212"/>
        <w:spacing w:after="0"/>
        <w:tabs>
          <w:tab w:leader="none" w:pos="2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shares to be sold at no less than a predetermined minimum price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40" w:type="dxa"/>
            <w:vAlign w:val="bottom"/>
            <w:gridSpan w:val="5"/>
          </w:tcPr>
          <w:p>
            <w:pPr>
              <w:ind w:left="164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380"/>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140" w:type="dxa"/>
            <w:vAlign w:val="bottom"/>
            <w:gridSpan w:val="5"/>
            <w:vMerge w:val="restart"/>
          </w:tcPr>
          <w:p>
            <w:pPr>
              <w:ind w:left="2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1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13a-14(a)/15d-14(a), as adopted pursuant to Section 302 of the Sarbanes-</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60" w:type="dxa"/>
            <w:vAlign w:val="bottom"/>
            <w:tcBorders>
              <w:top w:val="single" w:sz="8" w:color="0000FF"/>
            </w:tcBorders>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 13a-14(a)/15d-14(a), as adopted pursuant to Section 302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§1350, as adopted pursuant to Section 906 of the Sarbanes-Oxley Act of</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8"/>
              </w:rPr>
              <w:t>2002 (furnished herewith).</w:t>
            </w:r>
          </w:p>
        </w:tc>
        <w:tc>
          <w:tcPr>
            <w:tcW w:w="20" w:type="dxa"/>
            <w:vAlign w:val="bottom"/>
            <w:tcBorders>
              <w:bottom w:val="single" w:sz="8" w:color="0000EE"/>
            </w:tcBorders>
          </w:tcPr>
          <w:p>
            <w:pPr>
              <w:spacing w:after="0"/>
              <w:rPr>
                <w:sz w:val="17"/>
                <w:szCs w:val="17"/>
                <w:color w:val="auto"/>
              </w:rPr>
            </w:pPr>
          </w:p>
        </w:tc>
        <w:tc>
          <w:tcPr>
            <w:tcW w:w="8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9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§1350, as adopted pursuant to Section 906 of the Sarbanes-Oxley Act of</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FF"/>
            </w:tcBorders>
            <w:gridSpan w:val="4"/>
          </w:tcPr>
          <w:p>
            <w:pPr>
              <w:spacing w:after="0" w:line="195" w:lineRule="exact"/>
              <w:rPr>
                <w:sz w:val="20"/>
                <w:szCs w:val="20"/>
                <w:color w:val="auto"/>
              </w:rPr>
            </w:pPr>
            <w:r>
              <w:rPr>
                <w:rFonts w:ascii="Times New Roman" w:cs="Times New Roman" w:eastAsia="Times New Roman" w:hAnsi="Times New Roman"/>
                <w:sz w:val="18"/>
                <w:szCs w:val="18"/>
                <w:color w:val="0000FF"/>
                <w:w w:val="98"/>
              </w:rPr>
              <w:t>2002 (furnished herewith).</w:t>
            </w:r>
          </w:p>
        </w:tc>
        <w:tc>
          <w:tcPr>
            <w:tcW w:w="20" w:type="dxa"/>
            <w:vAlign w:val="bottom"/>
            <w:tcBorders>
              <w:bottom w:val="single" w:sz="8" w:color="0000EE"/>
            </w:tcBorders>
          </w:tcPr>
          <w:p>
            <w:pPr>
              <w:spacing w:after="0"/>
              <w:rPr>
                <w:sz w:val="17"/>
                <w:szCs w:val="17"/>
                <w:color w:val="auto"/>
              </w:rPr>
            </w:pPr>
          </w:p>
        </w:tc>
        <w:tc>
          <w:tcPr>
            <w:tcW w:w="8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66"/>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Database Document</w:t>
            </w:r>
          </w:p>
        </w:tc>
        <w:tc>
          <w:tcPr>
            <w:tcW w:w="0" w:type="dxa"/>
            <w:vAlign w:val="bottom"/>
          </w:tcPr>
          <w:p>
            <w:pPr>
              <w:spacing w:after="0"/>
              <w:rPr>
                <w:sz w:val="1"/>
                <w:szCs w:val="1"/>
                <w:color w:val="auto"/>
              </w:rPr>
            </w:pPr>
          </w:p>
        </w:tc>
      </w:tr>
      <w:tr>
        <w:trPr>
          <w:trHeight w:val="3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0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220" w:firstLine="21"/>
        <w:spacing w:after="0" w:line="688" w:lineRule="auto"/>
        <w:tabs>
          <w:tab w:leader="none" w:pos="11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**Filed herewith.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74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AXSOME THERAPEUTICS, INC.</w:t>
            </w:r>
          </w:p>
        </w:tc>
      </w:tr>
      <w:tr>
        <w:trPr>
          <w:trHeight w:val="54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234"/>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Herriot Tabuteau, M.D.</w:t>
            </w:r>
          </w:p>
        </w:tc>
      </w:tr>
      <w:tr>
        <w:trPr>
          <w:trHeight w:val="265"/>
        </w:trPr>
        <w:tc>
          <w:tcPr>
            <w:tcW w:w="35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5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Nick Pizzie</w:t>
            </w:r>
          </w:p>
        </w:tc>
      </w:tr>
      <w:tr>
        <w:trPr>
          <w:trHeight w:val="234"/>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Nick Pizzie</w:t>
            </w:r>
          </w:p>
        </w:tc>
      </w:tr>
      <w:tr>
        <w:trPr>
          <w:trHeight w:val="265"/>
        </w:trPr>
        <w:tc>
          <w:tcPr>
            <w:tcW w:w="35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54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Herriot Tabuteau, M.D., certify that: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4"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sz w:val="20"/>
          <w:szCs w:val="20"/>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sz w:val="20"/>
          <w:szCs w:val="20"/>
          <w:color w:val="auto"/>
        </w:rPr>
      </w:pPr>
    </w:p>
    <w:p>
      <w:pPr>
        <w:jc w:val="both"/>
        <w:ind w:left="760" w:right="40" w:hanging="360"/>
        <w:spacing w:after="0" w:line="280"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sz w:val="20"/>
          <w:szCs w:val="20"/>
          <w:color w:val="auto"/>
        </w:rPr>
      </w:pPr>
    </w:p>
    <w:p>
      <w:pPr>
        <w:ind w:left="760" w:right="40" w:hanging="360"/>
        <w:spacing w:after="0" w:line="280"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sz w:val="20"/>
          <w:szCs w:val="20"/>
          <w:color w:val="auto"/>
        </w:rPr>
      </w:pPr>
    </w:p>
    <w:p>
      <w:pPr>
        <w:ind w:left="760" w:right="540" w:hanging="360"/>
        <w:spacing w:after="0" w:line="297"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sz w:val="20"/>
          <w:szCs w:val="20"/>
          <w:color w:val="auto"/>
        </w:rPr>
      </w:pPr>
    </w:p>
    <w:p>
      <w:pPr>
        <w:jc w:val="both"/>
        <w:ind w:left="760" w:right="180" w:hanging="360"/>
        <w:spacing w:after="0" w:line="280"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left="760" w:right="60" w:hanging="360"/>
        <w:spacing w:after="0" w:line="297"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sz w:val="20"/>
          <w:szCs w:val="20"/>
          <w:color w:val="auto"/>
        </w:rPr>
      </w:pPr>
    </w:p>
    <w:p>
      <w:pPr>
        <w:ind w:left="760" w:right="320" w:hanging="360"/>
        <w:spacing w:after="0" w:line="297"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6, 2024</w:t>
      </w:r>
      <w:r>
        <w:rPr>
          <w:sz w:val="20"/>
          <w:szCs w:val="20"/>
          <w:color w:val="auto"/>
        </w:rPr>
        <w:tab/>
      </w:r>
      <w:r>
        <w:rPr>
          <w:rFonts w:ascii="Times New Roman" w:cs="Times New Roman" w:eastAsia="Times New Roman" w:hAnsi="Times New Roman"/>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29210</wp:posOffset>
            </wp:positionV>
            <wp:extent cx="35617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1514475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PERIODIC REPORT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Nick Pizzie, certify that: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 have reviewed this quarterly report on Form 10-Q of Axsome Therapeutics, Inc.;</w:t>
      </w:r>
    </w:p>
    <w:p>
      <w:pPr>
        <w:spacing w:after="0" w:line="234"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6"/>
          <w:szCs w:val="16"/>
          <w:color w:val="auto"/>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6"/>
          <w:szCs w:val="16"/>
          <w:color w:val="auto"/>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6"/>
          <w:szCs w:val="16"/>
          <w:color w:val="auto"/>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sz w:val="20"/>
          <w:szCs w:val="20"/>
          <w:color w:val="auto"/>
        </w:rPr>
      </w:pPr>
    </w:p>
    <w:p>
      <w:pPr>
        <w:jc w:val="both"/>
        <w:ind w:left="760" w:right="40" w:hanging="360"/>
        <w:spacing w:after="0" w:line="280" w:lineRule="auto"/>
        <w:rPr>
          <w:sz w:val="20"/>
          <w:szCs w:val="20"/>
          <w:color w:val="auto"/>
        </w:rPr>
      </w:pPr>
      <w:r>
        <w:rPr>
          <w:rFonts w:ascii="Times New Roman" w:cs="Times New Roman" w:eastAsia="Times New Roman" w:hAnsi="Times New Roman"/>
          <w:sz w:val="16"/>
          <w:szCs w:val="16"/>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sz w:val="20"/>
          <w:szCs w:val="20"/>
          <w:color w:val="auto"/>
        </w:rPr>
      </w:pPr>
    </w:p>
    <w:p>
      <w:pPr>
        <w:ind w:left="760" w:right="40" w:hanging="360"/>
        <w:spacing w:after="0" w:line="280" w:lineRule="auto"/>
        <w:rPr>
          <w:sz w:val="20"/>
          <w:szCs w:val="20"/>
          <w:color w:val="auto"/>
        </w:rPr>
      </w:pPr>
      <w:r>
        <w:rPr>
          <w:rFonts w:ascii="Times New Roman" w:cs="Times New Roman" w:eastAsia="Times New Roman" w:hAnsi="Times New Roman"/>
          <w:sz w:val="16"/>
          <w:szCs w:val="16"/>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sz w:val="20"/>
          <w:szCs w:val="20"/>
          <w:color w:val="auto"/>
        </w:rPr>
      </w:pPr>
    </w:p>
    <w:p>
      <w:pPr>
        <w:ind w:left="760" w:right="540" w:hanging="360"/>
        <w:spacing w:after="0" w:line="297" w:lineRule="auto"/>
        <w:rPr>
          <w:sz w:val="20"/>
          <w:szCs w:val="20"/>
          <w:color w:val="auto"/>
        </w:rPr>
      </w:pPr>
      <w:r>
        <w:rPr>
          <w:rFonts w:ascii="Times New Roman" w:cs="Times New Roman" w:eastAsia="Times New Roman" w:hAnsi="Times New Roman"/>
          <w:sz w:val="16"/>
          <w:szCs w:val="16"/>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sz w:val="20"/>
          <w:szCs w:val="20"/>
          <w:color w:val="auto"/>
        </w:rPr>
      </w:pPr>
    </w:p>
    <w:p>
      <w:pPr>
        <w:jc w:val="both"/>
        <w:ind w:left="760" w:right="180" w:hanging="360"/>
        <w:spacing w:after="0" w:line="280" w:lineRule="auto"/>
        <w:rPr>
          <w:sz w:val="20"/>
          <w:szCs w:val="20"/>
          <w:color w:val="auto"/>
        </w:rPr>
      </w:pPr>
      <w:r>
        <w:rPr>
          <w:rFonts w:ascii="Times New Roman" w:cs="Times New Roman" w:eastAsia="Times New Roman" w:hAnsi="Times New Roman"/>
          <w:sz w:val="16"/>
          <w:szCs w:val="16"/>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6"/>
          <w:szCs w:val="16"/>
          <w:color w:val="auto"/>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sz w:val="20"/>
          <w:szCs w:val="20"/>
          <w:color w:val="auto"/>
        </w:rPr>
      </w:pPr>
    </w:p>
    <w:p>
      <w:pPr>
        <w:ind w:left="760" w:right="60" w:hanging="360"/>
        <w:spacing w:after="0" w:line="297" w:lineRule="auto"/>
        <w:rPr>
          <w:sz w:val="20"/>
          <w:szCs w:val="20"/>
          <w:color w:val="auto"/>
        </w:rPr>
      </w:pPr>
      <w:r>
        <w:rPr>
          <w:rFonts w:ascii="Times New Roman" w:cs="Times New Roman" w:eastAsia="Times New Roman" w:hAnsi="Times New Roman"/>
          <w:sz w:val="16"/>
          <w:szCs w:val="16"/>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sz w:val="20"/>
          <w:szCs w:val="20"/>
          <w:color w:val="auto"/>
        </w:rPr>
      </w:pPr>
    </w:p>
    <w:p>
      <w:pPr>
        <w:ind w:left="760" w:right="320" w:hanging="360"/>
        <w:spacing w:after="0" w:line="297" w:lineRule="auto"/>
        <w:rPr>
          <w:sz w:val="20"/>
          <w:szCs w:val="20"/>
          <w:color w:val="auto"/>
        </w:rPr>
      </w:pPr>
      <w:r>
        <w:rPr>
          <w:rFonts w:ascii="Times New Roman" w:cs="Times New Roman" w:eastAsia="Times New Roman" w:hAnsi="Times New Roman"/>
          <w:sz w:val="16"/>
          <w:szCs w:val="16"/>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6, 2024</w:t>
      </w:r>
      <w:r>
        <w:rPr>
          <w:sz w:val="20"/>
          <w:szCs w:val="20"/>
          <w:color w:val="auto"/>
        </w:rPr>
        <w:tab/>
      </w:r>
      <w:r>
        <w:rPr>
          <w:rFonts w:ascii="Times New Roman" w:cs="Times New Roman" w:eastAsia="Times New Roman" w:hAnsi="Times New Roman"/>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29210</wp:posOffset>
            </wp:positionV>
            <wp:extent cx="35617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Nick Pizzie</w:t>
      </w:r>
    </w:p>
    <w:p>
      <w:pPr>
        <w:spacing w:after="0" w:line="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1514475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EXECUTIVE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3" w:lineRule="exact"/>
        <w:rPr>
          <w:sz w:val="20"/>
          <w:szCs w:val="20"/>
          <w:color w:val="auto"/>
        </w:rPr>
      </w:pPr>
    </w:p>
    <w:p>
      <w:pPr>
        <w:ind w:right="180" w:firstLine="449"/>
        <w:spacing w:after="0" w:line="280"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March 31, 2024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06"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0"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6, 2024</w:t>
      </w:r>
      <w:r>
        <w:rPr>
          <w:sz w:val="20"/>
          <w:szCs w:val="20"/>
          <w:color w:val="auto"/>
        </w:rPr>
        <w:tab/>
      </w:r>
      <w:r>
        <w:rPr>
          <w:rFonts w:ascii="Times New Roman" w:cs="Times New Roman" w:eastAsia="Times New Roman" w:hAnsi="Times New Roman"/>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29210</wp:posOffset>
            </wp:positionV>
            <wp:extent cx="356171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Herriot Tabuteau, M.D.</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1655445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PRINCIPAL FINANCIAL OFFICER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AXSOME THERAPEUTICS,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253" w:lineRule="exact"/>
        <w:rPr>
          <w:sz w:val="20"/>
          <w:szCs w:val="20"/>
          <w:color w:val="auto"/>
        </w:rPr>
      </w:pPr>
    </w:p>
    <w:p>
      <w:pPr>
        <w:ind w:right="240" w:firstLine="449"/>
        <w:spacing w:after="0" w:line="280" w:lineRule="auto"/>
        <w:rPr>
          <w:sz w:val="20"/>
          <w:szCs w:val="20"/>
          <w:color w:val="auto"/>
        </w:rPr>
      </w:pPr>
      <w:r>
        <w:rPr>
          <w:rFonts w:ascii="Times New Roman" w:cs="Times New Roman" w:eastAsia="Times New Roman" w:hAnsi="Times New Roman"/>
          <w:sz w:val="16"/>
          <w:szCs w:val="16"/>
          <w:color w:val="auto"/>
        </w:rPr>
        <w:t>In connection with the quarterly report of Axsome Therapeutics, Inc. (the “Company”) on Form 10-Q for the quarter ended March 31, 2024 as filed with the Securities and Exchange Commission (the “Report”), I, Nick Pizzie, Chief Financial Officer of the Company, certify, pursuant to 18 U.S.C. §1350, as adopted pursuant to §906 of the Sarbanes-Oxley Act of 2002, that, based on my knowledge:</w:t>
      </w:r>
    </w:p>
    <w:p>
      <w:pPr>
        <w:spacing w:after="0" w:line="206"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260"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6"/>
          <w:szCs w:val="16"/>
          <w:color w:val="auto"/>
        </w:rPr>
        <w:t>Date: May 6, 2024</w:t>
      </w:r>
      <w:r>
        <w:rPr>
          <w:sz w:val="20"/>
          <w:szCs w:val="20"/>
          <w:color w:val="auto"/>
        </w:rPr>
        <w:tab/>
      </w:r>
      <w:r>
        <w:rPr>
          <w:rFonts w:ascii="Times New Roman" w:cs="Times New Roman" w:eastAsia="Times New Roman" w:hAnsi="Times New Roman"/>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29210</wp:posOffset>
            </wp:positionV>
            <wp:extent cx="35617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Nick Pizzie</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1655445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113" w:name="page114"/>
    <w:bookmarkEnd w:id="1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lvl w:ilvl="1">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decimal"/>
      <w:start w:val="14"/>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104"/>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2024-05-06T16:29:55Z</dcterms:created>
  <dcterms:modified xsi:type="dcterms:W3CDTF">2024-05-06T16:29:55Z</dcterms:modified>
</cp:coreProperties>
</file>