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June 02,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3400" w:type="dxa"/>
            <w:vAlign w:val="bottom"/>
          </w:tcPr>
          <w:p>
            <w:pPr>
              <w:jc w:val="center"/>
              <w:ind w:right="481"/>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right"/>
              <w:ind w:right="1301"/>
              <w:spacing w:after="0"/>
              <w:rPr>
                <w:sz w:val="20"/>
                <w:szCs w:val="20"/>
                <w:color w:val="auto"/>
              </w:rPr>
            </w:pPr>
            <w:r>
              <w:rPr>
                <w:rFonts w:ascii="Arial" w:cs="Arial" w:eastAsia="Arial" w:hAnsi="Arial"/>
                <w:sz w:val="18"/>
                <w:szCs w:val="18"/>
                <w:b w:val="1"/>
                <w:bCs w:val="1"/>
                <w:color w:val="auto"/>
              </w:rPr>
              <w:t>001-37635</w:t>
            </w:r>
          </w:p>
        </w:tc>
        <w:tc>
          <w:tcPr>
            <w:tcW w:w="2060" w:type="dxa"/>
            <w:vAlign w:val="bottom"/>
          </w:tcPr>
          <w:p>
            <w:pPr>
              <w:jc w:val="right"/>
              <w:ind w:right="24"/>
              <w:spacing w:after="0"/>
              <w:rPr>
                <w:sz w:val="20"/>
                <w:szCs w:val="20"/>
                <w:color w:val="auto"/>
              </w:rPr>
            </w:pPr>
            <w:r>
              <w:rPr>
                <w:rFonts w:ascii="Arial" w:cs="Arial" w:eastAsia="Arial" w:hAnsi="Arial"/>
                <w:sz w:val="18"/>
                <w:szCs w:val="18"/>
                <w:b w:val="1"/>
                <w:bCs w:val="1"/>
                <w:color w:val="auto"/>
              </w:rPr>
              <w:t>45-4241907</w:t>
            </w:r>
          </w:p>
        </w:tc>
      </w:tr>
      <w:tr>
        <w:trPr>
          <w:trHeight w:val="163"/>
        </w:trPr>
        <w:tc>
          <w:tcPr>
            <w:tcW w:w="3400" w:type="dxa"/>
            <w:vAlign w:val="bottom"/>
          </w:tcPr>
          <w:p>
            <w:pPr>
              <w:jc w:val="center"/>
              <w:ind w:right="481"/>
              <w:spacing w:after="0"/>
              <w:rPr>
                <w:sz w:val="20"/>
                <w:szCs w:val="20"/>
                <w:color w:val="auto"/>
              </w:rPr>
            </w:pPr>
            <w:r>
              <w:rPr>
                <w:rFonts w:ascii="Arial" w:cs="Arial" w:eastAsia="Arial" w:hAnsi="Arial"/>
                <w:sz w:val="13"/>
                <w:szCs w:val="13"/>
                <w:b w:val="1"/>
                <w:bCs w:val="1"/>
                <w:color w:val="auto"/>
                <w:w w:val="95"/>
              </w:rPr>
              <w:t>(State or Other Jurisdiction</w:t>
            </w:r>
          </w:p>
        </w:tc>
        <w:tc>
          <w:tcPr>
            <w:tcW w:w="3120" w:type="dxa"/>
            <w:vAlign w:val="bottom"/>
          </w:tcPr>
          <w:p>
            <w:pPr>
              <w:jc w:val="center"/>
              <w:ind w:right="341"/>
              <w:spacing w:after="0"/>
              <w:rPr>
                <w:sz w:val="20"/>
                <w:szCs w:val="20"/>
                <w:color w:val="auto"/>
              </w:rPr>
            </w:pPr>
            <w:r>
              <w:rPr>
                <w:rFonts w:ascii="Arial" w:cs="Arial" w:eastAsia="Arial" w:hAnsi="Arial"/>
                <w:sz w:val="13"/>
                <w:szCs w:val="13"/>
                <w:b w:val="1"/>
                <w:bCs w:val="1"/>
                <w:color w:val="auto"/>
                <w:w w:val="95"/>
              </w:rPr>
              <w:t>(Commission File Number)</w:t>
            </w: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400" w:type="dxa"/>
            <w:vAlign w:val="bottom"/>
          </w:tcPr>
          <w:p>
            <w:pPr>
              <w:jc w:val="center"/>
              <w:ind w:right="481"/>
              <w:spacing w:after="0"/>
              <w:rPr>
                <w:sz w:val="20"/>
                <w:szCs w:val="20"/>
                <w:color w:val="auto"/>
              </w:rPr>
            </w:pPr>
            <w:r>
              <w:rPr>
                <w:rFonts w:ascii="Arial" w:cs="Arial" w:eastAsia="Arial" w:hAnsi="Arial"/>
                <w:sz w:val="13"/>
                <w:szCs w:val="13"/>
                <w:b w:val="1"/>
                <w:bCs w:val="1"/>
                <w:color w:val="auto"/>
                <w:w w:val="96"/>
              </w:rPr>
              <w:t>of Incorporation)</w:t>
            </w:r>
          </w:p>
        </w:tc>
        <w:tc>
          <w:tcPr>
            <w:tcW w:w="3120" w:type="dxa"/>
            <w:vAlign w:val="bottom"/>
          </w:tcPr>
          <w:p>
            <w:pPr>
              <w:spacing w:after="0"/>
              <w:rPr>
                <w:sz w:val="15"/>
                <w:szCs w:val="15"/>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Identification No.)</w:t>
            </w:r>
          </w:p>
        </w:tc>
      </w:tr>
      <w:tr>
        <w:trPr>
          <w:trHeight w:val="473"/>
        </w:trPr>
        <w:tc>
          <w:tcPr>
            <w:tcW w:w="3400" w:type="dxa"/>
            <w:vAlign w:val="bottom"/>
          </w:tcPr>
          <w:p>
            <w:pPr>
              <w:jc w:val="center"/>
              <w:ind w:right="481"/>
              <w:spacing w:after="0"/>
              <w:rPr>
                <w:sz w:val="20"/>
                <w:szCs w:val="20"/>
                <w:color w:val="auto"/>
              </w:rPr>
            </w:pPr>
            <w:r>
              <w:rPr>
                <w:rFonts w:ascii="Arial" w:cs="Arial" w:eastAsia="Arial" w:hAnsi="Arial"/>
                <w:sz w:val="18"/>
                <w:szCs w:val="18"/>
                <w:b w:val="1"/>
                <w:bCs w:val="1"/>
                <w:color w:val="auto"/>
                <w:w w:val="91"/>
              </w:rPr>
              <w:t>One World Trade Center, 22nd Floor</w:t>
            </w:r>
          </w:p>
        </w:tc>
        <w:tc>
          <w:tcPr>
            <w:tcW w:w="31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43"/>
        </w:trPr>
        <w:tc>
          <w:tcPr>
            <w:tcW w:w="3400" w:type="dxa"/>
            <w:vAlign w:val="bottom"/>
          </w:tcPr>
          <w:p>
            <w:pPr>
              <w:jc w:val="center"/>
              <w:ind w:right="481"/>
              <w:spacing w:after="0"/>
              <w:rPr>
                <w:sz w:val="20"/>
                <w:szCs w:val="20"/>
                <w:color w:val="auto"/>
              </w:rPr>
            </w:pPr>
            <w:r>
              <w:rPr>
                <w:rFonts w:ascii="Arial" w:cs="Arial" w:eastAsia="Arial" w:hAnsi="Arial"/>
                <w:sz w:val="18"/>
                <w:szCs w:val="18"/>
                <w:b w:val="1"/>
                <w:bCs w:val="1"/>
                <w:color w:val="auto"/>
                <w:w w:val="91"/>
              </w:rPr>
              <w:t>New York, New York</w:t>
            </w:r>
          </w:p>
        </w:tc>
        <w:tc>
          <w:tcPr>
            <w:tcW w:w="3120" w:type="dxa"/>
            <w:vAlign w:val="bottom"/>
          </w:tcPr>
          <w:p>
            <w:pPr>
              <w:spacing w:after="0"/>
              <w:rPr>
                <w:sz w:val="21"/>
                <w:szCs w:val="21"/>
                <w:color w:val="auto"/>
              </w:rPr>
            </w:pPr>
          </w:p>
        </w:tc>
        <w:tc>
          <w:tcPr>
            <w:tcW w:w="206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10007</w:t>
            </w:r>
          </w:p>
        </w:tc>
      </w:tr>
      <w:tr>
        <w:trPr>
          <w:trHeight w:val="188"/>
        </w:trPr>
        <w:tc>
          <w:tcPr>
            <w:tcW w:w="3400" w:type="dxa"/>
            <w:vAlign w:val="bottom"/>
          </w:tcPr>
          <w:p>
            <w:pPr>
              <w:jc w:val="center"/>
              <w:ind w:right="48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120" w:type="dxa"/>
            <w:vAlign w:val="bottom"/>
          </w:tcPr>
          <w:p>
            <w:pPr>
              <w:spacing w:after="0"/>
              <w:rPr>
                <w:sz w:val="16"/>
                <w:szCs w:val="16"/>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4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88"/>
              </w:rPr>
              <w:t>Common Stock, Par Value $0.0001 Per Share</w:t>
            </w: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AXSM</w:t>
            </w:r>
          </w:p>
        </w:tc>
        <w:tc>
          <w:tcPr>
            <w:tcW w:w="1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1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 w:name="page2"/>
    <w:bookmarkEnd w:id="1"/>
    <w:p>
      <w:pPr>
        <w:ind w:right="3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The Board of Directors (the “Board”) of Axsome Therapeutics, Inc. (the “Company”) previously adopted the Axsome Therapeutics, Inc. 2023 Employee Stock Purchase Plan (the “ESPP”), subject to the approval of the ESPP by the Company’s stockholders at the Company’s 2023 Annual Meeting of the Stockholders held on June 2, 2023 (the “Annual Meeting”). The stockholders approved the ESPP at the Annual Meeting as set forth in Item 5.07 below.</w:t>
      </w:r>
    </w:p>
    <w:p>
      <w:pPr>
        <w:spacing w:after="0" w:line="187"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A detailed description of the terms of the ESPP is contained in the Company’s Definitive Proxy Statement on Schedule 14A, which was filed with the Securities and Exchange Commission on April 21, 2023 for the Annual Meeting (the “Proxy Statement”), under the caption “Proposal Three – Approval of the 2023 Employee Stock Purchase Plan,” and is incorporated herein by reference. The description is qualified in its entirety by the terms and conditions of the ESPP, a copy of which is filed as Exhibit 10.1 hereto and incorporated by reference 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 the Annual Meeting of the Company, the following proposals were submitted to the stockholders of the Company:</w:t>
      </w:r>
    </w:p>
    <w:p>
      <w:pPr>
        <w:spacing w:after="0" w:line="22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Proposal 1: The election of one director to serve as a Class II director until the Company’s 2026 annual meeting of stockholders and until their successor is duly elected and qualified;</w:t>
      </w:r>
    </w:p>
    <w:p>
      <w:pPr>
        <w:spacing w:after="0" w:line="170"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Proposal 2: The ratification of the appointment of Ernst &amp; Young LLP as the Company’s independent registered public accounting firm for the fiscal year ending December 31, 2023;</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Proposal 3: A proposal to approve the ESPP; and</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Proposal 4: The approval, on a non-binding advisory basis, the compensation of the Company’s named executive officers.</w:t>
      </w:r>
    </w:p>
    <w:p>
      <w:pPr>
        <w:spacing w:after="0" w:line="225"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For more information about the foregoing proposals, see the Company’s Proxy Statement. Of the 43,549,154 shares of the Company’s common stock entitled to vote at the Annual Meeting, 34,398,292 shares, or approximately 78.98%, were represented at the meeting in person or by proxy, constituting a quorum. The number of votes cast for, against or withheld, as well as abstentions and broker non-votes, if applicable, in respect of each such proposal is set forth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Proposal 1: Election of Class II Director.</w:t>
      </w:r>
    </w:p>
    <w:p>
      <w:pPr>
        <w:spacing w:after="0" w:line="22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The Company’s stockholders elected the following director to serve as a Class II director until the 2026 annual meeting of stockholders and until their successor is duly elected and qualified. The votes regarding the election of the Class II director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Director</w:t>
            </w:r>
          </w:p>
        </w:tc>
        <w:tc>
          <w:tcPr>
            <w:tcW w:w="14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2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Withheld</w:t>
            </w:r>
          </w:p>
        </w:tc>
        <w:tc>
          <w:tcPr>
            <w:tcW w:w="140" w:type="dxa"/>
            <w:vAlign w:val="bottom"/>
          </w:tcPr>
          <w:p>
            <w:pPr>
              <w:spacing w:after="0"/>
              <w:rPr>
                <w:sz w:val="20"/>
                <w:szCs w:val="20"/>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140" w:type="dxa"/>
            <w:vAlign w:val="bottom"/>
          </w:tcPr>
          <w:p>
            <w:pPr>
              <w:spacing w:after="0"/>
              <w:rPr>
                <w:sz w:val="20"/>
                <w:szCs w:val="20"/>
                <w:color w:val="auto"/>
              </w:rPr>
            </w:pPr>
          </w:p>
        </w:tc>
      </w:tr>
      <w:tr>
        <w:trPr>
          <w:trHeight w:val="230"/>
        </w:trPr>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Mark Saad</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17,685,595</w:t>
            </w: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10,074,964</w:t>
            </w:r>
          </w:p>
        </w:tc>
        <w:tc>
          <w:tcPr>
            <w:tcW w:w="140" w:type="dxa"/>
            <w:vAlign w:val="bottom"/>
            <w:shd w:val="clear" w:color="auto" w:fill="CCEEFF"/>
          </w:tcPr>
          <w:p>
            <w:pPr>
              <w:spacing w:after="0"/>
              <w:rPr>
                <w:sz w:val="19"/>
                <w:szCs w:val="19"/>
                <w:color w:val="auto"/>
              </w:rPr>
            </w:pPr>
          </w:p>
        </w:tc>
        <w:tc>
          <w:tcPr>
            <w:tcW w:w="294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6,637,733</w:t>
            </w:r>
          </w:p>
        </w:tc>
        <w:tc>
          <w:tcPr>
            <w:tcW w:w="14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Proposal 2: Ratification of Appointment of Ernst &amp; Young LLP.</w:t>
      </w:r>
    </w:p>
    <w:p>
      <w:pPr>
        <w:spacing w:after="0" w:line="225"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The Company’s stockholders ratified the appointment of Ernst &amp; Young LLP as the Company’s independent registered public accounting firm for the fiscal year ending December 31, 2023. The votes regarding this proposal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0"/>
                <w:szCs w:val="20"/>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40" w:type="dxa"/>
            <w:vAlign w:val="bottom"/>
          </w:tcPr>
          <w:p>
            <w:pPr>
              <w:spacing w:after="0"/>
              <w:rPr>
                <w:sz w:val="20"/>
                <w:szCs w:val="20"/>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Votes Abstaining</w:t>
            </w:r>
          </w:p>
        </w:tc>
        <w:tc>
          <w:tcPr>
            <w:tcW w:w="140" w:type="dxa"/>
            <w:vAlign w:val="bottom"/>
          </w:tcPr>
          <w:p>
            <w:pPr>
              <w:spacing w:after="0"/>
              <w:rPr>
                <w:sz w:val="20"/>
                <w:szCs w:val="20"/>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140" w:type="dxa"/>
            <w:vAlign w:val="bottom"/>
          </w:tcPr>
          <w:p>
            <w:pPr>
              <w:spacing w:after="0"/>
              <w:rPr>
                <w:sz w:val="20"/>
                <w:szCs w:val="20"/>
                <w:color w:val="auto"/>
              </w:rPr>
            </w:pPr>
          </w:p>
        </w:tc>
      </w:tr>
      <w:tr>
        <w:trPr>
          <w:trHeight w:val="223"/>
        </w:trPr>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34,061,821</w:t>
            </w:r>
          </w:p>
        </w:tc>
        <w:tc>
          <w:tcPr>
            <w:tcW w:w="140" w:type="dxa"/>
            <w:vAlign w:val="bottom"/>
            <w:shd w:val="clear" w:color="auto" w:fill="CCEEFF"/>
          </w:tcPr>
          <w:p>
            <w:pPr>
              <w:spacing w:after="0"/>
              <w:rPr>
                <w:sz w:val="19"/>
                <w:szCs w:val="19"/>
                <w:color w:val="auto"/>
              </w:rPr>
            </w:pPr>
          </w:p>
        </w:tc>
        <w:tc>
          <w:tcPr>
            <w:tcW w:w="24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113,392</w:t>
            </w:r>
          </w:p>
        </w:tc>
        <w:tc>
          <w:tcPr>
            <w:tcW w:w="140" w:type="dxa"/>
            <w:vAlign w:val="bottom"/>
            <w:shd w:val="clear" w:color="auto" w:fill="CCEEFF"/>
          </w:tcPr>
          <w:p>
            <w:pPr>
              <w:spacing w:after="0"/>
              <w:rPr>
                <w:sz w:val="19"/>
                <w:szCs w:val="19"/>
                <w:color w:val="auto"/>
              </w:rPr>
            </w:pPr>
          </w:p>
        </w:tc>
        <w:tc>
          <w:tcPr>
            <w:tcW w:w="306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223,079</w:t>
            </w:r>
          </w:p>
        </w:tc>
        <w:tc>
          <w:tcPr>
            <w:tcW w:w="140" w:type="dxa"/>
            <w:vAlign w:val="bottom"/>
            <w:shd w:val="clear" w:color="auto" w:fill="CCEEFF"/>
          </w:tcPr>
          <w:p>
            <w:pPr>
              <w:spacing w:after="0"/>
              <w:rPr>
                <w:sz w:val="19"/>
                <w:szCs w:val="19"/>
                <w:color w:val="auto"/>
              </w:rPr>
            </w:pPr>
          </w:p>
        </w:tc>
        <w:tc>
          <w:tcPr>
            <w:tcW w:w="328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Proposal 3: A proposal to approve the ESPP.</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Company’s stockholders approved the adoption of the ESPP. The votes regarding this proposal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0"/>
                <w:szCs w:val="20"/>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40" w:type="dxa"/>
            <w:vAlign w:val="bottom"/>
          </w:tcPr>
          <w:p>
            <w:pPr>
              <w:spacing w:after="0"/>
              <w:rPr>
                <w:sz w:val="20"/>
                <w:szCs w:val="20"/>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Votes Abstaining</w:t>
            </w:r>
          </w:p>
        </w:tc>
        <w:tc>
          <w:tcPr>
            <w:tcW w:w="140" w:type="dxa"/>
            <w:vAlign w:val="bottom"/>
          </w:tcPr>
          <w:p>
            <w:pPr>
              <w:spacing w:after="0"/>
              <w:rPr>
                <w:sz w:val="20"/>
                <w:szCs w:val="20"/>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140" w:type="dxa"/>
            <w:vAlign w:val="bottom"/>
          </w:tcPr>
          <w:p>
            <w:pPr>
              <w:spacing w:after="0"/>
              <w:rPr>
                <w:sz w:val="20"/>
                <w:szCs w:val="20"/>
                <w:color w:val="auto"/>
              </w:rPr>
            </w:pPr>
          </w:p>
        </w:tc>
      </w:tr>
      <w:tr>
        <w:trPr>
          <w:trHeight w:val="216"/>
        </w:trPr>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27,347,369</w:t>
            </w:r>
          </w:p>
        </w:tc>
        <w:tc>
          <w:tcPr>
            <w:tcW w:w="140" w:type="dxa"/>
            <w:vAlign w:val="bottom"/>
            <w:shd w:val="clear" w:color="auto" w:fill="CCEEFF"/>
          </w:tcPr>
          <w:p>
            <w:pPr>
              <w:spacing w:after="0"/>
              <w:rPr>
                <w:sz w:val="18"/>
                <w:szCs w:val="18"/>
                <w:color w:val="auto"/>
              </w:rPr>
            </w:pPr>
          </w:p>
        </w:tc>
        <w:tc>
          <w:tcPr>
            <w:tcW w:w="24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357,216</w:t>
            </w:r>
          </w:p>
        </w:tc>
        <w:tc>
          <w:tcPr>
            <w:tcW w:w="140" w:type="dxa"/>
            <w:vAlign w:val="bottom"/>
            <w:shd w:val="clear" w:color="auto" w:fill="CCEEFF"/>
          </w:tcPr>
          <w:p>
            <w:pPr>
              <w:spacing w:after="0"/>
              <w:rPr>
                <w:sz w:val="18"/>
                <w:szCs w:val="18"/>
                <w:color w:val="auto"/>
              </w:rPr>
            </w:pPr>
          </w:p>
        </w:tc>
        <w:tc>
          <w:tcPr>
            <w:tcW w:w="306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rPr>
              <w:t>55,974</w:t>
            </w:r>
          </w:p>
        </w:tc>
        <w:tc>
          <w:tcPr>
            <w:tcW w:w="140" w:type="dxa"/>
            <w:vAlign w:val="bottom"/>
            <w:shd w:val="clear" w:color="auto" w:fill="CCEEFF"/>
          </w:tcPr>
          <w:p>
            <w:pPr>
              <w:spacing w:after="0"/>
              <w:rPr>
                <w:sz w:val="18"/>
                <w:szCs w:val="18"/>
                <w:color w:val="auto"/>
              </w:rPr>
            </w:pPr>
          </w:p>
        </w:tc>
        <w:tc>
          <w:tcPr>
            <w:tcW w:w="328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rPr>
              <w:t>6,637,733</w:t>
            </w:r>
          </w:p>
        </w:tc>
        <w:tc>
          <w:tcPr>
            <w:tcW w:w="140" w:type="dxa"/>
            <w:vAlign w:val="bottom"/>
            <w:shd w:val="clear" w:color="auto" w:fill="CCEEFF"/>
          </w:tcPr>
          <w:p>
            <w:pPr>
              <w:spacing w:after="0"/>
              <w:rPr>
                <w:sz w:val="18"/>
                <w:szCs w:val="18"/>
                <w:color w:val="auto"/>
              </w:rPr>
            </w:pPr>
          </w:p>
        </w:tc>
      </w:tr>
      <w:tr>
        <w:trPr>
          <w:trHeight w:val="763"/>
        </w:trPr>
        <w:tc>
          <w:tcPr>
            <w:tcW w:w="1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Proposal 4: Approval, by Non-Binding Advisory Vote, of the Compensation of the Company’s named executive officers.</w:t>
      </w:r>
    </w:p>
    <w:p>
      <w:pPr>
        <w:spacing w:after="0" w:line="225" w:lineRule="exact"/>
        <w:rPr>
          <w:sz w:val="20"/>
          <w:szCs w:val="20"/>
          <w:color w:val="auto"/>
        </w:rPr>
      </w:pPr>
    </w:p>
    <w:p>
      <w:pPr>
        <w:ind w:left="20" w:firstLine="749"/>
        <w:spacing w:after="0" w:line="277" w:lineRule="auto"/>
        <w:rPr>
          <w:sz w:val="20"/>
          <w:szCs w:val="20"/>
          <w:color w:val="auto"/>
        </w:rPr>
      </w:pPr>
      <w:r>
        <w:rPr>
          <w:rFonts w:ascii="Arial" w:cs="Arial" w:eastAsia="Arial" w:hAnsi="Arial"/>
          <w:sz w:val="18"/>
          <w:szCs w:val="18"/>
          <w:color w:val="auto"/>
        </w:rPr>
        <w:t>The Company’s stockholders voted to approve, by non-binding advisory vote, the compensation of the Company’s named executive officers. The votes regarding this proposal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Votes For</w:t>
            </w:r>
          </w:p>
        </w:tc>
        <w:tc>
          <w:tcPr>
            <w:tcW w:w="140" w:type="dxa"/>
            <w:vAlign w:val="bottom"/>
          </w:tcPr>
          <w:p>
            <w:pPr>
              <w:spacing w:after="0"/>
              <w:rPr>
                <w:sz w:val="20"/>
                <w:szCs w:val="20"/>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Votes Against</w:t>
            </w:r>
          </w:p>
        </w:tc>
        <w:tc>
          <w:tcPr>
            <w:tcW w:w="140" w:type="dxa"/>
            <w:vAlign w:val="bottom"/>
          </w:tcPr>
          <w:p>
            <w:pPr>
              <w:spacing w:after="0"/>
              <w:rPr>
                <w:sz w:val="20"/>
                <w:szCs w:val="20"/>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Votes Abstaining</w:t>
            </w:r>
          </w:p>
        </w:tc>
        <w:tc>
          <w:tcPr>
            <w:tcW w:w="140" w:type="dxa"/>
            <w:vAlign w:val="bottom"/>
          </w:tcPr>
          <w:p>
            <w:pPr>
              <w:spacing w:after="0"/>
              <w:rPr>
                <w:sz w:val="20"/>
                <w:szCs w:val="20"/>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140" w:type="dxa"/>
            <w:vAlign w:val="bottom"/>
          </w:tcPr>
          <w:p>
            <w:pPr>
              <w:spacing w:after="0"/>
              <w:rPr>
                <w:sz w:val="20"/>
                <w:szCs w:val="20"/>
                <w:color w:val="auto"/>
              </w:rPr>
            </w:pPr>
          </w:p>
        </w:tc>
      </w:tr>
      <w:tr>
        <w:trPr>
          <w:trHeight w:val="216"/>
        </w:trPr>
        <w:tc>
          <w:tcPr>
            <w:tcW w:w="18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26,607,318</w:t>
            </w:r>
          </w:p>
        </w:tc>
        <w:tc>
          <w:tcPr>
            <w:tcW w:w="140" w:type="dxa"/>
            <w:vAlign w:val="bottom"/>
            <w:shd w:val="clear" w:color="auto" w:fill="CCEEFF"/>
          </w:tcPr>
          <w:p>
            <w:pPr>
              <w:spacing w:after="0"/>
              <w:rPr>
                <w:sz w:val="18"/>
                <w:szCs w:val="18"/>
                <w:color w:val="auto"/>
              </w:rPr>
            </w:pPr>
          </w:p>
        </w:tc>
        <w:tc>
          <w:tcPr>
            <w:tcW w:w="24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628,910</w:t>
            </w:r>
          </w:p>
        </w:tc>
        <w:tc>
          <w:tcPr>
            <w:tcW w:w="140" w:type="dxa"/>
            <w:vAlign w:val="bottom"/>
            <w:shd w:val="clear" w:color="auto" w:fill="CCEEFF"/>
          </w:tcPr>
          <w:p>
            <w:pPr>
              <w:spacing w:after="0"/>
              <w:rPr>
                <w:sz w:val="18"/>
                <w:szCs w:val="18"/>
                <w:color w:val="auto"/>
              </w:rPr>
            </w:pPr>
          </w:p>
        </w:tc>
        <w:tc>
          <w:tcPr>
            <w:tcW w:w="306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524,331</w:t>
            </w:r>
          </w:p>
        </w:tc>
        <w:tc>
          <w:tcPr>
            <w:tcW w:w="140" w:type="dxa"/>
            <w:vAlign w:val="bottom"/>
            <w:shd w:val="clear" w:color="auto" w:fill="CCEEFF"/>
          </w:tcPr>
          <w:p>
            <w:pPr>
              <w:spacing w:after="0"/>
              <w:rPr>
                <w:sz w:val="18"/>
                <w:szCs w:val="18"/>
                <w:color w:val="auto"/>
              </w:rPr>
            </w:pPr>
          </w:p>
        </w:tc>
        <w:tc>
          <w:tcPr>
            <w:tcW w:w="328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rPr>
              <w:t>6,637,733</w:t>
            </w:r>
          </w:p>
        </w:tc>
        <w:tc>
          <w:tcPr>
            <w:tcW w:w="1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60" w:type="dxa"/>
            <w:vAlign w:val="bottom"/>
          </w:tcPr>
          <w:p>
            <w:pPr>
              <w:spacing w:after="0"/>
              <w:rPr>
                <w:sz w:val="16"/>
                <w:szCs w:val="16"/>
                <w:color w:val="auto"/>
              </w:rPr>
            </w:pPr>
          </w:p>
        </w:tc>
        <w:tc>
          <w:tcPr>
            <w:tcW w:w="9920" w:type="dxa"/>
            <w:vAlign w:val="bottom"/>
            <w:tcBorders>
              <w:bottom w:val="single" w:sz="8" w:color="auto"/>
            </w:tcBorders>
            <w:gridSpan w:val="2"/>
          </w:tcPr>
          <w:p>
            <w:pPr>
              <w:ind w:left="4580"/>
              <w:spacing w:after="0"/>
              <w:rPr>
                <w:sz w:val="20"/>
                <w:szCs w:val="20"/>
                <w:color w:val="auto"/>
              </w:rPr>
            </w:pPr>
            <w:r>
              <w:rPr>
                <w:rFonts w:ascii="Arial" w:cs="Arial" w:eastAsia="Arial" w:hAnsi="Arial"/>
                <w:sz w:val="14"/>
                <w:szCs w:val="14"/>
                <w:b w:val="1"/>
                <w:bCs w:val="1"/>
                <w:color w:val="auto"/>
              </w:rPr>
              <w:t>Description</w:t>
            </w:r>
          </w:p>
        </w:tc>
      </w:tr>
      <w:tr>
        <w:trPr>
          <w:trHeight w:val="250"/>
        </w:trPr>
        <w:tc>
          <w:tcPr>
            <w:tcW w:w="1160" w:type="dxa"/>
            <w:vAlign w:val="bottom"/>
          </w:tcPr>
          <w:p>
            <w:pPr>
              <w:ind w:left="2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1"/>
                <w:szCs w:val="21"/>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0000FF"/>
              </w:rPr>
              <w:t>Axsome Therapeutics, Inc. 2023 Employee Stock Purchase Plan.</w:t>
            </w: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660" w:type="dxa"/>
            <w:vAlign w:val="bottom"/>
            <w:shd w:val="clear" w:color="auto" w:fill="0000FF"/>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2"/>
                <w:szCs w:val="22"/>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080"/>
              <w:spacing w:after="0"/>
              <w:rPr>
                <w:sz w:val="20"/>
                <w:szCs w:val="20"/>
                <w:color w:val="auto"/>
              </w:rPr>
            </w:pPr>
            <w:r>
              <w:rPr>
                <w:rFonts w:ascii="Arial" w:cs="Arial" w:eastAsia="Arial" w:hAnsi="Arial"/>
                <w:sz w:val="18"/>
                <w:szCs w:val="18"/>
                <w:b w:val="1"/>
                <w:bCs w:val="1"/>
                <w:color w:val="auto"/>
              </w:rPr>
              <w:t>Axsome Therapeutics, Inc.</w:t>
            </w:r>
          </w:p>
        </w:tc>
      </w:tr>
      <w:tr>
        <w:trPr>
          <w:trHeight w:val="493"/>
        </w:trPr>
        <w:tc>
          <w:tcPr>
            <w:tcW w:w="3540" w:type="dxa"/>
            <w:vAlign w:val="bottom"/>
          </w:tcPr>
          <w:p>
            <w:pPr>
              <w:ind w:left="20"/>
              <w:spacing w:after="0"/>
              <w:rPr>
                <w:sz w:val="20"/>
                <w:szCs w:val="20"/>
                <w:color w:val="auto"/>
              </w:rPr>
            </w:pPr>
            <w:r>
              <w:rPr>
                <w:rFonts w:ascii="Arial" w:cs="Arial" w:eastAsia="Arial" w:hAnsi="Arial"/>
                <w:sz w:val="18"/>
                <w:szCs w:val="18"/>
                <w:color w:val="auto"/>
              </w:rPr>
              <w:t>Dated: June 8, 2023</w:t>
            </w:r>
          </w:p>
        </w:tc>
        <w:tc>
          <w:tcPr>
            <w:tcW w:w="3020" w:type="dxa"/>
            <w:vAlign w:val="bottom"/>
          </w:tcPr>
          <w:p>
            <w:pPr>
              <w:ind w:left="208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r>
      <w:tr>
        <w:trPr>
          <w:trHeight w:val="230"/>
        </w:trPr>
        <w:tc>
          <w:tcPr>
            <w:tcW w:w="3540" w:type="dxa"/>
            <w:vAlign w:val="bottom"/>
          </w:tcPr>
          <w:p>
            <w:pPr>
              <w:spacing w:after="0"/>
              <w:rPr>
                <w:sz w:val="20"/>
                <w:szCs w:val="20"/>
                <w:color w:val="auto"/>
              </w:rPr>
            </w:pPr>
          </w:p>
        </w:tc>
        <w:tc>
          <w:tcPr>
            <w:tcW w:w="3020" w:type="dxa"/>
            <w:vAlign w:val="bottom"/>
          </w:tcPr>
          <w:p>
            <w:pPr>
              <w:ind w:left="208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Herriot Tabuteau, M.D.</w:t>
            </w:r>
          </w:p>
        </w:tc>
      </w:tr>
      <w:tr>
        <w:trPr>
          <w:trHeight w:val="242"/>
        </w:trPr>
        <w:tc>
          <w:tcPr>
            <w:tcW w:w="3540" w:type="dxa"/>
            <w:vAlign w:val="bottom"/>
          </w:tcPr>
          <w:p>
            <w:pPr>
              <w:spacing w:after="0"/>
              <w:rPr>
                <w:sz w:val="21"/>
                <w:szCs w:val="21"/>
                <w:color w:val="auto"/>
              </w:rPr>
            </w:pPr>
          </w:p>
        </w:tc>
        <w:tc>
          <w:tcPr>
            <w:tcW w:w="3020" w:type="dxa"/>
            <w:vAlign w:val="bottom"/>
          </w:tcPr>
          <w:p>
            <w:pPr>
              <w:ind w:left="208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561"/>
        </w:trPr>
        <w:tc>
          <w:tcPr>
            <w:tcW w:w="354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9803"/>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ind w:left="2583"/>
        <w:spacing w:after="0"/>
        <w:rPr>
          <w:sz w:val="20"/>
          <w:szCs w:val="20"/>
          <w:color w:val="auto"/>
        </w:rPr>
      </w:pPr>
      <w:r>
        <w:rPr>
          <w:rFonts w:ascii="Arial" w:cs="Arial" w:eastAsia="Arial" w:hAnsi="Arial"/>
          <w:sz w:val="18"/>
          <w:szCs w:val="18"/>
          <w:b w:val="1"/>
          <w:bCs w:val="1"/>
          <w:color w:val="auto"/>
        </w:rPr>
        <w:t>2023 Employee Stock Purchase Plan of Axsome Therapeutics, Inc.</w:t>
      </w:r>
    </w:p>
    <w:p>
      <w:pPr>
        <w:spacing w:after="0" w:line="230" w:lineRule="exact"/>
        <w:rPr>
          <w:sz w:val="20"/>
          <w:szCs w:val="20"/>
          <w:color w:val="auto"/>
        </w:rPr>
      </w:pPr>
    </w:p>
    <w:p>
      <w:pPr>
        <w:ind w:left="503" w:hanging="503"/>
        <w:spacing w:after="0"/>
        <w:tabs>
          <w:tab w:leader="none" w:pos="503" w:val="left"/>
        </w:tabs>
        <w:numPr>
          <w:ilvl w:val="0"/>
          <w:numId w:val="2"/>
        </w:numPr>
        <w:rPr>
          <w:rFonts w:ascii="Arial" w:cs="Arial" w:eastAsia="Arial" w:hAnsi="Arial"/>
          <w:sz w:val="15"/>
          <w:szCs w:val="15"/>
          <w:color w:val="auto"/>
        </w:rPr>
      </w:pPr>
      <w:r>
        <w:rPr>
          <w:rFonts w:ascii="Arial" w:cs="Arial" w:eastAsia="Arial" w:hAnsi="Arial"/>
          <w:sz w:val="15"/>
          <w:szCs w:val="15"/>
          <w:u w:val="single" w:color="auto"/>
          <w:color w:val="auto"/>
        </w:rPr>
        <w:t>Establishment</w:t>
      </w:r>
      <w:r>
        <w:rPr>
          <w:rFonts w:ascii="Arial" w:cs="Arial" w:eastAsia="Arial" w:hAnsi="Arial"/>
          <w:sz w:val="15"/>
          <w:szCs w:val="15"/>
          <w:color w:val="auto"/>
        </w:rPr>
        <w:t>. The Employee Stock Purchase Plan of Axsome Therapeutics, Inc. (the “</w:t>
      </w:r>
      <w:r>
        <w:rPr>
          <w:rFonts w:ascii="Arial" w:cs="Arial" w:eastAsia="Arial" w:hAnsi="Arial"/>
          <w:sz w:val="15"/>
          <w:szCs w:val="15"/>
          <w:b w:val="1"/>
          <w:bCs w:val="1"/>
          <w:color w:val="auto"/>
        </w:rPr>
        <w:t>Plan</w:t>
      </w:r>
      <w:r>
        <w:rPr>
          <w:rFonts w:ascii="Arial" w:cs="Arial" w:eastAsia="Arial" w:hAnsi="Arial"/>
          <w:sz w:val="15"/>
          <w:szCs w:val="15"/>
          <w:color w:val="auto"/>
        </w:rPr>
        <w:t>”) is hereby established effective as of the Effective Date.</w:t>
      </w:r>
    </w:p>
    <w:p>
      <w:pPr>
        <w:spacing w:after="0" w:line="142" w:lineRule="exact"/>
        <w:rPr>
          <w:rFonts w:ascii="Arial" w:cs="Arial" w:eastAsia="Arial" w:hAnsi="Arial"/>
          <w:sz w:val="15"/>
          <w:szCs w:val="15"/>
          <w:color w:val="auto"/>
        </w:rPr>
      </w:pPr>
    </w:p>
    <w:p>
      <w:pPr>
        <w:jc w:val="both"/>
        <w:ind w:left="503" w:hanging="503"/>
        <w:spacing w:after="0" w:line="278" w:lineRule="auto"/>
        <w:tabs>
          <w:tab w:leader="none" w:pos="503"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This Plan is intended to provide employees of the Company and its Participating Subsidiaries with an opportunity to acquire a proprietary interest in the Company through the purchase of shares of Common Stock. The Company intends that the Plan qualify as an “employee stock purchase plan” under Section 423 of the Code and the Plan shall be interpreted in a manner that is consistent with that intent.</w:t>
      </w:r>
    </w:p>
    <w:p>
      <w:pPr>
        <w:spacing w:after="0" w:line="76" w:lineRule="exact"/>
        <w:rPr>
          <w:rFonts w:ascii="Arial" w:cs="Arial" w:eastAsia="Arial" w:hAnsi="Arial"/>
          <w:sz w:val="16"/>
          <w:szCs w:val="16"/>
          <w:color w:val="auto"/>
        </w:rPr>
      </w:pPr>
    </w:p>
    <w:p>
      <w:pPr>
        <w:ind w:left="503" w:hanging="503"/>
        <w:spacing w:after="0"/>
        <w:tabs>
          <w:tab w:leader="none" w:pos="503"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123" w:lineRule="exact"/>
        <w:rPr>
          <w:sz w:val="20"/>
          <w:szCs w:val="20"/>
          <w:color w:val="auto"/>
        </w:rPr>
      </w:pPr>
    </w:p>
    <w:p>
      <w:pPr>
        <w:ind w:left="9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or Board of Directors</w:t>
      </w:r>
      <w:r>
        <w:rPr>
          <w:rFonts w:ascii="Arial" w:cs="Arial" w:eastAsia="Arial" w:hAnsi="Arial"/>
          <w:sz w:val="16"/>
          <w:szCs w:val="16"/>
          <w:color w:val="auto"/>
        </w:rPr>
        <w:t>” means the Board of Directors of the Company, as constituted from time to time.</w:t>
      </w:r>
    </w:p>
    <w:p>
      <w:pPr>
        <w:spacing w:after="0" w:line="127" w:lineRule="exact"/>
        <w:rPr>
          <w:sz w:val="20"/>
          <w:szCs w:val="20"/>
          <w:color w:val="auto"/>
        </w:rPr>
      </w:pPr>
    </w:p>
    <w:p>
      <w:pPr>
        <w:ind w:left="9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xml:space="preserve"> means any regularly scheduled trading day of the New York Stock Exchange.</w:t>
      </w:r>
    </w:p>
    <w:p>
      <w:pPr>
        <w:spacing w:after="0" w:line="127" w:lineRule="exact"/>
        <w:rPr>
          <w:sz w:val="20"/>
          <w:szCs w:val="20"/>
          <w:color w:val="auto"/>
        </w:rPr>
      </w:pPr>
    </w:p>
    <w:p>
      <w:pPr>
        <w:jc w:val="both"/>
        <w:ind w:left="98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U.S. Internal Revenue Code of 1986, as it may be amended from time to time. Any reference to a section of the Code shall be deemed to include a reference to any regulations promulgated thereunder.</w:t>
      </w:r>
    </w:p>
    <w:p>
      <w:pPr>
        <w:spacing w:after="0" w:line="56" w:lineRule="exact"/>
        <w:rPr>
          <w:sz w:val="20"/>
          <w:szCs w:val="20"/>
          <w:color w:val="auto"/>
        </w:rPr>
      </w:pPr>
    </w:p>
    <w:p>
      <w:pPr>
        <w:ind w:left="9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the Compensation Committee of the Board of other committee appointed by the Board to administer the Plan.</w:t>
      </w:r>
    </w:p>
    <w:p>
      <w:pPr>
        <w:spacing w:after="0" w:line="127" w:lineRule="exact"/>
        <w:rPr>
          <w:sz w:val="20"/>
          <w:szCs w:val="20"/>
          <w:color w:val="auto"/>
        </w:rPr>
      </w:pPr>
    </w:p>
    <w:p>
      <w:pPr>
        <w:ind w:left="9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the common stock of the Company, par value $.0001 per share.</w:t>
      </w:r>
    </w:p>
    <w:p>
      <w:pPr>
        <w:spacing w:after="0" w:line="127" w:lineRule="exact"/>
        <w:rPr>
          <w:sz w:val="20"/>
          <w:szCs w:val="20"/>
          <w:color w:val="auto"/>
        </w:rPr>
      </w:pPr>
    </w:p>
    <w:p>
      <w:pPr>
        <w:ind w:left="9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means Axsome Therapeutics, Inc., a Delaware corporation, including any successor thereto.</w:t>
      </w:r>
    </w:p>
    <w:p>
      <w:pPr>
        <w:spacing w:after="0" w:line="127" w:lineRule="exact"/>
        <w:rPr>
          <w:sz w:val="20"/>
          <w:szCs w:val="20"/>
          <w:color w:val="auto"/>
        </w:rPr>
      </w:pPr>
    </w:p>
    <w:p>
      <w:pPr>
        <w:jc w:val="both"/>
        <w:ind w:left="983"/>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Compensation</w:t>
      </w:r>
      <w:r>
        <w:rPr>
          <w:rFonts w:ascii="Arial" w:cs="Arial" w:eastAsia="Arial" w:hAnsi="Arial"/>
          <w:sz w:val="15"/>
          <w:szCs w:val="15"/>
          <w:color w:val="auto"/>
        </w:rPr>
        <w:t>” means base salary paid to an Eligible Employee by the Company or a Participating Subsidiary as compensation for services to the Company or Participating Subsidiary, before deduction for any salary deferral contributions made by the Eligible Employee to any tax-qualified or nonqualified deferred compensation plan, including overtime, vacation pay, holiday pay, jury duty pay and funeral leave pay, but excluding education or tuition reimbursements, imputed income arising under any group insurance or benefit program, travel expenses, business and relocation expenses, and income received in connection with bonuses, stock options or other equity-based awards.</w:t>
      </w:r>
    </w:p>
    <w:p>
      <w:pPr>
        <w:spacing w:after="0" w:line="64" w:lineRule="exact"/>
        <w:rPr>
          <w:sz w:val="20"/>
          <w:szCs w:val="20"/>
          <w:color w:val="auto"/>
        </w:rPr>
      </w:pPr>
    </w:p>
    <w:p>
      <w:pPr>
        <w:jc w:val="both"/>
        <w:ind w:left="98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Transaction</w:t>
      </w:r>
      <w:r>
        <w:rPr>
          <w:rFonts w:ascii="Arial" w:cs="Arial" w:eastAsia="Arial" w:hAnsi="Arial"/>
          <w:sz w:val="16"/>
          <w:szCs w:val="16"/>
          <w:color w:val="auto"/>
        </w:rPr>
        <w:t>” means a merger, consolidation, acquisition of property or stock, separation, reorganization or other corporate event described in Section 424 of the Code.</w:t>
      </w:r>
    </w:p>
    <w:p>
      <w:pPr>
        <w:spacing w:after="0" w:line="56" w:lineRule="exact"/>
        <w:rPr>
          <w:sz w:val="20"/>
          <w:szCs w:val="20"/>
          <w:color w:val="auto"/>
        </w:rPr>
      </w:pPr>
    </w:p>
    <w:p>
      <w:pPr>
        <w:jc w:val="both"/>
        <w:ind w:left="98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Broker</w:t>
      </w:r>
      <w:r>
        <w:rPr>
          <w:rFonts w:ascii="Arial" w:cs="Arial" w:eastAsia="Arial" w:hAnsi="Arial"/>
          <w:sz w:val="16"/>
          <w:szCs w:val="16"/>
          <w:color w:val="auto"/>
        </w:rPr>
        <w:t>” means the financial services firm or other agent designated by the Company to maintain ESPP Share Accounts on behalf of Participants who have purchased shares of Common Stock under the Plan.</w:t>
      </w:r>
    </w:p>
    <w:p>
      <w:pPr>
        <w:spacing w:after="0" w:line="56" w:lineRule="exact"/>
        <w:rPr>
          <w:sz w:val="20"/>
          <w:szCs w:val="20"/>
          <w:color w:val="auto"/>
        </w:rPr>
      </w:pPr>
    </w:p>
    <w:p>
      <w:pPr>
        <w:jc w:val="both"/>
        <w:ind w:left="98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means the date as of which this Plan is adopted by the Board, subject to the Plan obtaining shareholder approval in accordance with Section 22.11 hereof.</w:t>
      </w:r>
    </w:p>
    <w:p>
      <w:pPr>
        <w:spacing w:after="0" w:line="56" w:lineRule="exact"/>
        <w:rPr>
          <w:sz w:val="20"/>
          <w:szCs w:val="20"/>
          <w:color w:val="auto"/>
        </w:rPr>
      </w:pPr>
    </w:p>
    <w:p>
      <w:pPr>
        <w:jc w:val="both"/>
        <w:ind w:left="983"/>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w:t>
      </w:r>
      <w:r>
        <w:rPr>
          <w:rFonts w:ascii="Arial" w:cs="Arial" w:eastAsia="Arial" w:hAnsi="Arial"/>
          <w:sz w:val="16"/>
          <w:szCs w:val="16"/>
          <w:color w:val="auto"/>
        </w:rPr>
        <w:t>” means any person who renders services to the Company or a Participating Subsidiary as an employee pursuant to an employment relationship with such employer. For purposes of the Plan, the employment relationship shall be treated as continuing intact while the individual is on military leave, sick leave or other leave of absence approved by the Company or a Participating Subsidiary that meets the requirements of Treasury Regulation Section 1.421-1(h)(2). Where the period of leave exceeds three (3) months, or such other period of time specified in Treasury Regulation Section 1.421-1(h)(2), and the individual's right to re-employment is not guaranteed by statute or contract, the employment relationship shall be deemed to have terminated on the first day immediately following such three-month period, or such other period specified in Treasury Regulation Section 1.421-1(h)(2).</w:t>
      </w:r>
    </w:p>
    <w:p>
      <w:pPr>
        <w:spacing w:after="0" w:line="82" w:lineRule="exact"/>
        <w:rPr>
          <w:sz w:val="20"/>
          <w:szCs w:val="20"/>
          <w:color w:val="auto"/>
        </w:rPr>
      </w:pPr>
    </w:p>
    <w:p>
      <w:pPr>
        <w:jc w:val="both"/>
        <w:ind w:left="983"/>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Employee</w:t>
      </w:r>
      <w:r>
        <w:rPr>
          <w:rFonts w:ascii="Arial" w:cs="Arial" w:eastAsia="Arial" w:hAnsi="Arial"/>
          <w:sz w:val="16"/>
          <w:szCs w:val="16"/>
          <w:color w:val="auto"/>
        </w:rPr>
        <w:t>” means an Employee who (i) is employed by the Company or a Participating Subsidiary prior to commencement of the Offering Period and (ii) is customarily employed for at least twenty (20) hours per week. Notwithstanding the foregoing, the Committee may exclude from participation in the Plan or any Offering Employees who are "highly compensated employees" of the Company or a Participating Subsidiary (within the meaning of Section 414(q) of the Code) or a sub-set of such highly compensated employees.</w:t>
      </w:r>
    </w:p>
    <w:p>
      <w:pPr>
        <w:spacing w:after="0" w:line="75" w:lineRule="exact"/>
        <w:rPr>
          <w:sz w:val="20"/>
          <w:szCs w:val="20"/>
          <w:color w:val="auto"/>
        </w:rPr>
      </w:pPr>
    </w:p>
    <w:p>
      <w:pPr>
        <w:jc w:val="both"/>
        <w:ind w:left="98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Enrollment Form</w:t>
      </w:r>
      <w:r>
        <w:rPr>
          <w:rFonts w:ascii="Arial" w:cs="Arial" w:eastAsia="Arial" w:hAnsi="Arial"/>
          <w:sz w:val="16"/>
          <w:szCs w:val="16"/>
          <w:color w:val="auto"/>
        </w:rPr>
        <w:t>” means an agreement pursuant to which an Eligible Employee may elect to enroll in the Plan, to authorize a new level of payroll deductions, or to stop payroll deductions and withdraw from an Offering Period.</w:t>
      </w:r>
    </w:p>
    <w:p>
      <w:pPr>
        <w:spacing w:after="0" w:line="56" w:lineRule="exact"/>
        <w:rPr>
          <w:sz w:val="20"/>
          <w:szCs w:val="20"/>
          <w:color w:val="auto"/>
        </w:rPr>
      </w:pPr>
    </w:p>
    <w:p>
      <w:pPr>
        <w:jc w:val="both"/>
        <w:ind w:left="98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ESPP Share Account</w:t>
      </w:r>
      <w:r>
        <w:rPr>
          <w:rFonts w:ascii="Arial" w:cs="Arial" w:eastAsia="Arial" w:hAnsi="Arial"/>
          <w:sz w:val="16"/>
          <w:szCs w:val="16"/>
          <w:color w:val="auto"/>
        </w:rPr>
        <w:t>” means an account into which Common Stock purchased with accumulated payroll deductions at the end of an Offering Period are held on behalf of a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31750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1" w:right="339" w:bottom="1440" w:gutter="0" w:footer="0" w:header="0"/>
        </w:sectPr>
      </w:pPr>
    </w:p>
    <w:bookmarkStart w:id="6" w:name="page7"/>
    <w:bookmarkEnd w:id="6"/>
    <w:p>
      <w:pPr>
        <w:ind w:left="9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U.S. Securities Exchange Act of 1934, as amended.</w:t>
      </w:r>
    </w:p>
    <w:p>
      <w:pPr>
        <w:spacing w:after="0" w:line="127" w:lineRule="exact"/>
        <w:rPr>
          <w:sz w:val="20"/>
          <w:szCs w:val="20"/>
          <w:color w:val="auto"/>
        </w:rPr>
      </w:pPr>
    </w:p>
    <w:p>
      <w:pPr>
        <w:jc w:val="both"/>
        <w:ind w:left="983"/>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means, as of any date, the value of the shares of Common Stock as determined below. If the shares are listed on any established stock exchange or a national market system, including, without limitation, the Nasdaq Stock Market, the Fair Market Value shall be the closing price of a share (or if no sales were reported, the closing price on the date immediately preceding such date) as quoted on such exchange on the day of determination. In the absence of an established market for the shares, the Fair Market Value shall be determined in good faith by the Committee and such determination shall be conclusive and binding on all persons.</w:t>
      </w:r>
    </w:p>
    <w:p>
      <w:pPr>
        <w:spacing w:after="0" w:line="78" w:lineRule="exact"/>
        <w:rPr>
          <w:sz w:val="20"/>
          <w:szCs w:val="20"/>
          <w:color w:val="auto"/>
        </w:rPr>
      </w:pPr>
    </w:p>
    <w:p>
      <w:pPr>
        <w:ind w:left="9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Offering Date</w:t>
      </w:r>
      <w:r>
        <w:rPr>
          <w:rFonts w:ascii="Arial" w:cs="Arial" w:eastAsia="Arial" w:hAnsi="Arial"/>
          <w:sz w:val="16"/>
          <w:szCs w:val="16"/>
          <w:color w:val="auto"/>
        </w:rPr>
        <w:t>” means the first Trading Day of each Offering Period as designated by the Committee.</w:t>
      </w:r>
    </w:p>
    <w:p>
      <w:pPr>
        <w:spacing w:after="0" w:line="127" w:lineRule="exact"/>
        <w:rPr>
          <w:sz w:val="20"/>
          <w:szCs w:val="20"/>
          <w:color w:val="auto"/>
        </w:rPr>
      </w:pPr>
    </w:p>
    <w:p>
      <w:pPr>
        <w:jc w:val="both"/>
        <w:ind w:left="983"/>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Offering or Offering Period</w:t>
      </w:r>
      <w:r>
        <w:rPr>
          <w:rFonts w:ascii="Arial" w:cs="Arial" w:eastAsia="Arial" w:hAnsi="Arial"/>
          <w:sz w:val="16"/>
          <w:szCs w:val="16"/>
          <w:color w:val="auto"/>
        </w:rPr>
        <w:t>” means a period of twelve months beginning June 1st of each year; provided, that, pursuant to Section 6, the Committee may change the duration of future Offering Periods (subject to a maximum Offering Period of twenty-seven (27) months) and/or the start and end dates of future Offering Periods.</w:t>
      </w:r>
    </w:p>
    <w:p>
      <w:pPr>
        <w:spacing w:after="0" w:line="69" w:lineRule="exact"/>
        <w:rPr>
          <w:sz w:val="20"/>
          <w:szCs w:val="20"/>
          <w:color w:val="auto"/>
        </w:rPr>
      </w:pPr>
    </w:p>
    <w:p>
      <w:pPr>
        <w:ind w:left="9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an Eligible Employee who is actively participating in the Plan.</w:t>
      </w:r>
    </w:p>
    <w:p>
      <w:pPr>
        <w:spacing w:after="0" w:line="127" w:lineRule="exact"/>
        <w:rPr>
          <w:sz w:val="20"/>
          <w:szCs w:val="20"/>
          <w:color w:val="auto"/>
        </w:rPr>
      </w:pPr>
    </w:p>
    <w:p>
      <w:pPr>
        <w:jc w:val="both"/>
        <w:ind w:left="98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Participating Subsidiaries</w:t>
      </w:r>
      <w:r>
        <w:rPr>
          <w:rFonts w:ascii="Arial" w:cs="Arial" w:eastAsia="Arial" w:hAnsi="Arial"/>
          <w:sz w:val="16"/>
          <w:szCs w:val="16"/>
          <w:color w:val="auto"/>
        </w:rPr>
        <w:t>” means the Subsidiaries that have been designated as eligible to participate in the Plan, and such other Subsidiaries that may be designated by the Committee from time to time in its sole discretion.</w:t>
      </w:r>
    </w:p>
    <w:p>
      <w:pPr>
        <w:spacing w:after="0" w:line="56" w:lineRule="exact"/>
        <w:rPr>
          <w:sz w:val="20"/>
          <w:szCs w:val="20"/>
          <w:color w:val="auto"/>
        </w:rPr>
      </w:pPr>
    </w:p>
    <w:p>
      <w:pPr>
        <w:ind w:left="9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this Employee Stock Purchase Plan of Axsome Therapeutics, Inc., as set forth herein, and as amended from time to time.</w:t>
      </w:r>
    </w:p>
    <w:p>
      <w:pPr>
        <w:spacing w:after="0" w:line="127" w:lineRule="exact"/>
        <w:rPr>
          <w:sz w:val="20"/>
          <w:szCs w:val="20"/>
          <w:color w:val="auto"/>
        </w:rPr>
      </w:pPr>
    </w:p>
    <w:p>
      <w:pPr>
        <w:ind w:left="9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Date</w:t>
      </w:r>
      <w:r>
        <w:rPr>
          <w:rFonts w:ascii="Arial" w:cs="Arial" w:eastAsia="Arial" w:hAnsi="Arial"/>
          <w:sz w:val="16"/>
          <w:szCs w:val="16"/>
          <w:color w:val="auto"/>
        </w:rPr>
        <w:t>” means the last Trading Day of each Offering Period.</w:t>
      </w:r>
    </w:p>
    <w:p>
      <w:pPr>
        <w:spacing w:after="0" w:line="127" w:lineRule="exact"/>
        <w:rPr>
          <w:sz w:val="20"/>
          <w:szCs w:val="20"/>
          <w:color w:val="auto"/>
        </w:rPr>
      </w:pPr>
    </w:p>
    <w:p>
      <w:pPr>
        <w:jc w:val="both"/>
        <w:ind w:left="983"/>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Price</w:t>
      </w:r>
      <w:r>
        <w:rPr>
          <w:rFonts w:ascii="Arial" w:cs="Arial" w:eastAsia="Arial" w:hAnsi="Arial"/>
          <w:sz w:val="16"/>
          <w:szCs w:val="16"/>
          <w:color w:val="auto"/>
        </w:rPr>
        <w:t>” means an amount equal to the lesser of (i) eighty-five percent (85%) of the Fair Market Value of a share of Common Stock on the Offering Date or (ii) eighty-five percent (85%) of the Fair Market Value of a share of Common Stock on the Purchase Date; provided, that, the Purchase Price per share of Common Stock will in no event be less than the par value of the Common Stock.</w:t>
      </w:r>
    </w:p>
    <w:p>
      <w:pPr>
        <w:spacing w:after="0" w:line="69" w:lineRule="exact"/>
        <w:rPr>
          <w:sz w:val="20"/>
          <w:szCs w:val="20"/>
          <w:color w:val="auto"/>
        </w:rPr>
      </w:pPr>
    </w:p>
    <w:p>
      <w:pPr>
        <w:ind w:left="983"/>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w:t>
      </w:r>
    </w:p>
    <w:p>
      <w:pPr>
        <w:spacing w:after="0" w:line="127" w:lineRule="exact"/>
        <w:rPr>
          <w:sz w:val="20"/>
          <w:szCs w:val="20"/>
          <w:color w:val="auto"/>
        </w:rPr>
      </w:pPr>
    </w:p>
    <w:p>
      <w:pPr>
        <w:jc w:val="both"/>
        <w:ind w:left="983"/>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Subsidiary</w:t>
      </w:r>
      <w:r>
        <w:rPr>
          <w:rFonts w:ascii="Arial" w:cs="Arial" w:eastAsia="Arial" w:hAnsi="Arial"/>
          <w:sz w:val="15"/>
          <w:szCs w:val="15"/>
          <w:color w:val="auto"/>
        </w:rPr>
        <w:t>” means any corporation, domestic or foreign, of which not less than 50% of the combined voting power is held by the Company or a Subsidiary, whether or not such corporation exists now or is hereafter organized or acquired by the Company or a Subsidiary. In all cases, the determination of whether an entity is a Subsidiary shall be made in accordance with Section 424(f) of the Code.</w:t>
      </w:r>
    </w:p>
    <w:p>
      <w:pPr>
        <w:spacing w:after="0" w:line="51" w:lineRule="exact"/>
        <w:rPr>
          <w:sz w:val="20"/>
          <w:szCs w:val="20"/>
          <w:color w:val="auto"/>
        </w:rPr>
      </w:pPr>
    </w:p>
    <w:p>
      <w:pPr>
        <w:jc w:val="both"/>
        <w:ind w:left="983"/>
        <w:spacing w:after="0" w:line="33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Trading Day</w:t>
      </w:r>
      <w:r>
        <w:rPr>
          <w:rFonts w:ascii="Arial" w:cs="Arial" w:eastAsia="Arial" w:hAnsi="Arial"/>
          <w:sz w:val="15"/>
          <w:szCs w:val="15"/>
          <w:color w:val="auto"/>
        </w:rPr>
        <w:t>” means any day on which the national stock exchange upon which the Common Stock is listed is open for trading or, if the Common Stock is not listed on an established stock exchange or national market system, a business day, as determined by the Committee in good faith.</w:t>
      </w:r>
    </w:p>
    <w:p>
      <w:pPr>
        <w:spacing w:after="0" w:line="37" w:lineRule="exact"/>
        <w:rPr>
          <w:sz w:val="20"/>
          <w:szCs w:val="20"/>
          <w:color w:val="auto"/>
        </w:rPr>
      </w:pPr>
    </w:p>
    <w:p>
      <w:pPr>
        <w:ind w:left="503" w:hanging="503"/>
        <w:spacing w:after="0"/>
        <w:tabs>
          <w:tab w:leader="none" w:pos="503"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1023" w:hanging="509"/>
        <w:spacing w:after="0" w:line="297" w:lineRule="auto"/>
        <w:rPr>
          <w:rFonts w:ascii="Arial" w:cs="Arial" w:eastAsia="Arial" w:hAnsi="Arial"/>
          <w:sz w:val="16"/>
          <w:szCs w:val="16"/>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Administration by the Committee</w:t>
      </w:r>
      <w:r>
        <w:rPr>
          <w:rFonts w:ascii="Arial" w:cs="Arial" w:eastAsia="Arial" w:hAnsi="Arial"/>
          <w:sz w:val="15"/>
          <w:szCs w:val="15"/>
          <w:color w:val="auto"/>
        </w:rPr>
        <w:t>. The Plan shall be administered by the Committee which shall have the authority to construe and interpret the Plan, prescribe, amend and rescind rules relating to the Plan's administration and take any other actions necessary or desirable for the administration of the Plan. The Committee may correct any defect or supply any omission or reconcile any inconsistency or ambiguity in the Plan. The decisions of the Committee shall be final and binding on all persons. All expenses of administering the Plan shall be borne by the Company.</w:t>
      </w:r>
    </w:p>
    <w:p>
      <w:pPr>
        <w:spacing w:after="0" w:line="60" w:lineRule="exact"/>
        <w:rPr>
          <w:rFonts w:ascii="Arial" w:cs="Arial" w:eastAsia="Arial" w:hAnsi="Arial"/>
          <w:sz w:val="16"/>
          <w:szCs w:val="16"/>
          <w:color w:val="auto"/>
        </w:rPr>
      </w:pPr>
    </w:p>
    <w:p>
      <w:pPr>
        <w:ind w:left="1023" w:hanging="509"/>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Authority of Company Officers</w:t>
      </w:r>
      <w:r>
        <w:rPr>
          <w:rFonts w:ascii="Arial" w:cs="Arial" w:eastAsia="Arial" w:hAnsi="Arial"/>
          <w:sz w:val="16"/>
          <w:szCs w:val="16"/>
          <w:b w:val="1"/>
          <w:bCs w:val="1"/>
          <w:color w:val="auto"/>
        </w:rPr>
        <w:t>.</w:t>
      </w:r>
      <w:r>
        <w:rPr>
          <w:rFonts w:ascii="Arial" w:cs="Arial" w:eastAsia="Arial" w:hAnsi="Arial"/>
          <w:sz w:val="16"/>
          <w:szCs w:val="16"/>
          <w:color w:val="auto"/>
        </w:rPr>
        <w:t xml:space="preserve"> Any Company officer shall have the authority to act on behalf of the Company with respect to any matter, right, obligation, determination or election that is the responsibility of or that is allocated to the Company herein, provided that the Company officer has apparent authority with respect to such matter, right, obligation, determination 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40005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34" w:right="339" w:bottom="1440" w:gutter="0" w:footer="0" w:header="0"/>
        </w:sectPr>
      </w:pPr>
    </w:p>
    <w:bookmarkStart w:id="7" w:name="page8"/>
    <w:bookmarkEnd w:id="7"/>
    <w:p>
      <w:pPr>
        <w:jc w:val="both"/>
        <w:ind w:left="1023" w:hanging="508"/>
        <w:spacing w:after="0" w:line="284" w:lineRule="auto"/>
        <w:tabs>
          <w:tab w:leader="none" w:pos="1003"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5"/>
          <w:szCs w:val="15"/>
          <w:u w:val="single" w:color="auto"/>
          <w:color w:val="auto"/>
        </w:rPr>
        <w:t>Policies and Procedures Established by the Company</w:t>
      </w:r>
      <w:r>
        <w:rPr>
          <w:rFonts w:ascii="Arial" w:cs="Arial" w:eastAsia="Arial" w:hAnsi="Arial"/>
          <w:sz w:val="15"/>
          <w:szCs w:val="15"/>
          <w:b w:val="1"/>
          <w:bCs w:val="1"/>
          <w:color w:val="auto"/>
        </w:rPr>
        <w:t>.</w:t>
      </w:r>
      <w:r>
        <w:rPr>
          <w:rFonts w:ascii="Arial" w:cs="Arial" w:eastAsia="Arial" w:hAnsi="Arial"/>
          <w:sz w:val="15"/>
          <w:szCs w:val="15"/>
          <w:u w:val="single" w:color="auto"/>
          <w:color w:val="auto"/>
        </w:rPr>
        <w:t xml:space="preserve"> </w:t>
      </w:r>
      <w:r>
        <w:rPr>
          <w:rFonts w:ascii="Arial" w:cs="Arial" w:eastAsia="Arial" w:hAnsi="Arial"/>
          <w:sz w:val="15"/>
          <w:szCs w:val="15"/>
          <w:color w:val="auto"/>
        </w:rPr>
        <w:t>Without regard to whether any Participant’s Purchase Right may be considered adversely</w:t>
      </w:r>
      <w:r>
        <w:rPr>
          <w:rFonts w:ascii="Arial" w:cs="Arial" w:eastAsia="Arial" w:hAnsi="Arial"/>
          <w:sz w:val="15"/>
          <w:szCs w:val="15"/>
          <w:u w:val="single" w:color="auto"/>
          <w:color w:val="auto"/>
        </w:rPr>
        <w:t xml:space="preserve"> </w:t>
      </w:r>
      <w:r>
        <w:rPr>
          <w:rFonts w:ascii="Arial" w:cs="Arial" w:eastAsia="Arial" w:hAnsi="Arial"/>
          <w:sz w:val="15"/>
          <w:szCs w:val="15"/>
          <w:color w:val="auto"/>
        </w:rPr>
        <w:t>affected, the Company may, from time to time, consistent with the Plan and the requirements of Section 423 of the Code, establish, change or terminate such rules, guidelines, policies, procedures, limitations, or adjustments as deemed advisable by the Company, in its discretion, for the proper administration of the Plan, including, without limitation, (a) a minimum payroll deduction amount required for participation in an Offering,</w:t>
      </w:r>
    </w:p>
    <w:p>
      <w:pPr>
        <w:spacing w:after="0" w:line="1" w:lineRule="exact"/>
        <w:rPr>
          <w:sz w:val="20"/>
          <w:szCs w:val="20"/>
          <w:color w:val="auto"/>
        </w:rPr>
      </w:pPr>
    </w:p>
    <w:p>
      <w:pPr>
        <w:jc w:val="both"/>
        <w:ind w:left="1023" w:hanging="5"/>
        <w:spacing w:after="0" w:line="267" w:lineRule="auto"/>
        <w:tabs>
          <w:tab w:leader="none" w:pos="1255" w:val="left"/>
        </w:tabs>
        <w:numPr>
          <w:ilvl w:val="1"/>
          <w:numId w:val="4"/>
        </w:numPr>
        <w:rPr>
          <w:rFonts w:ascii="Arial" w:cs="Arial" w:eastAsia="Arial" w:hAnsi="Arial"/>
          <w:sz w:val="16"/>
          <w:szCs w:val="16"/>
          <w:color w:val="auto"/>
        </w:rPr>
      </w:pPr>
      <w:r>
        <w:rPr>
          <w:rFonts w:ascii="Arial" w:cs="Arial" w:eastAsia="Arial" w:hAnsi="Arial"/>
          <w:sz w:val="16"/>
          <w:szCs w:val="16"/>
          <w:color w:val="auto"/>
        </w:rPr>
        <w:t>a limitation on the frequency or number of changes permitted in the rate of payroll deduction during an Offering, (c) an exchange ratio applicable to amounts withheld or paid in a currency other than United States dollars, (d) a payroll deduction greater than or less than the amount designated by a Participant in order to adjust for the Company’s delay or mistake in processing a Enrollment Form or in otherwise effecting a Participant’s election under the Plan or as advisable to comply with the requirements of Section 423 of the Code, and (e) determination of the date and manner by which the Fair Market Value of a share of Common Stock is determined for purposes of administration of the Plan. All such actions by the Company shall be taken consistent with the requirements under Section 423(b)(5) of the Code that all Participants granted Purchase Rights pursuant to an Offering shall have the same rights and privileges within the meaning of such section, except as otherwise permitted by the regulations under Section 423 of the Code.</w:t>
      </w:r>
    </w:p>
    <w:p>
      <w:pPr>
        <w:spacing w:after="0" w:line="86" w:lineRule="exact"/>
        <w:rPr>
          <w:rFonts w:ascii="Arial" w:cs="Arial" w:eastAsia="Arial" w:hAnsi="Arial"/>
          <w:sz w:val="16"/>
          <w:szCs w:val="16"/>
          <w:color w:val="auto"/>
        </w:rPr>
      </w:pPr>
    </w:p>
    <w:p>
      <w:pPr>
        <w:jc w:val="both"/>
        <w:ind w:left="503" w:hanging="503"/>
        <w:spacing w:after="0" w:line="278" w:lineRule="auto"/>
        <w:tabs>
          <w:tab w:leader="none" w:pos="503"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Unless otherwise determined by the Committee in a manner that is consistent with Section 423 of the Code, any individual who is an Eligible Employee as of the first day of the enrollment period designated by the Committee for a particular Offering Period shall be eligible to participate in such Offering Period, subject to the requirements of Section 423 of the Code.</w:t>
      </w:r>
    </w:p>
    <w:p>
      <w:pPr>
        <w:spacing w:after="0" w:line="76" w:lineRule="exact"/>
        <w:rPr>
          <w:rFonts w:ascii="Arial" w:cs="Arial" w:eastAsia="Arial" w:hAnsi="Arial"/>
          <w:sz w:val="16"/>
          <w:szCs w:val="16"/>
          <w:color w:val="auto"/>
        </w:rPr>
      </w:pPr>
    </w:p>
    <w:p>
      <w:pPr>
        <w:jc w:val="both"/>
        <w:ind w:left="503"/>
        <w:spacing w:after="0" w:line="269" w:lineRule="auto"/>
        <w:rPr>
          <w:rFonts w:ascii="Arial" w:cs="Arial" w:eastAsia="Arial" w:hAnsi="Arial"/>
          <w:sz w:val="16"/>
          <w:szCs w:val="16"/>
          <w:color w:val="auto"/>
        </w:rPr>
      </w:pPr>
      <w:r>
        <w:rPr>
          <w:rFonts w:ascii="Arial" w:cs="Arial" w:eastAsia="Arial" w:hAnsi="Arial"/>
          <w:sz w:val="16"/>
          <w:szCs w:val="16"/>
          <w:color w:val="auto"/>
        </w:rPr>
        <w:t>Notwithstanding any provision of the Plan to the contrary, no Eligible Employee shall be granted an option under the Plan if (i) immediately after the grant of the option, such Eligible Employee (or any other person whose stock would be attributed to such Eligible Employee pursuant to Section 424(d) of the Code) would own capital stock of the Company or hold outstanding options to purchase stock possessing 5% or more of the total combined voting power or value of all classes of stock of the Company or any Subsidiary or (ii) such option would permit his or her rights to purchase stock under all employee stock purchase plans (described in Section 423 of the Code) of the Company and its Subsidiaries to accrue at a rate that exceeds $25,000 of the Fair Market Value of such Common Stock (determined at the time the option is granted) for each calendar year in which such option is outstanding at any time construed in compliance with Section 423 Code and applicable regulations.</w:t>
      </w:r>
    </w:p>
    <w:p>
      <w:pPr>
        <w:spacing w:after="0" w:line="81" w:lineRule="exact"/>
        <w:rPr>
          <w:rFonts w:ascii="Arial" w:cs="Arial" w:eastAsia="Arial" w:hAnsi="Arial"/>
          <w:sz w:val="16"/>
          <w:szCs w:val="16"/>
          <w:color w:val="auto"/>
        </w:rPr>
      </w:pPr>
    </w:p>
    <w:p>
      <w:pPr>
        <w:jc w:val="both"/>
        <w:ind w:left="503" w:hanging="503"/>
        <w:spacing w:after="0" w:line="288" w:lineRule="auto"/>
        <w:tabs>
          <w:tab w:leader="none" w:pos="503" w:val="left"/>
        </w:tabs>
        <w:numPr>
          <w:ilvl w:val="0"/>
          <w:numId w:val="5"/>
        </w:numPr>
        <w:rPr>
          <w:rFonts w:ascii="Arial" w:cs="Arial" w:eastAsia="Arial" w:hAnsi="Arial"/>
          <w:sz w:val="15"/>
          <w:szCs w:val="15"/>
          <w:color w:val="auto"/>
        </w:rPr>
      </w:pPr>
      <w:r>
        <w:rPr>
          <w:rFonts w:ascii="Arial" w:cs="Arial" w:eastAsia="Arial" w:hAnsi="Arial"/>
          <w:sz w:val="15"/>
          <w:szCs w:val="15"/>
          <w:u w:val="single" w:color="auto"/>
          <w:color w:val="auto"/>
        </w:rPr>
        <w:t>Offering Periods</w:t>
      </w:r>
      <w:r>
        <w:rPr>
          <w:rFonts w:ascii="Arial" w:cs="Arial" w:eastAsia="Arial" w:hAnsi="Arial"/>
          <w:sz w:val="15"/>
          <w:szCs w:val="15"/>
          <w:color w:val="auto"/>
        </w:rPr>
        <w:t>. Subject to the right of the Company in its sole discretion to sooner terminate the Plan, the first offering will commence on June 1, 2023 and shall be subject to shareholder approval within twelve (12) months before or after the Effective Date as permitted under Section 423 of the Code. The Plan shall be implemented by a series of Offering Periods, each of which shall be twelve (12) months in duration, with new Offering Periods commencing on or about June 1st of each year (or such other times as determined by the Committee). The Committee shall have the authority to change the duration, frequency, start and end dates of Offering Periods. The Committee shall have the power, in its discretion, to establish separate, simultaneous or overlapping Offerings having different terms and conditions and to designate the Participating Subsidiaries that may participate in a particular Offering, provided that each Offering shall individually comply with the terms of the Plan and the requirements of Section 423(b)(5) of the Code that all Participants granted Purchase Rights pursuant to such Offering shall have the same rights and privileges within the meaning of such section.</w:t>
      </w:r>
    </w:p>
    <w:p>
      <w:pPr>
        <w:spacing w:after="0" w:line="72" w:lineRule="exact"/>
        <w:rPr>
          <w:rFonts w:ascii="Arial" w:cs="Arial" w:eastAsia="Arial" w:hAnsi="Arial"/>
          <w:sz w:val="15"/>
          <w:szCs w:val="15"/>
          <w:color w:val="auto"/>
        </w:rPr>
      </w:pPr>
    </w:p>
    <w:p>
      <w:pPr>
        <w:ind w:left="503" w:hanging="503"/>
        <w:spacing w:after="0"/>
        <w:tabs>
          <w:tab w:leader="none" w:pos="503"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Participation</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1023" w:hanging="509"/>
        <w:spacing w:after="0" w:line="311" w:lineRule="auto"/>
        <w:rPr>
          <w:rFonts w:ascii="Arial" w:cs="Arial" w:eastAsia="Arial" w:hAnsi="Arial"/>
          <w:sz w:val="16"/>
          <w:szCs w:val="16"/>
          <w:color w:val="auto"/>
        </w:rPr>
      </w:pPr>
      <w:r>
        <w:rPr>
          <w:rFonts w:ascii="Arial" w:cs="Arial" w:eastAsia="Arial" w:hAnsi="Arial"/>
          <w:sz w:val="14"/>
          <w:szCs w:val="14"/>
          <w:color w:val="auto"/>
        </w:rPr>
        <w:t xml:space="preserve">7.1. </w:t>
      </w:r>
      <w:r>
        <w:rPr>
          <w:rFonts w:ascii="Arial" w:cs="Arial" w:eastAsia="Arial" w:hAnsi="Arial"/>
          <w:sz w:val="14"/>
          <w:szCs w:val="14"/>
          <w:u w:val="single" w:color="auto"/>
          <w:color w:val="auto"/>
        </w:rPr>
        <w:t>Enrollment; Payroll Deductions</w:t>
      </w:r>
      <w:r>
        <w:rPr>
          <w:rFonts w:ascii="Arial" w:cs="Arial" w:eastAsia="Arial" w:hAnsi="Arial"/>
          <w:sz w:val="14"/>
          <w:szCs w:val="14"/>
          <w:color w:val="auto"/>
        </w:rPr>
        <w:t>. An Eligible Employee may elect to participate in the Plan by properly completing an Enrollment Form, which may be electronic, and submitting it to the Company, in accordance with the enrollment procedures established by the Committee. Participation in the Plan is entirely voluntary. By submitting an Enrollment Form, the Eligible Employee authorizes payroll deductions from his or her pay check in an amount equal to at least 1%, but not more than 15% of his or her Compensation on each pay day occurring during an Offering Period (or such other maximum percentage as the Committee may establish from time to time before an Offering Period begins). Payroll deductions shall commence on the first payroll date following the Offering Date and end on the last payroll date on or before the Purchase Date. The Company shall maintain records of all payroll deductions but shall have no obligation to pay interest on payroll deductions or to hold such amounts in a trust or in any segregated account. Unless expressly permitted by the Committee, a Participant may not make any separate contributions or payments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31115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6" w:right="339" w:bottom="1440" w:gutter="0" w:footer="0" w:header="0"/>
        </w:sectPr>
      </w:pPr>
    </w:p>
    <w:bookmarkStart w:id="8" w:name="page9"/>
    <w:bookmarkEnd w:id="8"/>
    <w:p>
      <w:pPr>
        <w:jc w:val="both"/>
        <w:ind w:left="1023" w:hanging="508"/>
        <w:spacing w:after="0" w:line="269" w:lineRule="auto"/>
        <w:tabs>
          <w:tab w:leader="none" w:pos="1003"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6"/>
          <w:szCs w:val="16"/>
          <w:u w:val="single" w:color="auto"/>
          <w:color w:val="auto"/>
        </w:rPr>
        <w:t>Election Changes</w:t>
      </w:r>
      <w:r>
        <w:rPr>
          <w:rFonts w:ascii="Arial" w:cs="Arial" w:eastAsia="Arial" w:hAnsi="Arial"/>
          <w:sz w:val="16"/>
          <w:szCs w:val="16"/>
          <w:color w:val="auto"/>
        </w:rPr>
        <w:t>. During an Offering Period, a Participant may decrease his or her rate of payroll deductions applicable to such Offering Period only</w:t>
      </w:r>
      <w:r>
        <w:rPr>
          <w:rFonts w:ascii="Arial" w:cs="Arial" w:eastAsia="Arial" w:hAnsi="Arial"/>
          <w:sz w:val="16"/>
          <w:szCs w:val="16"/>
          <w:u w:val="single" w:color="auto"/>
          <w:color w:val="auto"/>
        </w:rPr>
        <w:t xml:space="preserve"> </w:t>
      </w:r>
      <w:r>
        <w:rPr>
          <w:rFonts w:ascii="Arial" w:cs="Arial" w:eastAsia="Arial" w:hAnsi="Arial"/>
          <w:sz w:val="16"/>
          <w:szCs w:val="16"/>
          <w:color w:val="auto"/>
        </w:rPr>
        <w:t>twice. No increases may be made. To make such a change, the Participant must submit a new Enrollment Form authorizing the new rate of payroll deductions at least five Business Days before the Purchase Date. Election amounts may only be changed during an open trading window as defined by the Company’s Insider Trading Policy, as may be amended from time to time. A Participant who elects, effective following the first pay day of an Offering Period, to decrease the rate of his or her payroll deductions to zero percent (0%) shall nevertheless remain a Participant in such Offering Period unless the Participant withdraws from the Plan as provided in Section 11.</w:t>
      </w:r>
    </w:p>
    <w:p>
      <w:pPr>
        <w:spacing w:after="0" w:line="86" w:lineRule="exact"/>
        <w:rPr>
          <w:sz w:val="20"/>
          <w:szCs w:val="20"/>
          <w:color w:val="auto"/>
        </w:rPr>
      </w:pPr>
    </w:p>
    <w:p>
      <w:pPr>
        <w:jc w:val="both"/>
        <w:ind w:left="1023" w:hanging="508"/>
        <w:spacing w:after="0" w:line="305" w:lineRule="auto"/>
        <w:tabs>
          <w:tab w:leader="none" w:pos="1003"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5"/>
          <w:szCs w:val="15"/>
          <w:u w:val="single" w:color="auto"/>
          <w:color w:val="auto"/>
        </w:rPr>
        <w:t>Roll Overs</w:t>
      </w:r>
      <w:r>
        <w:rPr>
          <w:rFonts w:ascii="Arial" w:cs="Arial" w:eastAsia="Arial" w:hAnsi="Arial"/>
          <w:sz w:val="15"/>
          <w:szCs w:val="15"/>
          <w:color w:val="auto"/>
        </w:rPr>
        <w:t>.</w:t>
      </w:r>
      <w:r>
        <w:rPr>
          <w:rFonts w:ascii="Arial" w:cs="Arial" w:eastAsia="Arial" w:hAnsi="Arial"/>
          <w:sz w:val="15"/>
          <w:szCs w:val="15"/>
          <w:u w:val="single" w:color="auto"/>
          <w:color w:val="auto"/>
        </w:rPr>
        <w:t xml:space="preserve"> </w:t>
      </w:r>
      <w:r>
        <w:rPr>
          <w:rFonts w:ascii="Arial" w:cs="Arial" w:eastAsia="Arial" w:hAnsi="Arial"/>
          <w:sz w:val="15"/>
          <w:szCs w:val="15"/>
          <w:color w:val="252525"/>
        </w:rPr>
        <w:t>The deduction rate selected in the Enrollment Form shall remain in effect for subsequent Offering Periods unless the Participant (a)</w:t>
      </w:r>
      <w:r>
        <w:rPr>
          <w:rFonts w:ascii="Arial" w:cs="Arial" w:eastAsia="Arial" w:hAnsi="Arial"/>
          <w:sz w:val="15"/>
          <w:szCs w:val="15"/>
          <w:u w:val="single" w:color="auto"/>
          <w:color w:val="auto"/>
        </w:rPr>
        <w:t xml:space="preserve"> </w:t>
      </w:r>
      <w:r>
        <w:rPr>
          <w:rFonts w:ascii="Arial" w:cs="Arial" w:eastAsia="Arial" w:hAnsi="Arial"/>
          <w:sz w:val="15"/>
          <w:szCs w:val="15"/>
          <w:color w:val="252525"/>
        </w:rPr>
        <w:t xml:space="preserve">submits a new Enrollment Form authorizing a new level of payroll deductions in accordance with Section 7.2, (b) withdraws from the Plan in accordance with </w:t>
      </w:r>
      <w:r>
        <w:rPr>
          <w:rFonts w:ascii="Arial" w:cs="Arial" w:eastAsia="Arial" w:hAnsi="Arial"/>
          <w:sz w:val="15"/>
          <w:szCs w:val="15"/>
          <w:color w:val="000000"/>
        </w:rPr>
        <w:t>Section 11</w:t>
      </w:r>
      <w:r>
        <w:rPr>
          <w:rFonts w:ascii="Arial" w:cs="Arial" w:eastAsia="Arial" w:hAnsi="Arial"/>
          <w:sz w:val="15"/>
          <w:szCs w:val="15"/>
          <w:color w:val="252525"/>
        </w:rPr>
        <w:t>, or (c) terminates employment or otherwise becomes ineligible to participate in the Plan.</w:t>
      </w:r>
    </w:p>
    <w:p>
      <w:pPr>
        <w:spacing w:after="0" w:line="58" w:lineRule="exact"/>
        <w:rPr>
          <w:sz w:val="20"/>
          <w:szCs w:val="20"/>
          <w:color w:val="auto"/>
        </w:rPr>
      </w:pPr>
    </w:p>
    <w:p>
      <w:pPr>
        <w:jc w:val="both"/>
        <w:ind w:left="1023" w:hanging="508"/>
        <w:spacing w:after="0" w:line="278" w:lineRule="auto"/>
        <w:tabs>
          <w:tab w:leader="none" w:pos="1003" w:val="left"/>
        </w:tabs>
        <w:rPr>
          <w:sz w:val="20"/>
          <w:szCs w:val="20"/>
          <w:color w:val="auto"/>
        </w:rPr>
      </w:pPr>
      <w:r>
        <w:rPr>
          <w:rFonts w:ascii="Arial" w:cs="Arial" w:eastAsia="Arial" w:hAnsi="Arial"/>
          <w:sz w:val="16"/>
          <w:szCs w:val="16"/>
          <w:color w:val="auto"/>
        </w:rPr>
        <w:t>7.4.</w:t>
      </w:r>
      <w:r>
        <w:rPr>
          <w:sz w:val="20"/>
          <w:szCs w:val="20"/>
          <w:color w:val="auto"/>
        </w:rPr>
        <w:tab/>
      </w:r>
      <w:r>
        <w:rPr>
          <w:rFonts w:ascii="Arial" w:cs="Arial" w:eastAsia="Arial" w:hAnsi="Arial"/>
          <w:sz w:val="16"/>
          <w:szCs w:val="16"/>
          <w:color w:val="auto"/>
        </w:rPr>
        <w:t>If a Participant withdraws from the Plan, the Participant must make an affirmative election to again participate in the Plan and must complete a new Enrollment Form for each Offering Period following a withdrawal, as elections will not carryover from one Offering Period to the next following a withdrawal.</w:t>
      </w:r>
    </w:p>
    <w:p>
      <w:pPr>
        <w:spacing w:after="0" w:line="72" w:lineRule="exact"/>
        <w:rPr>
          <w:sz w:val="20"/>
          <w:szCs w:val="20"/>
          <w:color w:val="auto"/>
        </w:rPr>
      </w:pPr>
    </w:p>
    <w:p>
      <w:pPr>
        <w:jc w:val="both"/>
        <w:ind w:left="503" w:hanging="503"/>
        <w:spacing w:after="0" w:line="304" w:lineRule="auto"/>
        <w:tabs>
          <w:tab w:leader="none" w:pos="503" w:val="left"/>
        </w:tabs>
        <w:numPr>
          <w:ilvl w:val="0"/>
          <w:numId w:val="6"/>
        </w:numPr>
        <w:rPr>
          <w:rFonts w:ascii="Arial" w:cs="Arial" w:eastAsia="Arial" w:hAnsi="Arial"/>
          <w:sz w:val="14"/>
          <w:szCs w:val="14"/>
          <w:color w:val="auto"/>
        </w:rPr>
      </w:pPr>
      <w:r>
        <w:rPr>
          <w:rFonts w:ascii="Arial" w:cs="Arial" w:eastAsia="Arial" w:hAnsi="Arial"/>
          <w:sz w:val="14"/>
          <w:szCs w:val="14"/>
          <w:u w:val="single" w:color="auto"/>
          <w:color w:val="auto"/>
        </w:rPr>
        <w:t>Grant of Option</w:t>
      </w:r>
      <w:r>
        <w:rPr>
          <w:rFonts w:ascii="Arial" w:cs="Arial" w:eastAsia="Arial" w:hAnsi="Arial"/>
          <w:sz w:val="14"/>
          <w:szCs w:val="14"/>
          <w:color w:val="auto"/>
        </w:rPr>
        <w:t>. On each Offering Date, each Participant in the applicable Offering Period shall be granted an option to purchase (the “</w:t>
      </w:r>
      <w:r>
        <w:rPr>
          <w:rFonts w:ascii="Arial" w:cs="Arial" w:eastAsia="Arial" w:hAnsi="Arial"/>
          <w:sz w:val="14"/>
          <w:szCs w:val="14"/>
          <w:b w:val="1"/>
          <w:bCs w:val="1"/>
          <w:color w:val="auto"/>
        </w:rPr>
        <w:t>Purchase Right</w:t>
      </w:r>
      <w:r>
        <w:rPr>
          <w:rFonts w:ascii="Arial" w:cs="Arial" w:eastAsia="Arial" w:hAnsi="Arial"/>
          <w:sz w:val="14"/>
          <w:szCs w:val="14"/>
          <w:color w:val="auto"/>
        </w:rPr>
        <w:t>”), on the Purchase Date, a number of whole shares of Common Stock determined by dividing the Participant’s accumulated payroll deductions as of the Purchase Date by the applicable Purchase Price; provided however, that in no event shall any Participant purchase more than the lesser of (a) a number of whole shares of Common Stock determined by dividing the Dollar Limit (determined as provided below) by the Fair Market Value on such Offering Date or</w:t>
      </w:r>
    </w:p>
    <w:p>
      <w:pPr>
        <w:spacing w:after="0" w:line="2" w:lineRule="exact"/>
        <w:rPr>
          <w:rFonts w:ascii="Arial" w:cs="Arial" w:eastAsia="Arial" w:hAnsi="Arial"/>
          <w:sz w:val="14"/>
          <w:szCs w:val="14"/>
          <w:color w:val="auto"/>
        </w:rPr>
      </w:pPr>
    </w:p>
    <w:p>
      <w:pPr>
        <w:jc w:val="both"/>
        <w:ind w:left="503"/>
        <w:spacing w:after="0" w:line="310" w:lineRule="auto"/>
        <w:rPr>
          <w:rFonts w:ascii="Arial" w:cs="Arial" w:eastAsia="Arial" w:hAnsi="Arial"/>
          <w:sz w:val="14"/>
          <w:szCs w:val="14"/>
          <w:color w:val="auto"/>
        </w:rPr>
      </w:pPr>
      <w:r>
        <w:rPr>
          <w:rFonts w:ascii="Arial" w:cs="Arial" w:eastAsia="Arial" w:hAnsi="Arial"/>
          <w:sz w:val="14"/>
          <w:szCs w:val="14"/>
          <w:color w:val="auto"/>
        </w:rPr>
        <w:t>(b) the Share Limit (determined as provided below). The Committee may, in its discretion and prior to the Offering Date of any Offering Period, (i) change the method of, or any of the foregoing factors in, determining the number of shares of Stock subject to Purchase Rights to be granted on such Offering Date, or (ii) specify a maximum aggregate number of shares that may be purchased by all Participants in an Offering or on any Purchase Date within an Offering Period. No Purchase Right shall be granted on an Offering Date to any person who is not, on such Offering Date, an Eligible Employee. For the purposes of this Section, the “Dollar Limit” shall be determined by multiplying $2,083.33 by the number of months (rounded to the nearest whole month) in the Offering Period and rounding to the nearest whole dollar, and the “Share Limit” shall be determined by multiplying 62.5 shares of Common Stock by the number of months (rounded to the nearest whole month) in the Offering Period by the number of months (rounded to the nearest whole month) in the Offering Period and rounding to the nearest whole share (subject to adjustment in accordance with Section 19 and the limitations set forth in Section 14 of the Plan).</w:t>
      </w:r>
    </w:p>
    <w:p>
      <w:pPr>
        <w:spacing w:after="0" w:line="60" w:lineRule="exact"/>
        <w:rPr>
          <w:rFonts w:ascii="Arial" w:cs="Arial" w:eastAsia="Arial" w:hAnsi="Arial"/>
          <w:sz w:val="14"/>
          <w:szCs w:val="14"/>
          <w:color w:val="auto"/>
        </w:rPr>
      </w:pPr>
    </w:p>
    <w:p>
      <w:pPr>
        <w:jc w:val="both"/>
        <w:ind w:left="503" w:hanging="503"/>
        <w:spacing w:after="0" w:line="293" w:lineRule="auto"/>
        <w:tabs>
          <w:tab w:leader="none" w:pos="503" w:val="left"/>
        </w:tabs>
        <w:numPr>
          <w:ilvl w:val="0"/>
          <w:numId w:val="6"/>
        </w:numPr>
        <w:rPr>
          <w:rFonts w:ascii="Arial" w:cs="Arial" w:eastAsia="Arial" w:hAnsi="Arial"/>
          <w:sz w:val="15"/>
          <w:szCs w:val="15"/>
          <w:color w:val="auto"/>
        </w:rPr>
      </w:pPr>
      <w:r>
        <w:rPr>
          <w:rFonts w:ascii="Arial" w:cs="Arial" w:eastAsia="Arial" w:hAnsi="Arial"/>
          <w:sz w:val="15"/>
          <w:szCs w:val="15"/>
          <w:u w:val="single" w:color="auto"/>
          <w:color w:val="auto"/>
        </w:rPr>
        <w:t>Exercise of Option/Purchase of Shares</w:t>
      </w:r>
      <w:r>
        <w:rPr>
          <w:rFonts w:ascii="Arial" w:cs="Arial" w:eastAsia="Arial" w:hAnsi="Arial"/>
          <w:sz w:val="15"/>
          <w:szCs w:val="15"/>
          <w:color w:val="auto"/>
        </w:rPr>
        <w:t>. A Participant’s option to purchase shares of Common Stock will be exercised automatically on the Purchase Date of each Offering Period. The Participant’s accumulated payroll deductions will be used to purchase the maximum number of whole shares that can be purchased with the amounts in the Participant's notional account. No fractional shares may be purchased but notional fractional shares of Common Stock will be allocated to the Participant's ESPP Share Account to be aggregated with other notional fractional shares of Common Stock on future Purchase Dates, subject to earlier withdrawal by the Participant in accordance with Section 11 or termination of employment in accordance with Section 12.</w:t>
      </w:r>
    </w:p>
    <w:p>
      <w:pPr>
        <w:spacing w:after="0" w:line="67" w:lineRule="exact"/>
        <w:rPr>
          <w:rFonts w:ascii="Arial" w:cs="Arial" w:eastAsia="Arial" w:hAnsi="Arial"/>
          <w:sz w:val="15"/>
          <w:szCs w:val="15"/>
          <w:color w:val="auto"/>
        </w:rPr>
      </w:pPr>
    </w:p>
    <w:p>
      <w:pPr>
        <w:jc w:val="both"/>
        <w:ind w:left="503" w:hanging="503"/>
        <w:spacing w:after="0" w:line="293" w:lineRule="auto"/>
        <w:tabs>
          <w:tab w:leader="none" w:pos="503" w:val="left"/>
        </w:tabs>
        <w:numPr>
          <w:ilvl w:val="0"/>
          <w:numId w:val="6"/>
        </w:numPr>
        <w:rPr>
          <w:rFonts w:ascii="Arial" w:cs="Arial" w:eastAsia="Arial" w:hAnsi="Arial"/>
          <w:sz w:val="15"/>
          <w:szCs w:val="15"/>
          <w:color w:val="auto"/>
        </w:rPr>
      </w:pPr>
      <w:r>
        <w:rPr>
          <w:rFonts w:ascii="Arial" w:cs="Arial" w:eastAsia="Arial" w:hAnsi="Arial"/>
          <w:sz w:val="15"/>
          <w:szCs w:val="15"/>
          <w:u w:val="single" w:color="auto"/>
          <w:color w:val="auto"/>
        </w:rPr>
        <w:t>Transfer of Shares</w:t>
      </w:r>
      <w:r>
        <w:rPr>
          <w:rFonts w:ascii="Arial" w:cs="Arial" w:eastAsia="Arial" w:hAnsi="Arial"/>
          <w:sz w:val="15"/>
          <w:szCs w:val="15"/>
          <w:color w:val="auto"/>
        </w:rPr>
        <w:t>. As soon as reasonably practicable after each Purchase Date, the Company will arrange for the delivery to each Participant of the shares of Common Stock purchased upon exercise of his or her option. The Committee may permit or require that the shares be deposited directly into an ESPP Share Account established in the name of the Participant with a Designated Broker and may require that the shares of Common Stock be retained with such Designated Broker for a specified period of time. Participants will not have any voting, dividend or other rights of a shareholder with respect to the shares of Common Stock subject to any option granted hereunder until such shares have been delivered pursuant to this Section 10.</w:t>
      </w:r>
    </w:p>
    <w:p>
      <w:pPr>
        <w:spacing w:after="0" w:line="67" w:lineRule="exact"/>
        <w:rPr>
          <w:rFonts w:ascii="Arial" w:cs="Arial" w:eastAsia="Arial" w:hAnsi="Arial"/>
          <w:sz w:val="15"/>
          <w:szCs w:val="15"/>
          <w:color w:val="auto"/>
        </w:rPr>
      </w:pPr>
    </w:p>
    <w:p>
      <w:pPr>
        <w:ind w:left="503" w:hanging="503"/>
        <w:spacing w:after="0"/>
        <w:tabs>
          <w:tab w:leader="none" w:pos="503"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Withdrawal</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1023" w:hanging="509"/>
        <w:spacing w:after="0" w:line="291" w:lineRule="auto"/>
        <w:rPr>
          <w:rFonts w:ascii="Arial" w:cs="Arial" w:eastAsia="Arial" w:hAnsi="Arial"/>
          <w:sz w:val="16"/>
          <w:szCs w:val="16"/>
          <w:color w:val="auto"/>
        </w:rPr>
      </w:pPr>
      <w:r>
        <w:rPr>
          <w:rFonts w:ascii="Arial" w:cs="Arial" w:eastAsia="Arial" w:hAnsi="Arial"/>
          <w:sz w:val="15"/>
          <w:szCs w:val="15"/>
          <w:color w:val="auto"/>
        </w:rPr>
        <w:t xml:space="preserve">11.1. </w:t>
      </w:r>
      <w:r>
        <w:rPr>
          <w:rFonts w:ascii="Arial" w:cs="Arial" w:eastAsia="Arial" w:hAnsi="Arial"/>
          <w:sz w:val="15"/>
          <w:szCs w:val="15"/>
          <w:u w:val="single" w:color="auto"/>
          <w:color w:val="auto"/>
        </w:rPr>
        <w:t>Withdrawal Procedure</w:t>
      </w:r>
      <w:r>
        <w:rPr>
          <w:rFonts w:ascii="Arial" w:cs="Arial" w:eastAsia="Arial" w:hAnsi="Arial"/>
          <w:sz w:val="15"/>
          <w:szCs w:val="15"/>
          <w:color w:val="auto"/>
        </w:rPr>
        <w:t>. A Participant may withdraw from an Offering by submitting to the Company a revised Enrollment Form indicating his or her election to withdraw at least five Business Days before the Purchase Date. Such withdrawal may only be made during an open trading window as defined by the Company’s Insider Trading Policy, as may be amended from time to time. The accumulated payroll deductions held on behalf of a Participant in his or her notional account (that have not been used to purchase shares of Common Stock) shall be paid to the Participant promptly following receipt of the Participant's Enrollment Form indicating his or her election to withdraw and the Participant's option shall be automatically terminated. If a Participant withdraws from an Offering Period, no payroll deductions will be made during any succeeding Offering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36830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30" w:right="339" w:bottom="1440" w:gutter="0" w:footer="0" w:header="0"/>
        </w:sectPr>
      </w:pPr>
    </w:p>
    <w:bookmarkStart w:id="9" w:name="page10"/>
    <w:bookmarkEnd w:id="9"/>
    <w:p>
      <w:pPr>
        <w:jc w:val="both"/>
        <w:ind w:left="1023" w:hanging="508"/>
        <w:spacing w:after="0" w:line="278" w:lineRule="auto"/>
        <w:tabs>
          <w:tab w:leader="none" w:pos="1003"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6"/>
          <w:szCs w:val="16"/>
          <w:u w:val="single" w:color="auto"/>
          <w:color w:val="auto"/>
        </w:rPr>
        <w:t>Effect on Succeeding Offering Periods</w:t>
      </w:r>
      <w:r>
        <w:rPr>
          <w:rFonts w:ascii="Arial" w:cs="Arial" w:eastAsia="Arial" w:hAnsi="Arial"/>
          <w:sz w:val="16"/>
          <w:szCs w:val="16"/>
          <w:color w:val="auto"/>
        </w:rPr>
        <w:t>. A Participant’s election to withdraw from an Offering Period will not have any effect upon his or her</w:t>
      </w:r>
      <w:r>
        <w:rPr>
          <w:rFonts w:ascii="Arial" w:cs="Arial" w:eastAsia="Arial" w:hAnsi="Arial"/>
          <w:sz w:val="16"/>
          <w:szCs w:val="16"/>
          <w:u w:val="single" w:color="auto"/>
          <w:color w:val="auto"/>
        </w:rPr>
        <w:t xml:space="preserve"> </w:t>
      </w:r>
      <w:r>
        <w:rPr>
          <w:rFonts w:ascii="Arial" w:cs="Arial" w:eastAsia="Arial" w:hAnsi="Arial"/>
          <w:sz w:val="16"/>
          <w:szCs w:val="16"/>
          <w:color w:val="auto"/>
        </w:rPr>
        <w:t>eligibility to participate in succeeding Offering Periods that commence following the completion of the Offering Period from which the Participant withdraws.</w:t>
      </w:r>
    </w:p>
    <w:p>
      <w:pPr>
        <w:spacing w:after="0" w:line="76" w:lineRule="exact"/>
        <w:rPr>
          <w:sz w:val="20"/>
          <w:szCs w:val="20"/>
          <w:color w:val="auto"/>
        </w:rPr>
      </w:pPr>
    </w:p>
    <w:p>
      <w:pPr>
        <w:jc w:val="both"/>
        <w:ind w:left="503" w:hanging="503"/>
        <w:spacing w:after="0" w:line="269" w:lineRule="auto"/>
        <w:tabs>
          <w:tab w:leader="none" w:pos="503"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 Change in Employment Status</w:t>
      </w:r>
      <w:r>
        <w:rPr>
          <w:rFonts w:ascii="Arial" w:cs="Arial" w:eastAsia="Arial" w:hAnsi="Arial"/>
          <w:sz w:val="16"/>
          <w:szCs w:val="16"/>
          <w:color w:val="auto"/>
        </w:rPr>
        <w:t>. Upon termination of a Participant's employment for any reason, including death, disability or retirement, or a change in the Participant's employment status following which the Participant is no longer an Eligible Employee, which in either case occurs at least five Business Days before the Purchase Date, the Participant will be deemed to have withdrawn from the Plan and the payroll deductions in the Participant's notional account (that have not been used to purchase shares of Common Stock) shall be returned to the Participant, or in the case of the Participant's death, to the person(s) entitled to such amounts under Section 18, and the Participant’s option shall be automatically terminated. If the Participant’s termination of employment or change in status occurs within five Business Days before a Purchase Date, the accumulated payroll deductions shall be used to purchase shares on the Purchase Date.</w:t>
      </w:r>
    </w:p>
    <w:p>
      <w:pPr>
        <w:spacing w:after="0" w:line="81" w:lineRule="exact"/>
        <w:rPr>
          <w:rFonts w:ascii="Arial" w:cs="Arial" w:eastAsia="Arial" w:hAnsi="Arial"/>
          <w:sz w:val="16"/>
          <w:szCs w:val="16"/>
          <w:color w:val="auto"/>
        </w:rPr>
      </w:pPr>
    </w:p>
    <w:p>
      <w:pPr>
        <w:ind w:left="503" w:hanging="503"/>
        <w:spacing w:after="0"/>
        <w:tabs>
          <w:tab w:leader="none" w:pos="503"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No interest shall accrue on or be payable with respect to the payroll deductions of a Participant in the Plan.</w:t>
      </w:r>
    </w:p>
    <w:p>
      <w:pPr>
        <w:spacing w:after="0" w:line="126" w:lineRule="exact"/>
        <w:rPr>
          <w:rFonts w:ascii="Arial" w:cs="Arial" w:eastAsia="Arial" w:hAnsi="Arial"/>
          <w:sz w:val="16"/>
          <w:szCs w:val="16"/>
          <w:color w:val="auto"/>
        </w:rPr>
      </w:pPr>
    </w:p>
    <w:p>
      <w:pPr>
        <w:ind w:left="503" w:hanging="503"/>
        <w:spacing w:after="0"/>
        <w:tabs>
          <w:tab w:leader="none" w:pos="503"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Shares Reserved for Plan</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1023" w:hanging="509"/>
        <w:spacing w:after="0" w:line="273" w:lineRule="auto"/>
        <w:rPr>
          <w:rFonts w:ascii="Arial" w:cs="Arial" w:eastAsia="Arial" w:hAnsi="Arial"/>
          <w:sz w:val="16"/>
          <w:szCs w:val="16"/>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Number of Shares</w:t>
      </w:r>
      <w:r>
        <w:rPr>
          <w:rFonts w:ascii="Arial" w:cs="Arial" w:eastAsia="Arial" w:hAnsi="Arial"/>
          <w:sz w:val="16"/>
          <w:szCs w:val="16"/>
          <w:color w:val="auto"/>
        </w:rPr>
        <w:t>. Subject to adjustment as provided in Section 19, a total of 1,100,000 shares of Common Stock have been reserved as authorized for the grant of options under the Plan. The shares of Common Stock may be newly issued shares, treasury shares or shares acquired on the open market. If an outstanding Purchase Right for any reason expires or is terminated or canceled, the shares of Common Stock allocable to the unexercised portion of the Purchase Right shall again be available for issuance under the Plan.</w:t>
      </w:r>
    </w:p>
    <w:p>
      <w:pPr>
        <w:spacing w:after="0" w:line="80" w:lineRule="exact"/>
        <w:rPr>
          <w:rFonts w:ascii="Arial" w:cs="Arial" w:eastAsia="Arial" w:hAnsi="Arial"/>
          <w:sz w:val="16"/>
          <w:szCs w:val="16"/>
          <w:color w:val="auto"/>
        </w:rPr>
      </w:pPr>
    </w:p>
    <w:p>
      <w:pPr>
        <w:ind w:left="1023" w:hanging="509"/>
        <w:spacing w:after="0" w:line="269" w:lineRule="auto"/>
        <w:rPr>
          <w:rFonts w:ascii="Arial" w:cs="Arial" w:eastAsia="Arial" w:hAnsi="Arial"/>
          <w:sz w:val="16"/>
          <w:szCs w:val="16"/>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Over-subscribed Offerings</w:t>
      </w:r>
      <w:r>
        <w:rPr>
          <w:rFonts w:ascii="Arial" w:cs="Arial" w:eastAsia="Arial" w:hAnsi="Arial"/>
          <w:sz w:val="16"/>
          <w:szCs w:val="16"/>
          <w:color w:val="auto"/>
        </w:rPr>
        <w:t>. The number of shares of Common Stock which a Participant may purchase in an Offering under the Plan may be reduced if the Offering is over-subscribed. No option granted under the Plan shall permit a Participant to purchase shares of Common Stock which, if added together with the total number of shares of Common Stock purchased by all other Participants in such Offering would exceed the total number of shares of Common Stock remaining available under the Plan. If the Committee determines that, on a particular Purchase Date, the number of shares of Common Stock with respect to which options are to be exercised exceeds the number of shares of Common Stock then available under the Plan, the Company shall make a pro rata allocation of the shares of Common Stock remaining available for purchase in as uniform a manner as practicable and as the Committee determines to be equitable.</w:t>
      </w:r>
    </w:p>
    <w:p>
      <w:pPr>
        <w:spacing w:after="0" w:line="81" w:lineRule="exact"/>
        <w:rPr>
          <w:rFonts w:ascii="Arial" w:cs="Arial" w:eastAsia="Arial" w:hAnsi="Arial"/>
          <w:sz w:val="16"/>
          <w:szCs w:val="16"/>
          <w:color w:val="auto"/>
        </w:rPr>
      </w:pPr>
    </w:p>
    <w:p>
      <w:pPr>
        <w:jc w:val="both"/>
        <w:ind w:left="503" w:hanging="503"/>
        <w:spacing w:after="0" w:line="273" w:lineRule="auto"/>
        <w:tabs>
          <w:tab w:leader="none" w:pos="503"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No payroll deductions credited to a Participant, nor any rights with respect to the exercise of an option or any rights to receive Common Stock hereunder may be assigned, transferred, pledged or otherwise disposed of in any way (other than by will, the laws of descent and distribution, or as provided in Section 18 hereof) by the Participant. Any attempt to assign, transfer, pledge or otherwise dispose of such rights or amounts shall be without effect.</w:t>
      </w:r>
    </w:p>
    <w:p>
      <w:pPr>
        <w:spacing w:after="0" w:line="80" w:lineRule="exact"/>
        <w:rPr>
          <w:rFonts w:ascii="Arial" w:cs="Arial" w:eastAsia="Arial" w:hAnsi="Arial"/>
          <w:sz w:val="16"/>
          <w:szCs w:val="16"/>
          <w:color w:val="auto"/>
        </w:rPr>
      </w:pPr>
    </w:p>
    <w:p>
      <w:pPr>
        <w:ind w:left="503" w:hanging="503"/>
        <w:spacing w:after="0" w:line="293" w:lineRule="auto"/>
        <w:tabs>
          <w:tab w:leader="none" w:pos="503"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Application of Funds</w:t>
      </w:r>
      <w:r>
        <w:rPr>
          <w:rFonts w:ascii="Arial" w:cs="Arial" w:eastAsia="Arial" w:hAnsi="Arial"/>
          <w:sz w:val="16"/>
          <w:szCs w:val="16"/>
          <w:color w:val="auto"/>
        </w:rPr>
        <w:t>. All payroll deductions received or held by the Company under the Plan may be used by the Company for any corporate purpose to the extent permitted by applicable law, and the Company shall not be required to segregate such payroll deductions or contributions.</w:t>
      </w:r>
    </w:p>
    <w:p>
      <w:pPr>
        <w:spacing w:after="0" w:line="63" w:lineRule="exact"/>
        <w:rPr>
          <w:rFonts w:ascii="Arial" w:cs="Arial" w:eastAsia="Arial" w:hAnsi="Arial"/>
          <w:sz w:val="16"/>
          <w:szCs w:val="16"/>
          <w:color w:val="auto"/>
        </w:rPr>
      </w:pPr>
    </w:p>
    <w:p>
      <w:pPr>
        <w:jc w:val="both"/>
        <w:ind w:left="503" w:hanging="503"/>
        <w:spacing w:after="0" w:line="278" w:lineRule="auto"/>
        <w:tabs>
          <w:tab w:leader="none" w:pos="503"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Statements</w:t>
      </w:r>
      <w:r>
        <w:rPr>
          <w:rFonts w:ascii="Arial" w:cs="Arial" w:eastAsia="Arial" w:hAnsi="Arial"/>
          <w:sz w:val="16"/>
          <w:szCs w:val="16"/>
          <w:color w:val="auto"/>
        </w:rPr>
        <w:t>. Participants will be provided with statements at least annually which shall set forth the contributions made by the Participant to the Plan, the Purchase Price of any shares of Common Stock purchased with accumulated funds, the number of shares of Common Stock purchased, and any payroll deduction amounts remaining in the Participant's notional account.</w:t>
      </w:r>
    </w:p>
    <w:p>
      <w:pPr>
        <w:spacing w:after="0" w:line="76" w:lineRule="exact"/>
        <w:rPr>
          <w:rFonts w:ascii="Arial" w:cs="Arial" w:eastAsia="Arial" w:hAnsi="Arial"/>
          <w:sz w:val="16"/>
          <w:szCs w:val="16"/>
          <w:color w:val="auto"/>
        </w:rPr>
      </w:pPr>
    </w:p>
    <w:p>
      <w:pPr>
        <w:jc w:val="both"/>
        <w:ind w:left="503" w:hanging="503"/>
        <w:spacing w:after="0" w:line="269" w:lineRule="auto"/>
        <w:tabs>
          <w:tab w:leader="none" w:pos="503"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 A Participant may file, on forms supplied by the Committee, a written designation of beneficiary who is to receive any shares of Common Stock and cash in respect of any fractional shares of Common Stock, if any, from the Participant's ESPP Share Account under the Plan in the event of such Participant's death. In addition, a Participant may file a written designation of beneficiary who is to receive any cash withheld through payroll deductions and credited to the Participant's notional account in the event of the Participant's death prior to the Purchase Date of an Offering Period. If a Participant dies without an effective designation pursuant to this Section 18 of a beneficiary who is living at the time of the Participant’s death, the Company shall deliver any shares or cash credited to the Participant’s ESPP Share Account to the Participant’s legal representative or as otherwise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45720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30" w:right="339" w:bottom="1440" w:gutter="0" w:footer="0" w:header="0"/>
        </w:sectPr>
      </w:pPr>
    </w:p>
    <w:bookmarkStart w:id="10" w:name="page11"/>
    <w:bookmarkEnd w:id="10"/>
    <w:p>
      <w:pPr>
        <w:ind w:left="503" w:hanging="503"/>
        <w:spacing w:after="0"/>
        <w:tabs>
          <w:tab w:leader="none" w:pos="503"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Adjustments Upon Changes in Capitalization; Dissolution or Liquidation; Corporate Transactions</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1023" w:hanging="509"/>
        <w:spacing w:after="0" w:line="291" w:lineRule="auto"/>
        <w:rPr>
          <w:rFonts w:ascii="Arial" w:cs="Arial" w:eastAsia="Arial" w:hAnsi="Arial"/>
          <w:sz w:val="16"/>
          <w:szCs w:val="16"/>
          <w:color w:val="auto"/>
        </w:rPr>
      </w:pPr>
      <w:r>
        <w:rPr>
          <w:rFonts w:ascii="Arial" w:cs="Arial" w:eastAsia="Arial" w:hAnsi="Arial"/>
          <w:sz w:val="15"/>
          <w:szCs w:val="15"/>
          <w:color w:val="auto"/>
        </w:rPr>
        <w:t xml:space="preserve">19.1. </w:t>
      </w:r>
      <w:r>
        <w:rPr>
          <w:rFonts w:ascii="Arial" w:cs="Arial" w:eastAsia="Arial" w:hAnsi="Arial"/>
          <w:sz w:val="15"/>
          <w:szCs w:val="15"/>
          <w:u w:val="single" w:color="auto"/>
          <w:color w:val="auto"/>
        </w:rPr>
        <w:t>Adjustments</w:t>
      </w:r>
      <w:r>
        <w:rPr>
          <w:rFonts w:ascii="Arial" w:cs="Arial" w:eastAsia="Arial" w:hAnsi="Arial"/>
          <w:sz w:val="15"/>
          <w:szCs w:val="15"/>
          <w:color w:val="auto"/>
        </w:rPr>
        <w:t>. In the event that any dividend or other distribution (whether in the form of cash, Common Stock, or other property), recapitalization, stock split, reverse stock split, reorganization, merger, consolidation, split-up, spin-off, combination, repurchase, or exchange of Common Stock or other securities of the Company, or other change in the Company's structure affecting the Common Stock occurs, then in order to prevent dilution or enlargement of the benefits or potential benefits intended to be made available under the Plan, the Committee will, in such manner as it deems equitable, adjust the number of shares and class of Common Stock that may be delivered under the Plan, the Purchase Price per share and the number of shares of Common Stock covered by each outstanding option under the Plan, and the numerical limits of Section 8 and Section 14.</w:t>
      </w:r>
    </w:p>
    <w:p>
      <w:pPr>
        <w:spacing w:after="0" w:line="68" w:lineRule="exact"/>
        <w:rPr>
          <w:rFonts w:ascii="Arial" w:cs="Arial" w:eastAsia="Arial" w:hAnsi="Arial"/>
          <w:sz w:val="16"/>
          <w:szCs w:val="16"/>
          <w:color w:val="auto"/>
        </w:rPr>
      </w:pPr>
    </w:p>
    <w:p>
      <w:pPr>
        <w:ind w:left="1023" w:hanging="509"/>
        <w:spacing w:after="0" w:line="269" w:lineRule="auto"/>
        <w:rPr>
          <w:rFonts w:ascii="Arial" w:cs="Arial" w:eastAsia="Arial" w:hAnsi="Arial"/>
          <w:sz w:val="16"/>
          <w:szCs w:val="16"/>
          <w:color w:val="auto"/>
        </w:rPr>
      </w:pPr>
      <w:r>
        <w:rPr>
          <w:rFonts w:ascii="Arial" w:cs="Arial" w:eastAsia="Arial" w:hAnsi="Arial"/>
          <w:sz w:val="16"/>
          <w:szCs w:val="16"/>
          <w:color w:val="auto"/>
        </w:rPr>
        <w:t xml:space="preserve">19.2. </w:t>
      </w: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Unless otherwise determined by the Committee, in the event of a proposed dissolution or liquidation of the Company, any Offering Period then in progress will be shortened by setting a new Purchase Date and the Offering Period will end immediately prior to the proposed dissolution or liquidation. The new Purchase Date will be before the date of the Company's proposed dissolution or liquidation. Before the new Purchase Date, the Committee will provide each Participant with written notice, which may be electronic, of the new Purchase Date and that the Participant’s option will be exercised automatically on such date, unless before such time, the Participant has withdrawn from the Offering in accordance with Section 11.</w:t>
      </w:r>
    </w:p>
    <w:p>
      <w:pPr>
        <w:spacing w:after="0" w:line="85" w:lineRule="exact"/>
        <w:rPr>
          <w:rFonts w:ascii="Arial" w:cs="Arial" w:eastAsia="Arial" w:hAnsi="Arial"/>
          <w:sz w:val="16"/>
          <w:szCs w:val="16"/>
          <w:color w:val="auto"/>
        </w:rPr>
      </w:pPr>
    </w:p>
    <w:p>
      <w:pPr>
        <w:ind w:left="1023" w:hanging="509"/>
        <w:spacing w:after="0" w:line="291" w:lineRule="auto"/>
        <w:rPr>
          <w:rFonts w:ascii="Arial" w:cs="Arial" w:eastAsia="Arial" w:hAnsi="Arial"/>
          <w:sz w:val="16"/>
          <w:szCs w:val="16"/>
          <w:color w:val="auto"/>
        </w:rPr>
      </w:pPr>
      <w:r>
        <w:rPr>
          <w:rFonts w:ascii="Arial" w:cs="Arial" w:eastAsia="Arial" w:hAnsi="Arial"/>
          <w:sz w:val="15"/>
          <w:szCs w:val="15"/>
          <w:color w:val="auto"/>
        </w:rPr>
        <w:t xml:space="preserve">19.3. </w:t>
      </w:r>
      <w:r>
        <w:rPr>
          <w:rFonts w:ascii="Arial" w:cs="Arial" w:eastAsia="Arial" w:hAnsi="Arial"/>
          <w:sz w:val="15"/>
          <w:szCs w:val="15"/>
          <w:u w:val="single" w:color="auto"/>
          <w:color w:val="auto"/>
        </w:rPr>
        <w:t>Corporate Transaction</w:t>
      </w:r>
      <w:r>
        <w:rPr>
          <w:rFonts w:ascii="Arial" w:cs="Arial" w:eastAsia="Arial" w:hAnsi="Arial"/>
          <w:sz w:val="15"/>
          <w:szCs w:val="15"/>
          <w:color w:val="auto"/>
        </w:rPr>
        <w:t>. In the event of a Corporate Transaction, each outstanding option will be assumed or an equivalent option substituted by the successor corporation or a parent or Subsidiary of such successor corporation. If the successor corporation refuses to assume or substitute the option, the Offering Period with respect to which the option relates will be shortened by setting a new Purchase Date on which the Offering Period will end. The new Purchase Date will occur before the date of the Corporate Transaction. Prior to the new Purchase Date, the Committee will provide each Participant with written notice, which may be electronic, of the new Purchase Date and that the Participant's option will be exercised automatically on such date, unless before such time, the Participant has withdrawn from the Offering in accordance with Section 11.</w:t>
      </w:r>
    </w:p>
    <w:p>
      <w:pPr>
        <w:spacing w:after="0" w:line="68" w:lineRule="exact"/>
        <w:rPr>
          <w:rFonts w:ascii="Arial" w:cs="Arial" w:eastAsia="Arial" w:hAnsi="Arial"/>
          <w:sz w:val="16"/>
          <w:szCs w:val="16"/>
          <w:color w:val="auto"/>
        </w:rPr>
      </w:pPr>
    </w:p>
    <w:p>
      <w:pPr>
        <w:jc w:val="both"/>
        <w:ind w:left="503" w:hanging="503"/>
        <w:spacing w:after="0" w:line="271" w:lineRule="auto"/>
        <w:tabs>
          <w:tab w:leader="none" w:pos="503"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Return of Plan Account Balance.</w:t>
      </w:r>
      <w:r>
        <w:rPr>
          <w:rFonts w:ascii="Arial" w:cs="Arial" w:eastAsia="Arial" w:hAnsi="Arial"/>
          <w:sz w:val="16"/>
          <w:szCs w:val="16"/>
          <w:color w:val="auto"/>
        </w:rPr>
        <w:t xml:space="preserve"> Any cash balance remaining in a Participant’s ESPP Share Account following any Purchase Date shall be refunded to the Participant as soon as practicable after such Purchase Date. However, if the cash balance to be returned to a Participant pursuant to the preceding sentence is less than the amount that would have been necessary to purchase an additional whole share of Common Stock on such Purchase Date, the Company may retain the cash balance in the Participant’s ESPP Share Account to be applied toward the purchase of shares of Common Stock in the subsequent Purchase Date or Offering Period.</w:t>
      </w:r>
    </w:p>
    <w:p>
      <w:pPr>
        <w:spacing w:after="0" w:line="81" w:lineRule="exact"/>
        <w:rPr>
          <w:rFonts w:ascii="Arial" w:cs="Arial" w:eastAsia="Arial" w:hAnsi="Arial"/>
          <w:sz w:val="16"/>
          <w:szCs w:val="16"/>
          <w:color w:val="auto"/>
        </w:rPr>
      </w:pPr>
    </w:p>
    <w:p>
      <w:pPr>
        <w:jc w:val="both"/>
        <w:ind w:left="503" w:hanging="503"/>
        <w:spacing w:after="0" w:line="310" w:lineRule="auto"/>
        <w:tabs>
          <w:tab w:leader="none" w:pos="503" w:val="left"/>
        </w:tabs>
        <w:numPr>
          <w:ilvl w:val="0"/>
          <w:numId w:val="8"/>
        </w:numPr>
        <w:rPr>
          <w:rFonts w:ascii="Arial" w:cs="Arial" w:eastAsia="Arial" w:hAnsi="Arial"/>
          <w:sz w:val="14"/>
          <w:szCs w:val="14"/>
          <w:color w:val="auto"/>
        </w:rPr>
      </w:pPr>
      <w:r>
        <w:rPr>
          <w:rFonts w:ascii="Arial" w:cs="Arial" w:eastAsia="Arial" w:hAnsi="Arial"/>
          <w:sz w:val="14"/>
          <w:szCs w:val="14"/>
          <w:u w:val="single" w:color="auto"/>
          <w:color w:val="auto"/>
        </w:rPr>
        <w:t>Tax Withholding.</w:t>
      </w:r>
      <w:r>
        <w:rPr>
          <w:rFonts w:ascii="Arial" w:cs="Arial" w:eastAsia="Arial" w:hAnsi="Arial"/>
          <w:sz w:val="14"/>
          <w:szCs w:val="14"/>
          <w:color w:val="auto"/>
        </w:rPr>
        <w:t xml:space="preserve"> At the time a Participant’s Purchase Right is exercised, in whole or in part, or at the time a Participant disposes of some or all of the shares of Common Stock he or she acquires under the Plan, the Participant shall make adequate provision for the federal, state, local and foreign taxes (including social insurance), if any, required to be withheld by any the Company or any Participating Subsidiaries upon exercise of the Purchase Right or upon such disposition of shares, respectively. The Company or any Participating Subsidiaries may, but shall not be obligated to, withhold from the Participant’s compensation the amount necessary to meet such withholding obligations. The Company may require the Participant to give the Company prompt notice of any disposition of shares of Common Stock acquired by exercise of a Purchase Right. The Company may require that until such time as a Participant disposes of shares of Common Stock acquired upon exercise of a Purchase Right, the Participant shall hold all such shares in the Participant’s name until the later of two years after the date of grant of such Purchase Right or one year after the date of exercise of such Purchase Right. The Company may direct that the certificates evidencing shares of Common Stock acquired by exercise of a Purchase Right refer to such requirement to give prompt notice of disposition.</w:t>
      </w:r>
    </w:p>
    <w:p>
      <w:pPr>
        <w:spacing w:after="0" w:line="58" w:lineRule="exact"/>
        <w:rPr>
          <w:rFonts w:ascii="Arial" w:cs="Arial" w:eastAsia="Arial" w:hAnsi="Arial"/>
          <w:sz w:val="14"/>
          <w:szCs w:val="14"/>
          <w:color w:val="auto"/>
        </w:rPr>
      </w:pPr>
    </w:p>
    <w:p>
      <w:pPr>
        <w:ind w:left="503" w:hanging="503"/>
        <w:spacing w:after="0"/>
        <w:tabs>
          <w:tab w:leader="none" w:pos="503"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General Provisions</w:t>
      </w:r>
      <w:r>
        <w:rPr>
          <w:rFonts w:ascii="Arial" w:cs="Arial" w:eastAsia="Arial" w:hAnsi="Arial"/>
          <w:sz w:val="16"/>
          <w:szCs w:val="16"/>
          <w:color w:val="auto"/>
        </w:rPr>
        <w:t>.</w:t>
      </w:r>
    </w:p>
    <w:p>
      <w:pPr>
        <w:spacing w:after="0" w:line="126" w:lineRule="exact"/>
        <w:rPr>
          <w:rFonts w:ascii="Arial" w:cs="Arial" w:eastAsia="Arial" w:hAnsi="Arial"/>
          <w:sz w:val="16"/>
          <w:szCs w:val="16"/>
          <w:color w:val="auto"/>
        </w:rPr>
      </w:pPr>
    </w:p>
    <w:p>
      <w:pPr>
        <w:ind w:left="1023" w:hanging="509"/>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Equal Rights and Privileges</w:t>
      </w:r>
      <w:r>
        <w:rPr>
          <w:rFonts w:ascii="Arial" w:cs="Arial" w:eastAsia="Arial" w:hAnsi="Arial"/>
          <w:sz w:val="16"/>
          <w:szCs w:val="16"/>
          <w:color w:val="auto"/>
        </w:rPr>
        <w:t>. Notwithstanding any provision of the Plan to the contrary and in accordance with Section 423 of the Code, all Eligible Employees who are granted options under the Plan shall have the same rights and privileges.</w:t>
      </w:r>
    </w:p>
    <w:p>
      <w:pPr>
        <w:spacing w:after="0" w:line="63" w:lineRule="exact"/>
        <w:rPr>
          <w:rFonts w:ascii="Arial" w:cs="Arial" w:eastAsia="Arial" w:hAnsi="Arial"/>
          <w:sz w:val="16"/>
          <w:szCs w:val="16"/>
          <w:color w:val="auto"/>
        </w:rPr>
      </w:pPr>
    </w:p>
    <w:p>
      <w:pPr>
        <w:ind w:left="1023" w:hanging="509"/>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No Right to Continued Service</w:t>
      </w:r>
      <w:r>
        <w:rPr>
          <w:rFonts w:ascii="Arial" w:cs="Arial" w:eastAsia="Arial" w:hAnsi="Arial"/>
          <w:sz w:val="16"/>
          <w:szCs w:val="16"/>
          <w:color w:val="auto"/>
        </w:rPr>
        <w:t>. Neither the Plan nor any compensation paid hereunder will confer on any Participant the right to continue as an Employee or in any other capacity.</w:t>
      </w:r>
    </w:p>
    <w:p>
      <w:pPr>
        <w:spacing w:after="0" w:line="63" w:lineRule="exact"/>
        <w:rPr>
          <w:rFonts w:ascii="Arial" w:cs="Arial" w:eastAsia="Arial" w:hAnsi="Arial"/>
          <w:sz w:val="16"/>
          <w:szCs w:val="16"/>
          <w:color w:val="auto"/>
        </w:rPr>
      </w:pPr>
    </w:p>
    <w:p>
      <w:pPr>
        <w:ind w:left="1023" w:hanging="509"/>
        <w:spacing w:after="0" w:line="273" w:lineRule="auto"/>
        <w:rPr>
          <w:rFonts w:ascii="Arial" w:cs="Arial" w:eastAsia="Arial" w:hAnsi="Arial"/>
          <w:sz w:val="16"/>
          <w:szCs w:val="16"/>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Rights as Shareholder</w:t>
      </w:r>
      <w:r>
        <w:rPr>
          <w:rFonts w:ascii="Arial" w:cs="Arial" w:eastAsia="Arial" w:hAnsi="Arial"/>
          <w:sz w:val="16"/>
          <w:szCs w:val="16"/>
          <w:color w:val="auto"/>
        </w:rPr>
        <w:t>. A Participant will become a shareholder with respect to the shares of Common Stock that are purchased pursuant to options granted under the Plan when the shares are transferred to the Participant’s ESPP Share Account. A Participant will have no rights as a shareholder with respect to shares of Common Stock for which an election to participate in an Offering Period has been made until such Participant becomes a shareholder as provided above.</w:t>
      </w:r>
    </w:p>
    <w:p>
      <w:pPr>
        <w:spacing w:after="0" w:line="80" w:lineRule="exact"/>
        <w:rPr>
          <w:rFonts w:ascii="Arial" w:cs="Arial" w:eastAsia="Arial" w:hAnsi="Arial"/>
          <w:sz w:val="16"/>
          <w:szCs w:val="16"/>
          <w:color w:val="auto"/>
        </w:rPr>
      </w:pPr>
    </w:p>
    <w:p>
      <w:pPr>
        <w:ind w:left="503"/>
        <w:spacing w:after="0"/>
        <w:rPr>
          <w:rFonts w:ascii="Arial" w:cs="Arial" w:eastAsia="Arial" w:hAnsi="Arial"/>
          <w:sz w:val="16"/>
          <w:szCs w:val="16"/>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Plan shall be binding on the Company and its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30" w:right="339" w:bottom="1440" w:gutter="0" w:footer="0" w:header="0"/>
        </w:sectPr>
      </w:pPr>
    </w:p>
    <w:bookmarkStart w:id="11" w:name="page12"/>
    <w:bookmarkEnd w:id="11"/>
    <w:p>
      <w:pPr>
        <w:jc w:val="both"/>
        <w:ind w:left="520" w:hanging="508"/>
        <w:spacing w:after="0" w:line="293" w:lineRule="auto"/>
        <w:tabs>
          <w:tab w:leader="none" w:pos="500" w:val="left"/>
        </w:tabs>
        <w:rPr>
          <w:sz w:val="20"/>
          <w:szCs w:val="20"/>
          <w:color w:val="auto"/>
        </w:rPr>
      </w:pPr>
      <w:r>
        <w:rPr>
          <w:rFonts w:ascii="Arial" w:cs="Arial" w:eastAsia="Arial" w:hAnsi="Arial"/>
          <w:sz w:val="16"/>
          <w:szCs w:val="16"/>
          <w:color w:val="auto"/>
        </w:rPr>
        <w:t>22.5.</w:t>
      </w:r>
      <w:r>
        <w:rPr>
          <w:sz w:val="20"/>
          <w:szCs w:val="20"/>
          <w:color w:val="auto"/>
        </w:rPr>
        <w:tab/>
      </w:r>
      <w:r>
        <w:rPr>
          <w:rFonts w:ascii="Arial" w:cs="Arial" w:eastAsia="Arial" w:hAnsi="Arial"/>
          <w:sz w:val="16"/>
          <w:szCs w:val="16"/>
          <w:u w:val="single" w:color="auto"/>
          <w:color w:val="auto"/>
        </w:rPr>
        <w:t>Entire Plan</w:t>
      </w:r>
      <w:r>
        <w:rPr>
          <w:rFonts w:ascii="Arial" w:cs="Arial" w:eastAsia="Arial" w:hAnsi="Arial"/>
          <w:sz w:val="16"/>
          <w:szCs w:val="16"/>
          <w:color w:val="auto"/>
        </w:rPr>
        <w:t>. This Plan constitutes the entire plan with respect to the subject matter hereof and supersedes all prior plans with respect to the subject</w:t>
      </w:r>
      <w:r>
        <w:rPr>
          <w:rFonts w:ascii="Arial" w:cs="Arial" w:eastAsia="Arial" w:hAnsi="Arial"/>
          <w:sz w:val="16"/>
          <w:szCs w:val="16"/>
          <w:u w:val="single" w:color="auto"/>
          <w:color w:val="auto"/>
        </w:rPr>
        <w:t xml:space="preserve"> </w:t>
      </w:r>
      <w:r>
        <w:rPr>
          <w:rFonts w:ascii="Arial" w:cs="Arial" w:eastAsia="Arial" w:hAnsi="Arial"/>
          <w:sz w:val="16"/>
          <w:szCs w:val="16"/>
          <w:color w:val="auto"/>
        </w:rPr>
        <w:t>matter hereof.</w:t>
      </w:r>
    </w:p>
    <w:p>
      <w:pPr>
        <w:spacing w:after="0" w:line="64" w:lineRule="exact"/>
        <w:rPr>
          <w:sz w:val="20"/>
          <w:szCs w:val="20"/>
          <w:color w:val="auto"/>
        </w:rPr>
      </w:pPr>
    </w:p>
    <w:p>
      <w:pPr>
        <w:jc w:val="both"/>
        <w:ind w:left="520" w:hanging="508"/>
        <w:spacing w:after="0" w:line="297" w:lineRule="auto"/>
        <w:tabs>
          <w:tab w:leader="none" w:pos="500" w:val="left"/>
        </w:tabs>
        <w:rPr>
          <w:sz w:val="20"/>
          <w:szCs w:val="20"/>
          <w:color w:val="auto"/>
        </w:rPr>
      </w:pPr>
      <w:r>
        <w:rPr>
          <w:rFonts w:ascii="Arial" w:cs="Arial" w:eastAsia="Arial" w:hAnsi="Arial"/>
          <w:sz w:val="16"/>
          <w:szCs w:val="16"/>
          <w:color w:val="auto"/>
        </w:rPr>
        <w:t>22.6.</w:t>
      </w:r>
      <w:r>
        <w:rPr>
          <w:sz w:val="20"/>
          <w:szCs w:val="20"/>
          <w:color w:val="auto"/>
        </w:rPr>
        <w:tab/>
      </w:r>
      <w:r>
        <w:rPr>
          <w:rFonts w:ascii="Arial" w:cs="Arial" w:eastAsia="Arial" w:hAnsi="Arial"/>
          <w:sz w:val="15"/>
          <w:szCs w:val="15"/>
          <w:u w:val="single" w:color="auto"/>
          <w:color w:val="auto"/>
        </w:rPr>
        <w:t>Compliance with Law</w:t>
      </w:r>
      <w:r>
        <w:rPr>
          <w:rFonts w:ascii="Arial" w:cs="Arial" w:eastAsia="Arial" w:hAnsi="Arial"/>
          <w:sz w:val="15"/>
          <w:szCs w:val="15"/>
          <w:color w:val="auto"/>
        </w:rPr>
        <w:t>. The obligations of the Company with respect to payments under the Plan are subject to compliance with all applicable laws</w:t>
      </w:r>
      <w:r>
        <w:rPr>
          <w:rFonts w:ascii="Arial" w:cs="Arial" w:eastAsia="Arial" w:hAnsi="Arial"/>
          <w:sz w:val="15"/>
          <w:szCs w:val="15"/>
          <w:u w:val="single" w:color="auto"/>
          <w:color w:val="auto"/>
        </w:rPr>
        <w:t xml:space="preserve"> </w:t>
      </w:r>
      <w:r>
        <w:rPr>
          <w:rFonts w:ascii="Arial" w:cs="Arial" w:eastAsia="Arial" w:hAnsi="Arial"/>
          <w:sz w:val="15"/>
          <w:szCs w:val="15"/>
          <w:color w:val="auto"/>
        </w:rPr>
        <w:t>and regulations. Common Stock shall not be issued with respect to an option granted under the Plan unless the exercise of such option and the issuance and delivery of the shares of Common Stock pursuant thereto shall comply with all applicable provisions of law, including, without limitation, the Securities Act, the Exchange Act, and the requirements of any stock exchange upon which the shares may then be listed.</w:t>
      </w:r>
    </w:p>
    <w:p>
      <w:pPr>
        <w:spacing w:after="0" w:line="64" w:lineRule="exact"/>
        <w:rPr>
          <w:sz w:val="20"/>
          <w:szCs w:val="20"/>
          <w:color w:val="auto"/>
        </w:rPr>
      </w:pPr>
    </w:p>
    <w:p>
      <w:pPr>
        <w:jc w:val="both"/>
        <w:ind w:left="520" w:hanging="508"/>
        <w:spacing w:after="0" w:line="278" w:lineRule="auto"/>
        <w:tabs>
          <w:tab w:leader="none" w:pos="500" w:val="left"/>
        </w:tabs>
        <w:rPr>
          <w:sz w:val="20"/>
          <w:szCs w:val="20"/>
          <w:color w:val="auto"/>
        </w:rPr>
      </w:pPr>
      <w:r>
        <w:rPr>
          <w:rFonts w:ascii="Arial" w:cs="Arial" w:eastAsia="Arial" w:hAnsi="Arial"/>
          <w:sz w:val="16"/>
          <w:szCs w:val="16"/>
          <w:color w:val="auto"/>
        </w:rPr>
        <w:t>22.7.</w:t>
      </w:r>
      <w:r>
        <w:rPr>
          <w:sz w:val="20"/>
          <w:szCs w:val="20"/>
          <w:color w:val="auto"/>
        </w:rPr>
        <w:tab/>
      </w:r>
      <w:r>
        <w:rPr>
          <w:rFonts w:ascii="Arial" w:cs="Arial" w:eastAsia="Arial" w:hAnsi="Arial"/>
          <w:sz w:val="16"/>
          <w:szCs w:val="16"/>
          <w:u w:val="single" w:color="auto"/>
          <w:color w:val="auto"/>
        </w:rPr>
        <w:t>Notice of Disqualifying Dispositions</w:t>
      </w:r>
      <w:r>
        <w:rPr>
          <w:rFonts w:ascii="Arial" w:cs="Arial" w:eastAsia="Arial" w:hAnsi="Arial"/>
          <w:sz w:val="16"/>
          <w:szCs w:val="16"/>
          <w:color w:val="auto"/>
        </w:rPr>
        <w:t>. Each Participant shall give the Company prompt written notice of any disposition or other transfer of shares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Common Stock acquired pursuant to the exercise of an option acquired under the Plan, if such disposition or transfer is made within two years after the Offering Date or within one year after the Purchase Date.</w:t>
      </w:r>
    </w:p>
    <w:p>
      <w:pPr>
        <w:spacing w:after="0" w:line="76" w:lineRule="exact"/>
        <w:rPr>
          <w:sz w:val="20"/>
          <w:szCs w:val="20"/>
          <w:color w:val="auto"/>
        </w:rPr>
      </w:pPr>
    </w:p>
    <w:p>
      <w:pPr>
        <w:jc w:val="both"/>
        <w:ind w:left="520" w:hanging="508"/>
        <w:spacing w:after="0" w:line="293" w:lineRule="auto"/>
        <w:tabs>
          <w:tab w:leader="none" w:pos="500" w:val="left"/>
        </w:tabs>
        <w:rPr>
          <w:sz w:val="20"/>
          <w:szCs w:val="20"/>
          <w:color w:val="auto"/>
        </w:rPr>
      </w:pPr>
      <w:r>
        <w:rPr>
          <w:rFonts w:ascii="Arial" w:cs="Arial" w:eastAsia="Arial" w:hAnsi="Arial"/>
          <w:sz w:val="16"/>
          <w:szCs w:val="16"/>
          <w:color w:val="auto"/>
        </w:rPr>
        <w:t>22.8.</w:t>
      </w:r>
      <w:r>
        <w:rPr>
          <w:sz w:val="20"/>
          <w:szCs w:val="20"/>
          <w:color w:val="auto"/>
        </w:rPr>
        <w:tab/>
      </w:r>
      <w:r>
        <w:rPr>
          <w:rFonts w:ascii="Arial" w:cs="Arial" w:eastAsia="Arial" w:hAnsi="Arial"/>
          <w:sz w:val="16"/>
          <w:szCs w:val="16"/>
          <w:u w:val="single" w:color="auto"/>
          <w:color w:val="auto"/>
        </w:rPr>
        <w:t>Term of Plan</w:t>
      </w:r>
      <w:r>
        <w:rPr>
          <w:rFonts w:ascii="Arial" w:cs="Arial" w:eastAsia="Arial" w:hAnsi="Arial"/>
          <w:sz w:val="16"/>
          <w:szCs w:val="16"/>
          <w:color w:val="auto"/>
        </w:rPr>
        <w:t>. The Plan shall become effective on the Effective Date and, unless terminated earlier pursuant to Section 22.9, shall have a term of ten</w:t>
      </w:r>
      <w:r>
        <w:rPr>
          <w:rFonts w:ascii="Arial" w:cs="Arial" w:eastAsia="Arial" w:hAnsi="Arial"/>
          <w:sz w:val="16"/>
          <w:szCs w:val="16"/>
          <w:u w:val="single" w:color="auto"/>
          <w:color w:val="auto"/>
        </w:rPr>
        <w:t xml:space="preserve"> </w:t>
      </w:r>
      <w:r>
        <w:rPr>
          <w:rFonts w:ascii="Arial" w:cs="Arial" w:eastAsia="Arial" w:hAnsi="Arial"/>
          <w:sz w:val="16"/>
          <w:szCs w:val="16"/>
          <w:color w:val="auto"/>
        </w:rPr>
        <w:t>years.</w:t>
      </w:r>
    </w:p>
    <w:p>
      <w:pPr>
        <w:spacing w:after="0" w:line="64" w:lineRule="exact"/>
        <w:rPr>
          <w:sz w:val="20"/>
          <w:szCs w:val="20"/>
          <w:color w:val="auto"/>
        </w:rPr>
      </w:pPr>
    </w:p>
    <w:p>
      <w:pPr>
        <w:jc w:val="both"/>
        <w:ind w:left="520" w:hanging="508"/>
        <w:spacing w:after="0" w:line="291" w:lineRule="auto"/>
        <w:tabs>
          <w:tab w:leader="none" w:pos="500" w:val="left"/>
        </w:tabs>
        <w:rPr>
          <w:sz w:val="20"/>
          <w:szCs w:val="20"/>
          <w:color w:val="auto"/>
        </w:rPr>
      </w:pPr>
      <w:r>
        <w:rPr>
          <w:rFonts w:ascii="Arial" w:cs="Arial" w:eastAsia="Arial" w:hAnsi="Arial"/>
          <w:sz w:val="16"/>
          <w:szCs w:val="16"/>
          <w:color w:val="auto"/>
        </w:rPr>
        <w:t>22.9.</w:t>
      </w:r>
      <w:r>
        <w:rPr>
          <w:sz w:val="20"/>
          <w:szCs w:val="20"/>
          <w:color w:val="auto"/>
        </w:rPr>
        <w:tab/>
      </w:r>
      <w:r>
        <w:rPr>
          <w:rFonts w:ascii="Arial" w:cs="Arial" w:eastAsia="Arial" w:hAnsi="Arial"/>
          <w:sz w:val="15"/>
          <w:szCs w:val="15"/>
          <w:u w:val="single" w:color="auto"/>
          <w:color w:val="auto"/>
        </w:rPr>
        <w:t>Amendment or Termination</w:t>
      </w:r>
      <w:r>
        <w:rPr>
          <w:rFonts w:ascii="Arial" w:cs="Arial" w:eastAsia="Arial" w:hAnsi="Arial"/>
          <w:sz w:val="15"/>
          <w:szCs w:val="15"/>
          <w:color w:val="auto"/>
        </w:rPr>
        <w:t>. The Committee may, in its sole discretion, amend, suspend or terminate the Plan at any time and for any reason. If the</w:t>
      </w:r>
      <w:r>
        <w:rPr>
          <w:rFonts w:ascii="Arial" w:cs="Arial" w:eastAsia="Arial" w:hAnsi="Arial"/>
          <w:sz w:val="15"/>
          <w:szCs w:val="15"/>
          <w:u w:val="single" w:color="auto"/>
          <w:color w:val="auto"/>
        </w:rPr>
        <w:t xml:space="preserve"> </w:t>
      </w:r>
      <w:r>
        <w:rPr>
          <w:rFonts w:ascii="Arial" w:cs="Arial" w:eastAsia="Arial" w:hAnsi="Arial"/>
          <w:sz w:val="15"/>
          <w:szCs w:val="15"/>
          <w:color w:val="auto"/>
        </w:rPr>
        <w:t>Plan is terminated, the Committee may elect to terminate all outstanding Offering Periods either immediately or once shares of Common Stock have been purchased on the next Purchase Date (which may, in the discretion of the Committee, be accelerated) or permit Offering Periods to expire in accordance with their terms (and subject to any adjustment in accordance with Section 19). If any Offering Period is terminated before its scheduled expiration, all amounts that have not been used to purchase shares of Common Stock will be returned to Participants (without interest, except as otherwise required by law) as soon as administratively practicable.</w:t>
      </w:r>
    </w:p>
    <w:p>
      <w:pPr>
        <w:spacing w:after="0" w:line="68" w:lineRule="exact"/>
        <w:rPr>
          <w:sz w:val="20"/>
          <w:szCs w:val="20"/>
          <w:color w:val="auto"/>
        </w:rPr>
      </w:pPr>
    </w:p>
    <w:p>
      <w:pPr>
        <w:jc w:val="both"/>
        <w:ind w:left="520" w:hanging="508"/>
        <w:spacing w:after="0" w:line="293" w:lineRule="auto"/>
        <w:rPr>
          <w:sz w:val="20"/>
          <w:szCs w:val="20"/>
          <w:color w:val="auto"/>
        </w:rPr>
      </w:pPr>
      <w:r>
        <w:rPr>
          <w:rFonts w:ascii="Arial" w:cs="Arial" w:eastAsia="Arial" w:hAnsi="Arial"/>
          <w:sz w:val="16"/>
          <w:szCs w:val="16"/>
          <w:color w:val="auto"/>
        </w:rPr>
        <w:t xml:space="preserve">22.10. </w:t>
      </w:r>
      <w:r>
        <w:rPr>
          <w:rFonts w:ascii="Arial" w:cs="Arial" w:eastAsia="Arial" w:hAnsi="Arial"/>
          <w:sz w:val="16"/>
          <w:szCs w:val="16"/>
          <w:u w:val="single" w:color="auto"/>
          <w:color w:val="auto"/>
        </w:rPr>
        <w:t>Applicable Law</w:t>
      </w:r>
      <w:r>
        <w:rPr>
          <w:rFonts w:ascii="Arial" w:cs="Arial" w:eastAsia="Arial" w:hAnsi="Arial"/>
          <w:sz w:val="16"/>
          <w:szCs w:val="16"/>
          <w:color w:val="auto"/>
        </w:rPr>
        <w:t>. The laws of the State of Delaware shall govern all questions concerning the construction, validity and interpretation of the Plan, without regard to such state's conflict of law rules.</w:t>
      </w:r>
    </w:p>
    <w:p>
      <w:pPr>
        <w:spacing w:after="0" w:line="64" w:lineRule="exact"/>
        <w:rPr>
          <w:sz w:val="20"/>
          <w:szCs w:val="20"/>
          <w:color w:val="auto"/>
        </w:rPr>
      </w:pPr>
    </w:p>
    <w:p>
      <w:pPr>
        <w:jc w:val="both"/>
        <w:ind w:left="520" w:hanging="508"/>
        <w:spacing w:after="0" w:line="293" w:lineRule="auto"/>
        <w:rPr>
          <w:sz w:val="20"/>
          <w:szCs w:val="20"/>
          <w:color w:val="auto"/>
        </w:rPr>
      </w:pPr>
      <w:r>
        <w:rPr>
          <w:rFonts w:ascii="Arial" w:cs="Arial" w:eastAsia="Arial" w:hAnsi="Arial"/>
          <w:sz w:val="16"/>
          <w:szCs w:val="16"/>
          <w:color w:val="auto"/>
        </w:rPr>
        <w:t xml:space="preserve">22.11. </w:t>
      </w:r>
      <w:r>
        <w:rPr>
          <w:rFonts w:ascii="Arial" w:cs="Arial" w:eastAsia="Arial" w:hAnsi="Arial"/>
          <w:sz w:val="16"/>
          <w:szCs w:val="16"/>
          <w:u w:val="single" w:color="auto"/>
          <w:color w:val="auto"/>
        </w:rPr>
        <w:t>Shareholder Approval</w:t>
      </w:r>
      <w:r>
        <w:rPr>
          <w:rFonts w:ascii="Arial" w:cs="Arial" w:eastAsia="Arial" w:hAnsi="Arial"/>
          <w:sz w:val="16"/>
          <w:szCs w:val="16"/>
          <w:color w:val="auto"/>
        </w:rPr>
        <w:t>. The Plan shall be subject to approval by the shareholders of the Company within twelve (12) months before or after the date the Plan is adopted by the Board.</w:t>
      </w:r>
    </w:p>
    <w:p>
      <w:pPr>
        <w:spacing w:after="0" w:line="64" w:lineRule="exact"/>
        <w:rPr>
          <w:sz w:val="20"/>
          <w:szCs w:val="20"/>
          <w:color w:val="auto"/>
        </w:rPr>
      </w:pPr>
    </w:p>
    <w:p>
      <w:pPr>
        <w:jc w:val="both"/>
        <w:ind w:left="520" w:hanging="508"/>
        <w:spacing w:after="0" w:line="293" w:lineRule="auto"/>
        <w:rPr>
          <w:sz w:val="20"/>
          <w:szCs w:val="20"/>
          <w:color w:val="auto"/>
        </w:rPr>
      </w:pPr>
      <w:r>
        <w:rPr>
          <w:rFonts w:ascii="Arial" w:cs="Arial" w:eastAsia="Arial" w:hAnsi="Arial"/>
          <w:sz w:val="16"/>
          <w:szCs w:val="16"/>
          <w:color w:val="auto"/>
        </w:rPr>
        <w:t xml:space="preserve">22.12. </w:t>
      </w:r>
      <w:r>
        <w:rPr>
          <w:rFonts w:ascii="Arial" w:cs="Arial" w:eastAsia="Arial" w:hAnsi="Arial"/>
          <w:sz w:val="16"/>
          <w:szCs w:val="16"/>
          <w:u w:val="single" w:color="auto"/>
          <w:color w:val="auto"/>
        </w:rPr>
        <w:t>Section 423</w:t>
      </w:r>
      <w:r>
        <w:rPr>
          <w:rFonts w:ascii="Arial" w:cs="Arial" w:eastAsia="Arial" w:hAnsi="Arial"/>
          <w:sz w:val="16"/>
          <w:szCs w:val="16"/>
          <w:color w:val="auto"/>
        </w:rPr>
        <w:t>. The Plan is intended to qualify as an "employee stock purchase plan" under Section 423 of the Code. Any provision of the Plan that is inconsistent with Section 423 of the Code shall be reformed to comply with Section 423 of the Code.</w:t>
      </w:r>
    </w:p>
    <w:p>
      <w:pPr>
        <w:spacing w:after="0" w:line="64" w:lineRule="exact"/>
        <w:rPr>
          <w:sz w:val="20"/>
          <w:szCs w:val="20"/>
          <w:color w:val="auto"/>
        </w:rPr>
      </w:pPr>
    </w:p>
    <w:p>
      <w:pPr>
        <w:jc w:val="both"/>
        <w:ind w:left="520" w:hanging="508"/>
        <w:spacing w:after="0" w:line="293" w:lineRule="auto"/>
        <w:rPr>
          <w:sz w:val="20"/>
          <w:szCs w:val="20"/>
          <w:color w:val="auto"/>
        </w:rPr>
      </w:pPr>
      <w:r>
        <w:rPr>
          <w:rFonts w:ascii="Arial" w:cs="Arial" w:eastAsia="Arial" w:hAnsi="Arial"/>
          <w:sz w:val="16"/>
          <w:szCs w:val="16"/>
          <w:color w:val="auto"/>
        </w:rPr>
        <w:t xml:space="preserve">22.13. </w:t>
      </w:r>
      <w:r>
        <w:rPr>
          <w:rFonts w:ascii="Arial" w:cs="Arial" w:eastAsia="Arial" w:hAnsi="Arial"/>
          <w:sz w:val="16"/>
          <w:szCs w:val="16"/>
          <w:u w:val="single" w:color="auto"/>
          <w:color w:val="auto"/>
        </w:rPr>
        <w:t>Withholding</w:t>
      </w:r>
      <w:r>
        <w:rPr>
          <w:rFonts w:ascii="Arial" w:cs="Arial" w:eastAsia="Arial" w:hAnsi="Arial"/>
          <w:sz w:val="16"/>
          <w:szCs w:val="16"/>
          <w:color w:val="auto"/>
        </w:rPr>
        <w:t>. To the extent required by applicable Federal, state or local law, a Participant must make arrangements satisfactory to the Company for the payment of any withholding or similar tax obligations that arise in connection with the Plan.</w:t>
      </w:r>
    </w:p>
    <w:p>
      <w:pPr>
        <w:spacing w:after="0" w:line="64" w:lineRule="exact"/>
        <w:rPr>
          <w:sz w:val="20"/>
          <w:szCs w:val="20"/>
          <w:color w:val="auto"/>
        </w:rPr>
      </w:pPr>
    </w:p>
    <w:p>
      <w:pPr>
        <w:jc w:val="both"/>
        <w:ind w:left="520" w:hanging="508"/>
        <w:spacing w:after="0" w:line="293" w:lineRule="auto"/>
        <w:rPr>
          <w:sz w:val="20"/>
          <w:szCs w:val="20"/>
          <w:color w:val="auto"/>
        </w:rPr>
      </w:pPr>
      <w:r>
        <w:rPr>
          <w:rFonts w:ascii="Arial" w:cs="Arial" w:eastAsia="Arial" w:hAnsi="Arial"/>
          <w:sz w:val="16"/>
          <w:szCs w:val="16"/>
          <w:color w:val="auto"/>
        </w:rPr>
        <w:t xml:space="preserve">22.14.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the Plan shall for any reason be held to be invalid or unenforceable, such invalidity or unenforceability shall not affect any other provision hereof, and the Plan shall be construed as if such invalid or unenforceable provision were omitted.</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22.15.  </w:t>
      </w:r>
      <w:r>
        <w:rPr>
          <w:rFonts w:ascii="Arial" w:cs="Arial" w:eastAsia="Arial" w:hAnsi="Arial"/>
          <w:sz w:val="14"/>
          <w:szCs w:val="14"/>
          <w:u w:val="single" w:color="auto"/>
          <w:color w:val="auto"/>
        </w:rPr>
        <w:t>Headings</w:t>
      </w:r>
      <w:r>
        <w:rPr>
          <w:rFonts w:ascii="Arial" w:cs="Arial" w:eastAsia="Arial" w:hAnsi="Arial"/>
          <w:sz w:val="14"/>
          <w:szCs w:val="14"/>
          <w:color w:val="auto"/>
        </w:rPr>
        <w:t>. The headings of sections herein are included solely for convenience and shall not affect the meaning of any of the provisions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636905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1340" w:top="130"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4"/>
    </w:lvl>
  </w:abstractNum>
  <w:abstractNum w:abstractNumId="3">
    <w:nsid w:val="507ED7AB"/>
    <w:multiLevelType w:val="hybridMultilevel"/>
    <w:lvl w:ilvl="0">
      <w:lvlJc w:val="left"/>
      <w:lvlText w:val="%1"/>
      <w:numFmt w:val="decimal"/>
      <w:start w:val="1"/>
    </w:lvl>
    <w:lvl w:ilvl="1">
      <w:lvlJc w:val="left"/>
      <w:lvlText w:val="(%2)"/>
      <w:numFmt w:val="lowerLetter"/>
      <w:start w:val="2"/>
    </w:lvl>
  </w:abstractNum>
  <w:abstractNum w:abstractNumId="4">
    <w:nsid w:val="2EB141F2"/>
    <w:multiLevelType w:val="hybridMultilevel"/>
    <w:lvl w:ilvl="0">
      <w:lvlJc w:val="left"/>
      <w:lvlText w:val="%1."/>
      <w:numFmt w:val="decimal"/>
      <w:start w:val="5"/>
    </w:lvl>
    <w:lvl w:ilvl="1">
      <w:lvlJc w:val="left"/>
      <w:lvlText w:val="%2"/>
      <w:numFmt w:val="lowerLetter"/>
      <w:start w:val="1"/>
    </w:lvl>
  </w:abstractNum>
  <w:abstractNum w:abstractNumId="5">
    <w:nsid w:val="41B71EFB"/>
    <w:multiLevelType w:val="hybridMultilevel"/>
    <w:lvl w:ilvl="0">
      <w:lvlJc w:val="left"/>
      <w:lvlText w:val="%1."/>
      <w:numFmt w:val="decimal"/>
      <w:start w:val="8"/>
    </w:lvl>
  </w:abstractNum>
  <w:abstractNum w:abstractNumId="6">
    <w:nsid w:val="79E2A9E3"/>
    <w:multiLevelType w:val="hybridMultilevel"/>
    <w:lvl w:ilvl="0">
      <w:lvlJc w:val="left"/>
      <w:lvlText w:val="%1."/>
      <w:numFmt w:val="decimal"/>
      <w:start w:val="12"/>
    </w:lvl>
  </w:abstractNum>
  <w:abstractNum w:abstractNumId="7">
    <w:nsid w:val="7545E146"/>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2023-06-08T16:14:17Z</dcterms:created>
  <dcterms:modified xsi:type="dcterms:W3CDTF">2023-06-08T16:14:17Z</dcterms:modified>
</cp:coreProperties>
</file>