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23,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Axsome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900" w:type="dxa"/>
        <w:tblCellMar>
          <w:top w:w="0" w:type="dxa"/>
          <w:left w:w="0" w:type="dxa"/>
          <w:bottom w:w="0" w:type="dxa"/>
          <w:right w:w="0" w:type="dxa"/>
        </w:tblCellMar>
      </w:tblPr>
      <w:tr>
        <w:trPr>
          <w:trHeight w:val="222"/>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2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001-37635</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45-4241907</w:t>
            </w:r>
          </w:p>
        </w:tc>
      </w:tr>
      <w:tr>
        <w:trPr>
          <w:trHeight w:val="149"/>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120" w:type="dxa"/>
            <w:vAlign w:val="bottom"/>
          </w:tcPr>
          <w:p>
            <w:pPr>
              <w:jc w:val="center"/>
              <w:ind w:right="38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12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8"/>
                <w:szCs w:val="18"/>
                <w:b w:val="1"/>
                <w:bCs w:val="1"/>
                <w:color w:val="auto"/>
                <w:w w:val="99"/>
              </w:rPr>
              <w:t>One World Trade Center, 29th Floor</w:t>
            </w:r>
          </w:p>
        </w:tc>
        <w:tc>
          <w:tcPr>
            <w:tcW w:w="31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400" w:type="dxa"/>
            <w:vAlign w:val="bottom"/>
          </w:tcPr>
          <w:p>
            <w:pPr>
              <w:jc w:val="center"/>
              <w:ind w:right="501"/>
              <w:spacing w:after="0"/>
              <w:rPr>
                <w:sz w:val="20"/>
                <w:szCs w:val="20"/>
                <w:color w:val="auto"/>
              </w:rPr>
            </w:pPr>
            <w:r>
              <w:rPr>
                <w:rFonts w:ascii="Times New Roman" w:cs="Times New Roman" w:eastAsia="Times New Roman" w:hAnsi="Times New Roman"/>
                <w:sz w:val="18"/>
                <w:szCs w:val="18"/>
                <w:b w:val="1"/>
                <w:bCs w:val="1"/>
                <w:color w:val="auto"/>
                <w:w w:val="99"/>
              </w:rPr>
              <w:t>New York, New York</w:t>
            </w:r>
          </w:p>
        </w:tc>
        <w:tc>
          <w:tcPr>
            <w:tcW w:w="312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10007</w:t>
            </w:r>
          </w:p>
        </w:tc>
      </w:tr>
      <w:tr>
        <w:trPr>
          <w:trHeight w:val="178"/>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12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19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332-3241</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AXSM</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On February 23, 2026, Axsome Therapeutics, Inc. (the “Company”) issued a press release announcing its financial results for the three months and fiscal year ended December 31, 2025 and provided an update on the Company’s operations. The Company is furnishing a copy of the press release, which is attached hereto as Exhibit 99.1.</w:t>
      </w:r>
    </w:p>
    <w:p>
      <w:pPr>
        <w:spacing w:after="0" w:line="176"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included in Item 2.02 of this Current Report on Form 8-K (including Exhibit 99.1 hereto), shall not be deemed “filed” for the purposes of Section 18 of the Securities Exchange Act of 1934, as amended (the “Exchange Act”), or otherwise subject to the liabilities of that section, nor shall it be deemed incorporated by reference into any filing made by the Company under the Exchange Act or Securities Act of 1933, as amended, except as shall be expressly set forth by specific reference in such a filing.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820" w:type="dxa"/>
            <w:vAlign w:val="bottom"/>
          </w:tcPr>
          <w:p>
            <w:pPr>
              <w:spacing w:after="0"/>
              <w:rPr>
                <w:sz w:val="16"/>
                <w:szCs w:val="16"/>
                <w:color w:val="auto"/>
              </w:rPr>
            </w:pPr>
          </w:p>
        </w:tc>
        <w:tc>
          <w:tcPr>
            <w:tcW w:w="7020" w:type="dxa"/>
            <w:vAlign w:val="bottom"/>
          </w:tcPr>
          <w:p>
            <w:pPr>
              <w:ind w:left="17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99"/>
        </w:trPr>
        <w:tc>
          <w:tcPr>
            <w:tcW w:w="1400" w:type="dxa"/>
            <w:vAlign w:val="bottom"/>
          </w:tcPr>
          <w:p>
            <w:pPr>
              <w:ind w:left="20"/>
              <w:spacing w:after="0" w:line="199" w:lineRule="exact"/>
              <w:rPr>
                <w:sz w:val="20"/>
                <w:szCs w:val="20"/>
                <w:color w:val="auto"/>
              </w:rPr>
            </w:pPr>
            <w:r>
              <w:rPr>
                <w:rFonts w:ascii="Times New Roman" w:cs="Times New Roman" w:eastAsia="Times New Roman" w:hAnsi="Times New Roman"/>
                <w:sz w:val="18"/>
                <w:szCs w:val="18"/>
                <w:color w:val="auto"/>
              </w:rPr>
              <w:t>99.1</w:t>
            </w:r>
          </w:p>
        </w:tc>
        <w:tc>
          <w:tcPr>
            <w:tcW w:w="9840" w:type="dxa"/>
            <w:vAlign w:val="bottom"/>
            <w:gridSpan w:val="2"/>
          </w:tcPr>
          <w:p>
            <w:pPr>
              <w:spacing w:after="0" w:line="199" w:lineRule="exact"/>
              <w:rPr>
                <w:sz w:val="20"/>
                <w:szCs w:val="20"/>
                <w:color w:val="auto"/>
              </w:rPr>
            </w:pPr>
            <w:r>
              <w:rPr>
                <w:rFonts w:ascii="Times New Roman" w:cs="Times New Roman" w:eastAsia="Times New Roman" w:hAnsi="Times New Roman"/>
                <w:sz w:val="18"/>
                <w:szCs w:val="18"/>
                <w:color w:val="0000FF"/>
              </w:rPr>
              <w:t>Press Release dated February 23, 2026.</w:t>
            </w:r>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2820" w:type="dxa"/>
            <w:vAlign w:val="bottom"/>
            <w:tcBorders>
              <w:right w:val="single" w:sz="8" w:color="0000EE"/>
            </w:tcBorders>
            <w:shd w:val="clear" w:color="auto" w:fill="0000FF"/>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r>
      <w:tr>
        <w:trPr>
          <w:trHeight w:val="237"/>
        </w:trPr>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9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79"/>
        </w:trPr>
        <w:tc>
          <w:tcPr>
            <w:tcW w:w="140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7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Axsome Therapeutics, Inc.</w:t>
            </w:r>
          </w:p>
        </w:tc>
      </w:tr>
      <w:tr>
        <w:trPr>
          <w:trHeight w:val="59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February 23, 2026</w:t>
            </w:r>
          </w:p>
        </w:tc>
        <w:tc>
          <w:tcPr>
            <w:tcW w:w="24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Herriot Tabuteau, M.D.</w:t>
            </w:r>
          </w:p>
        </w:tc>
      </w:tr>
      <w:tr>
        <w:trPr>
          <w:trHeight w:val="191"/>
        </w:trPr>
        <w:tc>
          <w:tcPr>
            <w:tcW w:w="54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2480" w:type="dxa"/>
            <w:vAlign w:val="bottom"/>
          </w:tcPr>
          <w:p>
            <w:pPr>
              <w:ind w:left="18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Herriot Tabuteau, M.D.</w:t>
            </w:r>
          </w:p>
        </w:tc>
      </w:tr>
      <w:tr>
        <w:trPr>
          <w:trHeight w:val="248"/>
        </w:trPr>
        <w:tc>
          <w:tcPr>
            <w:tcW w:w="54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24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1141"/>
        </w:trPr>
        <w:tc>
          <w:tcPr>
            <w:tcW w:w="54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spacing w:after="0" w:line="1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865505" cy="4883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865505" cy="48831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6"/>
          <w:szCs w:val="16"/>
          <w:b w:val="1"/>
          <w:bCs w:val="1"/>
          <w:color w:val="auto"/>
        </w:rPr>
        <w:t>Exhibit 99.1</w:t>
      </w:r>
    </w:p>
    <w:p>
      <w:pPr>
        <w:spacing w:after="0" w:line="378"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Axsome Therapeutics Reports Fourth Quarter and Full Year 2025 Financial Results and Provides Business Update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4Q and full year 2025 net product revenue of $196.0 million and $638.5 million, respectively, representing 65% and 66% year-over-year</w:t>
      </w:r>
    </w:p>
    <w:p>
      <w:pPr>
        <w:spacing w:after="0" w:line="12" w:lineRule="exact"/>
        <w:rPr>
          <w:sz w:val="20"/>
          <w:szCs w:val="20"/>
          <w:color w:val="auto"/>
        </w:rPr>
      </w:pPr>
    </w:p>
    <w:p>
      <w:pPr>
        <w:ind w:left="5360"/>
        <w:spacing w:after="0"/>
        <w:rPr>
          <w:sz w:val="20"/>
          <w:szCs w:val="20"/>
          <w:color w:val="auto"/>
        </w:rPr>
      </w:pPr>
      <w:r>
        <w:rPr>
          <w:rFonts w:ascii="Arial" w:cs="Arial" w:eastAsia="Arial" w:hAnsi="Arial"/>
          <w:sz w:val="18"/>
          <w:szCs w:val="18"/>
          <w:i w:val="1"/>
          <w:iCs w:val="1"/>
          <w:color w:val="auto"/>
        </w:rPr>
        <w:t>growth</w:t>
      </w:r>
    </w:p>
    <w:p>
      <w:pPr>
        <w:spacing w:after="0" w:line="123"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AUVELITY</w:t>
      </w:r>
      <w:r>
        <w:rPr>
          <w:rFonts w:ascii="Arial" w:cs="Arial" w:eastAsia="Arial" w:hAnsi="Arial"/>
          <w:sz w:val="23"/>
          <w:szCs w:val="23"/>
          <w:i w:val="1"/>
          <w:iCs w:val="1"/>
          <w:color w:val="auto"/>
          <w:vertAlign w:val="superscript"/>
        </w:rPr>
        <w:t>®</w:t>
      </w:r>
      <w:r>
        <w:rPr>
          <w:rFonts w:ascii="Arial" w:cs="Arial" w:eastAsia="Arial" w:hAnsi="Arial"/>
          <w:sz w:val="17"/>
          <w:szCs w:val="17"/>
          <w:i w:val="1"/>
          <w:iCs w:val="1"/>
          <w:color w:val="auto"/>
        </w:rPr>
        <w:t xml:space="preserve"> 4Q and full year 2025 net product sales of $155.1 million and $507.1 million, respectively, representing 68% and 74% year-over-</w:t>
      </w:r>
    </w:p>
    <w:p>
      <w:pPr>
        <w:ind w:left="5160"/>
        <w:spacing w:after="0"/>
        <w:rPr>
          <w:sz w:val="20"/>
          <w:szCs w:val="20"/>
          <w:color w:val="auto"/>
        </w:rPr>
      </w:pPr>
      <w:r>
        <w:rPr>
          <w:rFonts w:ascii="Arial" w:cs="Arial" w:eastAsia="Arial" w:hAnsi="Arial"/>
          <w:sz w:val="18"/>
          <w:szCs w:val="18"/>
          <w:i w:val="1"/>
          <w:iCs w:val="1"/>
          <w:color w:val="auto"/>
        </w:rPr>
        <w:t>year growth</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SUNOSI</w:t>
      </w:r>
      <w:r>
        <w:rPr>
          <w:rFonts w:ascii="Arial" w:cs="Arial" w:eastAsia="Arial" w:hAnsi="Arial"/>
          <w:sz w:val="24"/>
          <w:szCs w:val="24"/>
          <w:i w:val="1"/>
          <w:iCs w:val="1"/>
          <w:color w:val="auto"/>
          <w:vertAlign w:val="superscript"/>
        </w:rPr>
        <w:t>®</w:t>
      </w:r>
      <w:r>
        <w:rPr>
          <w:rFonts w:ascii="Arial" w:cs="Arial" w:eastAsia="Arial" w:hAnsi="Arial"/>
          <w:sz w:val="18"/>
          <w:szCs w:val="18"/>
          <w:i w:val="1"/>
          <w:iCs w:val="1"/>
          <w:color w:val="auto"/>
        </w:rPr>
        <w:t xml:space="preserve"> 4Q and full year 2025 net product revenue of $36.7 million and $124.8 million, respectively, representing 40% and 32% year-over-</w:t>
      </w:r>
    </w:p>
    <w:p>
      <w:pPr>
        <w:ind w:left="5160"/>
        <w:spacing w:after="0"/>
        <w:rPr>
          <w:sz w:val="20"/>
          <w:szCs w:val="20"/>
          <w:color w:val="auto"/>
        </w:rPr>
      </w:pPr>
      <w:r>
        <w:rPr>
          <w:rFonts w:ascii="Arial" w:cs="Arial" w:eastAsia="Arial" w:hAnsi="Arial"/>
          <w:sz w:val="18"/>
          <w:szCs w:val="18"/>
          <w:i w:val="1"/>
          <w:iCs w:val="1"/>
          <w:color w:val="auto"/>
        </w:rPr>
        <w:t>year growth</w:t>
      </w:r>
    </w:p>
    <w:p>
      <w:pPr>
        <w:spacing w:after="0" w:line="174" w:lineRule="exact"/>
        <w:rPr>
          <w:sz w:val="20"/>
          <w:szCs w:val="20"/>
          <w:color w:val="auto"/>
        </w:rPr>
      </w:pPr>
    </w:p>
    <w:p>
      <w:pPr>
        <w:ind w:left="1720"/>
        <w:spacing w:after="0"/>
        <w:rPr>
          <w:sz w:val="20"/>
          <w:szCs w:val="20"/>
          <w:color w:val="auto"/>
        </w:rPr>
      </w:pPr>
      <w:r>
        <w:rPr>
          <w:rFonts w:ascii="Arial" w:cs="Arial" w:eastAsia="Arial" w:hAnsi="Arial"/>
          <w:sz w:val="18"/>
          <w:szCs w:val="18"/>
          <w:i w:val="1"/>
          <w:iCs w:val="1"/>
          <w:color w:val="auto"/>
        </w:rPr>
        <w:t>SYMBRAVO</w:t>
      </w:r>
      <w:r>
        <w:rPr>
          <w:rFonts w:ascii="Arial" w:cs="Arial" w:eastAsia="Arial" w:hAnsi="Arial"/>
          <w:sz w:val="24"/>
          <w:szCs w:val="24"/>
          <w:i w:val="1"/>
          <w:iCs w:val="1"/>
          <w:color w:val="auto"/>
          <w:vertAlign w:val="superscript"/>
        </w:rPr>
        <w:t>®</w:t>
      </w:r>
      <w:r>
        <w:rPr>
          <w:rFonts w:ascii="Arial" w:cs="Arial" w:eastAsia="Arial" w:hAnsi="Arial"/>
          <w:sz w:val="18"/>
          <w:szCs w:val="18"/>
          <w:i w:val="1"/>
          <w:iCs w:val="1"/>
          <w:color w:val="auto"/>
        </w:rPr>
        <w:t xml:space="preserve"> 4Q and full year 2025 net product sales of $4.1 million and $6.6 million, respectively</w:t>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auto"/>
        </w:rPr>
        <w:t>sNDA for AXS-05 for the treatment of Alzheimer’s disease agitation granted Priority Review with PDUFA target action date of April 30, 2026</w:t>
      </w:r>
    </w:p>
    <w:p>
      <w:pPr>
        <w:spacing w:after="0" w:line="108" w:lineRule="exact"/>
        <w:rPr>
          <w:sz w:val="20"/>
          <w:szCs w:val="20"/>
          <w:color w:val="auto"/>
        </w:rPr>
      </w:pPr>
    </w:p>
    <w:p>
      <w:pPr>
        <w:ind w:left="2420"/>
        <w:spacing w:after="0"/>
        <w:rPr>
          <w:sz w:val="20"/>
          <w:szCs w:val="20"/>
          <w:color w:val="auto"/>
        </w:rPr>
      </w:pPr>
      <w:r>
        <w:rPr>
          <w:rFonts w:ascii="Arial" w:cs="Arial" w:eastAsia="Arial" w:hAnsi="Arial"/>
          <w:sz w:val="18"/>
          <w:szCs w:val="18"/>
          <w:i w:val="1"/>
          <w:iCs w:val="1"/>
          <w:color w:val="auto"/>
        </w:rPr>
        <w:t>Acquired AXS-17, a novel oral GABA</w:t>
      </w:r>
      <w:r>
        <w:rPr>
          <w:rFonts w:ascii="Arial" w:cs="Arial" w:eastAsia="Arial" w:hAnsi="Arial"/>
          <w:sz w:val="24"/>
          <w:szCs w:val="24"/>
          <w:i w:val="1"/>
          <w:iCs w:val="1"/>
          <w:color w:val="auto"/>
          <w:vertAlign w:val="subscript"/>
        </w:rPr>
        <w:t>A</w:t>
      </w:r>
      <w:r>
        <w:rPr>
          <w:rFonts w:ascii="Arial" w:cs="Arial" w:eastAsia="Arial" w:hAnsi="Arial"/>
          <w:sz w:val="18"/>
          <w:szCs w:val="18"/>
          <w:i w:val="1"/>
          <w:iCs w:val="1"/>
          <w:color w:val="auto"/>
        </w:rPr>
        <w:t xml:space="preserve"> α2,3 receptor positive allosteric modulator</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Company to host conference call today at 8:00 AM Eastern</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NEW YORK, February 23, 2026 (Globe Newswire) – Axsome Therapeutics, Inc. (NASDAQ: AXSM), a biopharmaceutical company leading a new era in the treatment of central nervous system (CNS) disorders, today announced financial results for the fourth quarter and full year 2025 and provided a general business update.</w:t>
      </w:r>
    </w:p>
    <w:p>
      <w:pPr>
        <w:spacing w:after="0" w:line="12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fourth quarter and full year 2025 results demonstrate strong commercial momentum across our marketed products, and advancement and expansion of our innovative CNS pipeline, which now includes five differentiated product candidates,” said Herriot Tabuteau, MD, Chief Executive Officer of Axsome Therapeutics. “2026 promises to be another eventful year for Axsome with continued commercial execution, and multiple regulatory and clinical milestones including potential FDA action on our sNDA for AXS-05 in Alzheimer’s disease agitation, NDA filing for AXS-12 in narcolepsy, and clinical trial progress across our development portfolio.”</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and Full Year 2025 Financial Highlights</w:t>
      </w:r>
    </w:p>
    <w:p>
      <w:pPr>
        <w:spacing w:after="0" w:line="171" w:lineRule="exact"/>
        <w:rPr>
          <w:sz w:val="20"/>
          <w:szCs w:val="20"/>
          <w:color w:val="auto"/>
        </w:rPr>
      </w:pPr>
    </w:p>
    <w:p>
      <w:pPr>
        <w:jc w:val="both"/>
        <w:ind w:left="380" w:hanging="372"/>
        <w:spacing w:after="0" w:line="241" w:lineRule="auto"/>
        <w:tabs>
          <w:tab w:leader="none" w:pos="38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Total net product revenue was $196.0 million for the fourth quarter 2025 and $638.5 million for the full year 2025, representing 65% and 66% year-over-year growth. Total net product revenue for the comparable periods in 2024 were $118.8 million and $385.7 million, respectively. The increase was driven by strong growth of AUVELITY and SUNOSI, and contributions from the recent launch of</w:t>
      </w:r>
    </w:p>
    <w:p>
      <w:pPr>
        <w:spacing w:after="0" w:line="1"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Arial" w:cs="Arial" w:eastAsia="Arial" w:hAnsi="Arial"/>
          <w:sz w:val="18"/>
          <w:szCs w:val="18"/>
          <w:color w:val="auto"/>
        </w:rPr>
        <w:t>SYMBRAVO.</w:t>
      </w:r>
    </w:p>
    <w:p>
      <w:pPr>
        <w:spacing w:after="0" w:line="153" w:lineRule="exact"/>
        <w:rPr>
          <w:rFonts w:ascii="Times New Roman" w:cs="Times New Roman" w:eastAsia="Times New Roman" w:hAnsi="Times New Roman"/>
          <w:sz w:val="18"/>
          <w:szCs w:val="18"/>
          <w:color w:val="auto"/>
        </w:rPr>
      </w:pPr>
    </w:p>
    <w:p>
      <w:pPr>
        <w:jc w:val="both"/>
        <w:ind w:left="380" w:hanging="372"/>
        <w:spacing w:after="0" w:line="252" w:lineRule="auto"/>
        <w:tabs>
          <w:tab w:leader="none" w:pos="38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AUVELITY net product sales were $155.1 million for the fourth quarter 2025 and $507.1 million for the full year 2025, representing 68% and 74% year-over-year growth, in the third full year of commercial launch. AUVELITY net product sales for the comparable periods in 2024 were $92.6 million and $291.4 million, respectively.</w:t>
      </w:r>
    </w:p>
    <w:p>
      <w:pPr>
        <w:spacing w:after="0" w:line="143" w:lineRule="exact"/>
        <w:rPr>
          <w:rFonts w:ascii="Times New Roman" w:cs="Times New Roman" w:eastAsia="Times New Roman" w:hAnsi="Times New Roman"/>
          <w:sz w:val="18"/>
          <w:szCs w:val="18"/>
          <w:color w:val="auto"/>
        </w:rPr>
      </w:pPr>
    </w:p>
    <w:p>
      <w:pPr>
        <w:jc w:val="both"/>
        <w:ind w:left="380" w:hanging="372"/>
        <w:spacing w:after="0" w:line="243" w:lineRule="auto"/>
        <w:tabs>
          <w:tab w:leader="none" w:pos="38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SUNOSI net product revenue was $36.7 million for the fourth quarter 2025 and $124.8 million for the full year 2025, representing 40% and 32% year-over-year growth. SUNOSI revenue for the fourth quarter consisted of $35.4 million in net product sales and $1.3 million in royalty revenue from sales in out-licensed territories. SUNOSI revenue for the year consisted of $120.1 million in net product sales and $4.7 million in royalty revenue from sales in out-licensed territories. SUNOSI net product revenues for the comparable periods in 2024 were $26.2 million and $94.3 million, respectively, which consisted of $24.7 million and $90.3 million in net product sales.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SYMBRAVO net product sales were $4.1 million for the fourth quarter 2025 and $6.6 million for the full year 2025.</w:t>
      </w:r>
    </w:p>
    <w:p>
      <w:pPr>
        <w:spacing w:after="0" w:line="183" w:lineRule="exact"/>
        <w:rPr>
          <w:rFonts w:ascii="Times New Roman" w:cs="Times New Roman" w:eastAsia="Times New Roman" w:hAnsi="Times New Roman"/>
          <w:sz w:val="18"/>
          <w:szCs w:val="18"/>
          <w:color w:val="auto"/>
        </w:rPr>
      </w:pPr>
    </w:p>
    <w:p>
      <w:pPr>
        <w:ind w:left="380" w:hanging="372"/>
        <w:spacing w:after="0" w:line="270" w:lineRule="auto"/>
        <w:tabs>
          <w:tab w:leader="none" w:pos="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Total cost of revenue was $12.3 million for the fourth quarter 2025 and $47.5 million for the full year 2025, compared to $10.5 million and $33.3 million for the fourth quarter and full year 2024.</w:t>
      </w:r>
    </w:p>
    <w:p>
      <w:pPr>
        <w:spacing w:after="0" w:line="127" w:lineRule="exact"/>
        <w:rPr>
          <w:rFonts w:ascii="Times New Roman" w:cs="Times New Roman" w:eastAsia="Times New Roman" w:hAnsi="Times New Roman"/>
          <w:sz w:val="18"/>
          <w:szCs w:val="18"/>
          <w:color w:val="auto"/>
        </w:rPr>
      </w:pPr>
    </w:p>
    <w:p>
      <w:pPr>
        <w:jc w:val="both"/>
        <w:ind w:left="380" w:hanging="372"/>
        <w:spacing w:after="0" w:line="246" w:lineRule="auto"/>
        <w:tabs>
          <w:tab w:leader="none" w:pos="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Research and development (R&amp;D) expenses were $48.8 million for the fourth quarter 2025 and $183.3 million for the full year 2025, compared to $55.0 million and $187.1 million for the fourth quarter and full year 2024. The decrease for the year primarily reflects the completion of clinical trials for AXS-05 in Alzheimer’s disease agitation and for solriamfetol in ADHD and MDD, partially offset by one-time acquisition-related expenses and higher costs related to AXS-07.</w:t>
      </w:r>
    </w:p>
    <w:p>
      <w:pPr>
        <w:spacing w:after="0" w:line="136" w:lineRule="exact"/>
        <w:rPr>
          <w:rFonts w:ascii="Times New Roman" w:cs="Times New Roman" w:eastAsia="Times New Roman" w:hAnsi="Times New Roman"/>
          <w:sz w:val="18"/>
          <w:szCs w:val="18"/>
          <w:color w:val="auto"/>
        </w:rPr>
      </w:pPr>
    </w:p>
    <w:p>
      <w:pPr>
        <w:jc w:val="both"/>
        <w:ind w:left="380" w:hanging="372"/>
        <w:spacing w:after="0" w:line="246" w:lineRule="auto"/>
        <w:tabs>
          <w:tab w:leader="none" w:pos="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Selling, general, and administrative (SG&amp;A) expenses were $169.3 million for the fourth quarter 2025 and $570.6 million for the full year 2025, compared to $113.3 million and $411.4 million for the fourth quarter and full year 2024. The increase for the year primarily reflects commercialization activities for AUVELITY, including the sales force expansion and the national launch of our direct-to-consumer advertising campaign, and the commercial launch of SYMBRAVO.</w:t>
      </w:r>
    </w:p>
    <w:p>
      <w:pPr>
        <w:spacing w:after="0" w:line="136" w:lineRule="exact"/>
        <w:rPr>
          <w:rFonts w:ascii="Times New Roman" w:cs="Times New Roman" w:eastAsia="Times New Roman" w:hAnsi="Times New Roman"/>
          <w:sz w:val="18"/>
          <w:szCs w:val="18"/>
          <w:color w:val="auto"/>
        </w:rPr>
      </w:pPr>
    </w:p>
    <w:p>
      <w:pPr>
        <w:jc w:val="both"/>
        <w:ind w:left="380" w:hanging="372"/>
        <w:spacing w:after="0" w:line="243" w:lineRule="auto"/>
        <w:tabs>
          <w:tab w:leader="none" w:pos="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Net loss was $28.6 million, or $(0.56) per share, for the fourth quarter 2025 and $183.2 million, or $(3.68) per share, for the full year 2025, compared to a net loss of $74.9 million, or $(1.54) per share, for the fourth quarter 2024 and $287.2 million, or $(5.99) per share, for the full year 2024. Net loss for the fourth quarter 2025 includes $22.7 million in stock-based compensation expense compared to $22.0 million in stock-based compensation expense for the fourth quarter 2024. Net loss for the full year 2025 includes $93.8 million in stock-based compensation expense, compared to $85.2 million in stock-based compensation expense for the full year 2024.</w:t>
      </w:r>
    </w:p>
    <w:p>
      <w:pPr>
        <w:spacing w:after="0" w:line="152"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Cash and cash equivalents totaled $322.9 million at December 31, 2025, compared to $315.4 million at December 31, 2024.</w:t>
      </w:r>
    </w:p>
    <w:p>
      <w:pPr>
        <w:spacing w:after="0" w:line="18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Shares of common stock outstanding were 50,882,766 at December 31, 2025.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Guidance</w:t>
      </w:r>
    </w:p>
    <w:p>
      <w:pPr>
        <w:spacing w:after="0" w:line="185" w:lineRule="exact"/>
        <w:rPr>
          <w:sz w:val="20"/>
          <w:szCs w:val="20"/>
          <w:color w:val="auto"/>
        </w:rPr>
      </w:pPr>
    </w:p>
    <w:p>
      <w:pPr>
        <w:ind w:left="380" w:hanging="372"/>
        <w:spacing w:after="0" w:line="270" w:lineRule="auto"/>
        <w:tabs>
          <w:tab w:leader="none" w:pos="38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Axsome believes that its current cash is sufficient to fund anticipated operations into cash flow positivity, based on the current operating plan.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Highlights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AUVELITY</w:t>
      </w:r>
    </w:p>
    <w:p>
      <w:pPr>
        <w:spacing w:after="0" w:line="183"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AUVELITY is the first and only rapid-acting oral NMDA receptor antagonist and sigma-1 receptor agonist approved in the U.S. for the treatment of major depressive disorder.</w:t>
      </w:r>
    </w:p>
    <w:p>
      <w:pPr>
        <w:spacing w:after="0" w:line="113" w:lineRule="exact"/>
        <w:rPr>
          <w:sz w:val="20"/>
          <w:szCs w:val="20"/>
          <w:color w:val="auto"/>
        </w:rPr>
      </w:pPr>
    </w:p>
    <w:p>
      <w:pPr>
        <w:ind w:left="380" w:right="20" w:hanging="372"/>
        <w:spacing w:after="0" w:line="270" w:lineRule="auto"/>
        <w:tabs>
          <w:tab w:leader="none" w:pos="3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Approximately 225,000 prescriptions were written for AUVELITY in the fourth quarter, a 42% increase compared to the fourth quarter of 2024, and an 8% increase compared to the third quarter of 2025.</w:t>
      </w:r>
    </w:p>
    <w:p>
      <w:pPr>
        <w:spacing w:after="0" w:line="113" w:lineRule="exact"/>
        <w:rPr>
          <w:rFonts w:ascii="Times New Roman" w:cs="Times New Roman" w:eastAsia="Times New Roman" w:hAnsi="Times New Roman"/>
          <w:sz w:val="18"/>
          <w:szCs w:val="18"/>
          <w:color w:val="auto"/>
        </w:rPr>
      </w:pPr>
    </w:p>
    <w:p>
      <w:pPr>
        <w:ind w:left="380" w:hanging="372"/>
        <w:spacing w:after="0" w:line="270" w:lineRule="auto"/>
        <w:tabs>
          <w:tab w:leader="none" w:pos="3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Payer coverage for AUVELITY across all channels is currently at approximately 86% of all lives. The proportion of lives covered in the commercial and government (Medicare and Medicaid) channels are approximately 78% and 100%, respectively.</w:t>
      </w:r>
    </w:p>
    <w:p>
      <w:pPr>
        <w:spacing w:after="0" w:line="127" w:lineRule="exact"/>
        <w:rPr>
          <w:rFonts w:ascii="Times New Roman" w:cs="Times New Roman" w:eastAsia="Times New Roman" w:hAnsi="Times New Roman"/>
          <w:sz w:val="18"/>
          <w:szCs w:val="18"/>
          <w:color w:val="auto"/>
        </w:rPr>
      </w:pPr>
    </w:p>
    <w:p>
      <w:pPr>
        <w:jc w:val="both"/>
        <w:ind w:left="380" w:hanging="372"/>
        <w:spacing w:after="0" w:line="252" w:lineRule="auto"/>
        <w:tabs>
          <w:tab w:leader="none" w:pos="3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In response to strong and growing demand in MDD and to support the potential approval and launch of AUVELITY in Alzheimer’s disease agitation, Axsome recently initiated an expansion of the AUVELITY sales force to approximately 600 sales representatives. The expansion is expected to complete in the second quarter of 2026.</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t>SUNOSI</w:t>
      </w:r>
    </w:p>
    <w:p>
      <w:pPr>
        <w:spacing w:after="0" w:line="16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SUNOSI is the first and only DNRI approved for the treatment of excessive daytime sleepiness associated with obstructive sleep apnea or narcolepsy.</w:t>
      </w:r>
    </w:p>
    <w:p>
      <w:pPr>
        <w:spacing w:after="0" w:line="127" w:lineRule="exact"/>
        <w:rPr>
          <w:sz w:val="20"/>
          <w:szCs w:val="20"/>
          <w:color w:val="auto"/>
        </w:rPr>
      </w:pPr>
    </w:p>
    <w:p>
      <w:pPr>
        <w:ind w:left="380" w:hanging="372"/>
        <w:spacing w:after="0" w:line="270" w:lineRule="auto"/>
        <w:tabs>
          <w:tab w:leader="none" w:pos="3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Approximately 54,000 prescriptions were written for SUNOSI in the U.S. in the fourth quarter, an 11% increase compared to the fourth quarter of 2024, and a 3% increase compared to the third quarter of 2025.</w:t>
      </w:r>
    </w:p>
    <w:p>
      <w:pPr>
        <w:spacing w:after="0" w:line="113" w:lineRule="exact"/>
        <w:rPr>
          <w:rFonts w:ascii="Times New Roman" w:cs="Times New Roman" w:eastAsia="Times New Roman" w:hAnsi="Times New Roman"/>
          <w:sz w:val="18"/>
          <w:szCs w:val="18"/>
          <w:color w:val="auto"/>
        </w:rPr>
      </w:pPr>
    </w:p>
    <w:p>
      <w:pPr>
        <w:ind w:left="380" w:right="20" w:hanging="372"/>
        <w:spacing w:after="0" w:line="270" w:lineRule="auto"/>
        <w:tabs>
          <w:tab w:leader="none" w:pos="3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Payer coverage for SUNOSI across all channels is currently at approximately 82% of all lives. The proportion of lives covered in the commercial and government channels are approximately 96% and 60%,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SYMBRAVO</w:t>
      </w:r>
    </w:p>
    <w:p>
      <w:pPr>
        <w:spacing w:after="0" w:line="119" w:lineRule="exact"/>
        <w:rPr>
          <w:sz w:val="20"/>
          <w:szCs w:val="20"/>
          <w:color w:val="auto"/>
        </w:rPr>
      </w:pPr>
    </w:p>
    <w:p>
      <w:pPr>
        <w:spacing w:after="0" w:line="296" w:lineRule="auto"/>
        <w:rPr>
          <w:sz w:val="20"/>
          <w:szCs w:val="20"/>
          <w:color w:val="auto"/>
        </w:rPr>
      </w:pPr>
      <w:r>
        <w:rPr>
          <w:rFonts w:ascii="Arial" w:cs="Arial" w:eastAsia="Arial" w:hAnsi="Arial"/>
          <w:sz w:val="18"/>
          <w:szCs w:val="18"/>
          <w:color w:val="auto"/>
        </w:rPr>
        <w:t>SYMBRAVO is an oral, rapidly absorbed, multi-mechanistic, COX-2 preferential inhibitor and 5-HT</w:t>
      </w:r>
      <w:r>
        <w:rPr>
          <w:rFonts w:ascii="Arial" w:cs="Arial" w:eastAsia="Arial" w:hAnsi="Arial"/>
          <w:sz w:val="24"/>
          <w:szCs w:val="24"/>
          <w:color w:val="auto"/>
          <w:vertAlign w:val="subscript"/>
        </w:rPr>
        <w:t>1B/1D</w:t>
      </w:r>
      <w:r>
        <w:rPr>
          <w:rFonts w:ascii="Arial" w:cs="Arial" w:eastAsia="Arial" w:hAnsi="Arial"/>
          <w:sz w:val="18"/>
          <w:szCs w:val="18"/>
          <w:color w:val="auto"/>
        </w:rPr>
        <w:t xml:space="preserve"> agonist approved in the U.S. for the acute treatment of migraine with or without aura in adults.</w:t>
      </w:r>
    </w:p>
    <w:p>
      <w:pPr>
        <w:spacing w:after="0" w:line="75" w:lineRule="exact"/>
        <w:rPr>
          <w:sz w:val="20"/>
          <w:szCs w:val="20"/>
          <w:color w:val="auto"/>
        </w:rPr>
      </w:pPr>
    </w:p>
    <w:p>
      <w:pPr>
        <w:ind w:left="380" w:hanging="372"/>
        <w:spacing w:after="0" w:line="270" w:lineRule="auto"/>
        <w:tabs>
          <w:tab w:leader="none" w:pos="38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Approximately 13,000 prescriptions were written for SYMBRAVO in the fourth quarter of 2025, representing a 147% increase compared to the third quarter of 2025.</w:t>
      </w:r>
    </w:p>
    <w:p>
      <w:pPr>
        <w:spacing w:after="0" w:line="113" w:lineRule="exact"/>
        <w:rPr>
          <w:rFonts w:ascii="Times New Roman" w:cs="Times New Roman" w:eastAsia="Times New Roman" w:hAnsi="Times New Roman"/>
          <w:sz w:val="18"/>
          <w:szCs w:val="18"/>
          <w:color w:val="auto"/>
        </w:rPr>
      </w:pPr>
    </w:p>
    <w:p>
      <w:pPr>
        <w:ind w:left="380" w:hanging="372"/>
        <w:spacing w:after="0" w:line="270" w:lineRule="auto"/>
        <w:tabs>
          <w:tab w:leader="none" w:pos="38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Payer coverage for SYMBRAVO across all channels is currently at approximately 52% of all lives. The proportion of lives covered in the commercial and government channels are approximately 49% and 57%,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Pipeline</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Axsome is advancing an industry-leading neuroscience pipeline of multiple, innovative, patent-protected product candidates addressing serious psychiatric and neurological conditions. Recent and anticipated progress for key pipeline programs is summarized below.</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AXS-05</w:t>
      </w:r>
    </w:p>
    <w:p>
      <w:pPr>
        <w:spacing w:after="0" w:line="183"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AXS-05 (dextromethorphan-bupropion) is Axsome’s novel, oral, investigational N-methyl-D-aspartate (NMDA) receptor antagonist, sigma-1 agonist, and aminoketone CYP2D6 inhibitor being developed for the treatment of Alzheimer’s disease (AD) agitation and smoking cessation.</w:t>
      </w:r>
    </w:p>
    <w:p>
      <w:pPr>
        <w:spacing w:after="0" w:line="113" w:lineRule="exact"/>
        <w:rPr>
          <w:sz w:val="20"/>
          <w:szCs w:val="20"/>
          <w:color w:val="auto"/>
        </w:rPr>
      </w:pPr>
    </w:p>
    <w:p>
      <w:pPr>
        <w:jc w:val="both"/>
        <w:ind w:left="380" w:hanging="372"/>
        <w:spacing w:after="0" w:line="252" w:lineRule="auto"/>
        <w:tabs>
          <w:tab w:leader="none" w:pos="38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Alzheimer’s Disease Agitation: </w:t>
      </w:r>
      <w:r>
        <w:rPr>
          <w:rFonts w:ascii="Arial" w:cs="Arial" w:eastAsia="Arial" w:hAnsi="Arial"/>
          <w:sz w:val="18"/>
          <w:szCs w:val="18"/>
          <w:color w:val="auto"/>
        </w:rPr>
        <w:t>Axsome’s sNDA for AXS-05 for the treatment of Alzheimer’s disease agitation was accepted for filing</w:t>
      </w:r>
      <w:r>
        <w:rPr>
          <w:rFonts w:ascii="Arial" w:cs="Arial" w:eastAsia="Arial" w:hAnsi="Arial"/>
          <w:sz w:val="18"/>
          <w:szCs w:val="18"/>
          <w:b w:val="1"/>
          <w:bCs w:val="1"/>
          <w:color w:val="auto"/>
        </w:rPr>
        <w:t xml:space="preserve"> </w:t>
      </w:r>
      <w:r>
        <w:rPr>
          <w:rFonts w:ascii="Arial" w:cs="Arial" w:eastAsia="Arial" w:hAnsi="Arial"/>
          <w:sz w:val="18"/>
          <w:szCs w:val="18"/>
          <w:color w:val="auto"/>
        </w:rPr>
        <w:t>and granted Priority Review designation by the U.S. Food and Drug Administration (FDA) with a Prescription Drug User Fee Act (PDUFA) target action date of April 30, 2026. AXS-05 was previously granted FDA Breakthrough Therapy designation for AD agitation.</w:t>
      </w:r>
    </w:p>
    <w:p>
      <w:pPr>
        <w:spacing w:after="0" w:line="130"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Smoking Cessation: </w:t>
      </w:r>
      <w:r>
        <w:rPr>
          <w:rFonts w:ascii="Arial" w:cs="Arial" w:eastAsia="Arial" w:hAnsi="Arial"/>
          <w:sz w:val="18"/>
          <w:szCs w:val="18"/>
          <w:color w:val="auto"/>
        </w:rPr>
        <w:t>Axsome plans to initiate a pivotal Phase 2/3 trial of AXS-05 in smoking cessation in the second quarter of 2026.</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Solriamfetol</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Solriamfetol is Axsome’s dopamine and norepinephrine reuptake inhibitor (DNRI), TAAR1 agonist, and 5-HT</w:t>
      </w:r>
      <w:r>
        <w:rPr>
          <w:rFonts w:ascii="Arial" w:cs="Arial" w:eastAsia="Arial" w:hAnsi="Arial"/>
          <w:sz w:val="24"/>
          <w:szCs w:val="24"/>
          <w:color w:val="auto"/>
          <w:vertAlign w:val="subscript"/>
        </w:rPr>
        <w:t>1A</w:t>
      </w:r>
      <w:r>
        <w:rPr>
          <w:rFonts w:ascii="Arial" w:cs="Arial" w:eastAsia="Arial" w:hAnsi="Arial"/>
          <w:sz w:val="18"/>
          <w:szCs w:val="18"/>
          <w:color w:val="auto"/>
        </w:rPr>
        <w:t xml:space="preserve"> agonist being developed for</w:t>
      </w:r>
    </w:p>
    <w:p>
      <w:pPr>
        <w:spacing w:after="0" w:line="35"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the treatment of attention deficit hyperactivity disorder (ADHD), major depressive disorder (MDD) with excessive daytime sleepiness (EDS) symptoms, binge eating disorder (BED), and excessive sleepiness associated with shift work disorder (SWD).</w:t>
      </w:r>
    </w:p>
    <w:p>
      <w:pPr>
        <w:spacing w:after="0" w:line="131" w:lineRule="exact"/>
        <w:rPr>
          <w:sz w:val="20"/>
          <w:szCs w:val="20"/>
          <w:color w:val="auto"/>
        </w:rPr>
      </w:pPr>
    </w:p>
    <w:p>
      <w:pPr>
        <w:ind w:left="380" w:right="20" w:hanging="372"/>
        <w:spacing w:after="0" w:line="270" w:lineRule="auto"/>
        <w:tabs>
          <w:tab w:leader="none" w:pos="38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Attention Deficit Hyperactivity Disorder: </w:t>
      </w:r>
      <w:r>
        <w:rPr>
          <w:rFonts w:ascii="Arial" w:cs="Arial" w:eastAsia="Arial" w:hAnsi="Arial"/>
          <w:sz w:val="18"/>
          <w:szCs w:val="18"/>
          <w:color w:val="auto"/>
        </w:rPr>
        <w:t>Axsome plans to conduct two pediatric Phase 3 trials of solriamfetol, one in children and one</w:t>
      </w:r>
      <w:r>
        <w:rPr>
          <w:rFonts w:ascii="Arial" w:cs="Arial" w:eastAsia="Arial" w:hAnsi="Arial"/>
          <w:sz w:val="18"/>
          <w:szCs w:val="18"/>
          <w:b w:val="1"/>
          <w:bCs w:val="1"/>
          <w:color w:val="auto"/>
        </w:rPr>
        <w:t xml:space="preserve"> </w:t>
      </w:r>
      <w:r>
        <w:rPr>
          <w:rFonts w:ascii="Arial" w:cs="Arial" w:eastAsia="Arial" w:hAnsi="Arial"/>
          <w:sz w:val="18"/>
          <w:szCs w:val="18"/>
          <w:color w:val="auto"/>
        </w:rPr>
        <w:t>in adolescents, following a recent Type B meeting with the FDA. The Company plans to initiate both trials in the first half of 2026.</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9" w:right="339" w:bottom="1440" w:gutter="0" w:footer="0" w:header="0"/>
        </w:sectPr>
      </w:pPr>
    </w:p>
    <w:bookmarkStart w:id="6" w:name="page7"/>
    <w:bookmarkEnd w:id="6"/>
    <w:p>
      <w:pPr>
        <w:ind w:left="380" w:hanging="372"/>
        <w:spacing w:after="0" w:line="270" w:lineRule="auto"/>
        <w:tabs>
          <w:tab w:leader="none" w:pos="38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Major Depressive Disorder with Excessive Daytime Sleepiness symptoms: </w:t>
      </w:r>
      <w:r>
        <w:rPr>
          <w:rFonts w:ascii="Arial" w:cs="Arial" w:eastAsia="Arial" w:hAnsi="Arial"/>
          <w:sz w:val="18"/>
          <w:szCs w:val="18"/>
          <w:color w:val="auto"/>
        </w:rPr>
        <w:t>Axsome is on track to initiate a Phase 3 trial of</w:t>
      </w:r>
      <w:r>
        <w:rPr>
          <w:rFonts w:ascii="Arial" w:cs="Arial" w:eastAsia="Arial" w:hAnsi="Arial"/>
          <w:sz w:val="18"/>
          <w:szCs w:val="18"/>
          <w:b w:val="1"/>
          <w:bCs w:val="1"/>
          <w:color w:val="auto"/>
        </w:rPr>
        <w:t xml:space="preserve"> </w:t>
      </w:r>
      <w:r>
        <w:rPr>
          <w:rFonts w:ascii="Arial" w:cs="Arial" w:eastAsia="Arial" w:hAnsi="Arial"/>
          <w:sz w:val="18"/>
          <w:szCs w:val="18"/>
          <w:color w:val="auto"/>
        </w:rPr>
        <w:t>solriamfetol in MDD patients with EDS symptoms in the first quarter of 2026.</w:t>
      </w:r>
    </w:p>
    <w:p>
      <w:pPr>
        <w:spacing w:after="0" w:line="113" w:lineRule="exact"/>
        <w:rPr>
          <w:rFonts w:ascii="Times New Roman" w:cs="Times New Roman" w:eastAsia="Times New Roman" w:hAnsi="Times New Roman"/>
          <w:sz w:val="18"/>
          <w:szCs w:val="18"/>
          <w:color w:val="auto"/>
        </w:rPr>
      </w:pPr>
    </w:p>
    <w:p>
      <w:pPr>
        <w:jc w:val="both"/>
        <w:ind w:left="380" w:hanging="372"/>
        <w:spacing w:after="0" w:line="252" w:lineRule="auto"/>
        <w:tabs>
          <w:tab w:leader="none" w:pos="38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Binge Eating Disorder: </w:t>
      </w:r>
      <w:r>
        <w:rPr>
          <w:rFonts w:ascii="Arial" w:cs="Arial" w:eastAsia="Arial" w:hAnsi="Arial"/>
          <w:sz w:val="18"/>
          <w:szCs w:val="18"/>
          <w:color w:val="auto"/>
        </w:rPr>
        <w:t>Axsome is conducting the ENGAGE study, a Phase 3, randomized, double-blind, placebo-controlled,</w:t>
      </w:r>
      <w:r>
        <w:rPr>
          <w:rFonts w:ascii="Arial" w:cs="Arial" w:eastAsia="Arial" w:hAnsi="Arial"/>
          <w:sz w:val="18"/>
          <w:szCs w:val="18"/>
          <w:b w:val="1"/>
          <w:bCs w:val="1"/>
          <w:color w:val="auto"/>
        </w:rPr>
        <w:t xml:space="preserve"> </w:t>
      </w:r>
      <w:r>
        <w:rPr>
          <w:rFonts w:ascii="Arial" w:cs="Arial" w:eastAsia="Arial" w:hAnsi="Arial"/>
          <w:sz w:val="18"/>
          <w:szCs w:val="18"/>
          <w:color w:val="auto"/>
        </w:rPr>
        <w:t>multicenter trial evaluating the efficacy and safety of solriamfetol in BED. The Company anticipates topline results from the ENGAGE Phase 3 trial in the second half of 2026.</w:t>
      </w:r>
    </w:p>
    <w:p>
      <w:pPr>
        <w:spacing w:after="0" w:line="143" w:lineRule="exact"/>
        <w:rPr>
          <w:rFonts w:ascii="Times New Roman" w:cs="Times New Roman" w:eastAsia="Times New Roman" w:hAnsi="Times New Roman"/>
          <w:sz w:val="18"/>
          <w:szCs w:val="18"/>
          <w:color w:val="auto"/>
        </w:rPr>
      </w:pPr>
    </w:p>
    <w:p>
      <w:pPr>
        <w:jc w:val="both"/>
        <w:ind w:left="380" w:hanging="372"/>
        <w:spacing w:after="0" w:line="252" w:lineRule="auto"/>
        <w:tabs>
          <w:tab w:leader="none" w:pos="38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Shift Work Disorder: </w:t>
      </w:r>
      <w:r>
        <w:rPr>
          <w:rFonts w:ascii="Arial" w:cs="Arial" w:eastAsia="Arial" w:hAnsi="Arial"/>
          <w:sz w:val="18"/>
          <w:szCs w:val="18"/>
          <w:color w:val="auto"/>
        </w:rPr>
        <w:t>Axsome is conducting the SUSTAIN study, a Phase 3, randomized, double-blind, placebo-controlled, multicenter</w:t>
      </w:r>
      <w:r>
        <w:rPr>
          <w:rFonts w:ascii="Arial" w:cs="Arial" w:eastAsia="Arial" w:hAnsi="Arial"/>
          <w:sz w:val="18"/>
          <w:szCs w:val="18"/>
          <w:b w:val="1"/>
          <w:bCs w:val="1"/>
          <w:color w:val="auto"/>
        </w:rPr>
        <w:t xml:space="preserve"> </w:t>
      </w:r>
      <w:r>
        <w:rPr>
          <w:rFonts w:ascii="Arial" w:cs="Arial" w:eastAsia="Arial" w:hAnsi="Arial"/>
          <w:sz w:val="18"/>
          <w:szCs w:val="18"/>
          <w:color w:val="auto"/>
        </w:rPr>
        <w:t>trial evaluating the efficacy and safety of solriamfetol in SWD in adults. Based on current enrollment trends, the Company anticipates topline results from the SUSTAIN Phase 3 trial in 2027.</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AXS-12</w:t>
      </w:r>
    </w:p>
    <w:p>
      <w:pPr>
        <w:spacing w:after="0" w:line="16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AXS-12 (reboxetine) is Axsome’s novel, oral, investigational, highly selective and potent norepinephrine reuptake inhibitor and cortical dopamine modulator being developed for the treatment of narcolepsy.</w:t>
      </w:r>
    </w:p>
    <w:p>
      <w:pPr>
        <w:spacing w:after="0" w:line="127" w:lineRule="exact"/>
        <w:rPr>
          <w:sz w:val="20"/>
          <w:szCs w:val="20"/>
          <w:color w:val="auto"/>
        </w:rPr>
      </w:pPr>
    </w:p>
    <w:p>
      <w:pPr>
        <w:jc w:val="both"/>
        <w:ind w:left="380" w:hanging="372"/>
        <w:spacing w:after="0" w:line="252" w:lineRule="auto"/>
        <w:tabs>
          <w:tab w:leader="none" w:pos="38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Narcolepsy: </w:t>
      </w:r>
      <w:r>
        <w:rPr>
          <w:rFonts w:ascii="Arial" w:cs="Arial" w:eastAsia="Arial" w:hAnsi="Arial"/>
          <w:sz w:val="18"/>
          <w:szCs w:val="18"/>
          <w:color w:val="auto"/>
        </w:rPr>
        <w:t>In December 2025, Axsome received formal pre-NDA meeting minutes from the FDA supporting an NDA submission for</w:t>
      </w:r>
      <w:r>
        <w:rPr>
          <w:rFonts w:ascii="Arial" w:cs="Arial" w:eastAsia="Arial" w:hAnsi="Arial"/>
          <w:sz w:val="18"/>
          <w:szCs w:val="18"/>
          <w:b w:val="1"/>
          <w:bCs w:val="1"/>
          <w:color w:val="auto"/>
        </w:rPr>
        <w:t xml:space="preserve"> </w:t>
      </w:r>
      <w:r>
        <w:rPr>
          <w:rFonts w:ascii="Arial" w:cs="Arial" w:eastAsia="Arial" w:hAnsi="Arial"/>
          <w:sz w:val="18"/>
          <w:szCs w:val="18"/>
          <w:color w:val="auto"/>
        </w:rPr>
        <w:t>AXS-12 in narcolepsy. The Company is on track to submit the NDA this quarter. AXS-12 has been granted FDA Orphan Drug designation for narcolepsy.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AXS-14</w:t>
      </w:r>
    </w:p>
    <w:p>
      <w:pPr>
        <w:spacing w:after="0" w:line="16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AXS-14 (esreboxetine) is Axsome’s novel, oral, investigational, highly selective and potent norepinephrine reuptake inhibitor being developed for the management of fibromyalgia. Esreboxetine is the SS-enantiomer of reboxetine.</w:t>
      </w:r>
    </w:p>
    <w:p>
      <w:pPr>
        <w:spacing w:after="0" w:line="127" w:lineRule="exact"/>
        <w:rPr>
          <w:sz w:val="20"/>
          <w:szCs w:val="20"/>
          <w:color w:val="auto"/>
        </w:rPr>
      </w:pPr>
    </w:p>
    <w:p>
      <w:pPr>
        <w:jc w:val="both"/>
        <w:ind w:left="380" w:hanging="372"/>
        <w:spacing w:after="0" w:line="252" w:lineRule="auto"/>
        <w:tabs>
          <w:tab w:leader="none" w:pos="3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Fibromyalgia: </w:t>
      </w:r>
      <w:r>
        <w:rPr>
          <w:rFonts w:ascii="Arial" w:cs="Arial" w:eastAsia="Arial" w:hAnsi="Arial"/>
          <w:sz w:val="18"/>
          <w:szCs w:val="18"/>
          <w:color w:val="auto"/>
        </w:rPr>
        <w:t>In January 2026, Axsome initiated the FORWARD study, a Phase 3, double-blind, placebo-controlled, randomized</w:t>
      </w:r>
      <w:r>
        <w:rPr>
          <w:rFonts w:ascii="Arial" w:cs="Arial" w:eastAsia="Arial" w:hAnsi="Arial"/>
          <w:sz w:val="18"/>
          <w:szCs w:val="18"/>
          <w:b w:val="1"/>
          <w:bCs w:val="1"/>
          <w:color w:val="auto"/>
        </w:rPr>
        <w:t xml:space="preserve"> </w:t>
      </w:r>
      <w:r>
        <w:rPr>
          <w:rFonts w:ascii="Arial" w:cs="Arial" w:eastAsia="Arial" w:hAnsi="Arial"/>
          <w:sz w:val="18"/>
          <w:szCs w:val="18"/>
          <w:color w:val="auto"/>
        </w:rPr>
        <w:t>withdrawal trial evaluating the efficacy and safety of AXS-14 for the management of fibromyalgia. This trial will complement the previously completed parallel-group Phase 2 and Phase 3 trials, both of which met their primary endpoints.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AXS-17</w:t>
      </w:r>
    </w:p>
    <w:p>
      <w:pPr>
        <w:spacing w:after="0" w:line="106" w:lineRule="exact"/>
        <w:rPr>
          <w:sz w:val="20"/>
          <w:szCs w:val="20"/>
          <w:color w:val="auto"/>
        </w:rPr>
      </w:pPr>
    </w:p>
    <w:p>
      <w:pPr>
        <w:spacing w:after="0" w:line="296" w:lineRule="auto"/>
        <w:rPr>
          <w:sz w:val="20"/>
          <w:szCs w:val="20"/>
          <w:color w:val="auto"/>
        </w:rPr>
      </w:pPr>
      <w:r>
        <w:rPr>
          <w:rFonts w:ascii="Arial" w:cs="Arial" w:eastAsia="Arial" w:hAnsi="Arial"/>
          <w:sz w:val="18"/>
          <w:szCs w:val="18"/>
          <w:color w:val="auto"/>
        </w:rPr>
        <w:t>AXS-17 is Axsome’s novel oral GABA</w:t>
      </w:r>
      <w:r>
        <w:rPr>
          <w:rFonts w:ascii="Arial" w:cs="Arial" w:eastAsia="Arial" w:hAnsi="Arial"/>
          <w:sz w:val="24"/>
          <w:szCs w:val="24"/>
          <w:color w:val="auto"/>
          <w:vertAlign w:val="subscript"/>
        </w:rPr>
        <w:t>A</w:t>
      </w:r>
      <w:r>
        <w:rPr>
          <w:rFonts w:ascii="Arial" w:cs="Arial" w:eastAsia="Arial" w:hAnsi="Arial"/>
          <w:sz w:val="18"/>
          <w:szCs w:val="18"/>
          <w:color w:val="auto"/>
        </w:rPr>
        <w:t xml:space="preserve"> receptor α2,3 subtype-selective positive allosteric modulator (PAM) being developed for the treatment of epilepsy.</w:t>
      </w:r>
    </w:p>
    <w:p>
      <w:pPr>
        <w:spacing w:after="0" w:line="89" w:lineRule="exact"/>
        <w:rPr>
          <w:sz w:val="20"/>
          <w:szCs w:val="20"/>
          <w:color w:val="auto"/>
        </w:rPr>
      </w:pPr>
    </w:p>
    <w:p>
      <w:pPr>
        <w:ind w:left="380" w:hanging="372"/>
        <w:spacing w:after="0" w:line="270" w:lineRule="auto"/>
        <w:tabs>
          <w:tab w:leader="none" w:pos="38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Epilepsy: </w:t>
      </w:r>
      <w:r>
        <w:rPr>
          <w:rFonts w:ascii="Arial" w:cs="Arial" w:eastAsia="Arial" w:hAnsi="Arial"/>
          <w:sz w:val="18"/>
          <w:szCs w:val="18"/>
          <w:color w:val="auto"/>
        </w:rPr>
        <w:t>In November 2025, Axsome acquired AZD7325, now designated AXS-17. The Company has initiated tech transfer activities</w:t>
      </w:r>
      <w:r>
        <w:rPr>
          <w:rFonts w:ascii="Arial" w:cs="Arial" w:eastAsia="Arial" w:hAnsi="Arial"/>
          <w:sz w:val="18"/>
          <w:szCs w:val="18"/>
          <w:b w:val="1"/>
          <w:bCs w:val="1"/>
          <w:color w:val="auto"/>
        </w:rPr>
        <w:t xml:space="preserve"> </w:t>
      </w:r>
      <w:r>
        <w:rPr>
          <w:rFonts w:ascii="Arial" w:cs="Arial" w:eastAsia="Arial" w:hAnsi="Arial"/>
          <w:sz w:val="18"/>
          <w:szCs w:val="18"/>
          <w:color w:val="auto"/>
        </w:rPr>
        <w:t>and Phase 2 trial-enabling activities.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Updates</w:t>
      </w:r>
    </w:p>
    <w:p>
      <w:pPr>
        <w:spacing w:after="0" w:line="171" w:lineRule="exact"/>
        <w:rPr>
          <w:sz w:val="20"/>
          <w:szCs w:val="20"/>
          <w:color w:val="auto"/>
        </w:rPr>
      </w:pPr>
    </w:p>
    <w:p>
      <w:pPr>
        <w:jc w:val="both"/>
        <w:ind w:left="380" w:hanging="372"/>
        <w:spacing w:after="0" w:line="243" w:lineRule="auto"/>
        <w:tabs>
          <w:tab w:leader="none" w:pos="38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In February 2026, Axsome announced that it resolved patent litigation with Alkem Laboratories Ltd. related to Alkem’s Abbreviated New Drug Application (ANDA) for a generic version of SUNOSI. The Company entered into a license and settlement agreement with Alkem, which permits Alkem to begin selling its generic version of SUNOSI on or after September 1, 2040, if pediatric exclusivity is granted, or on or after March 1, 2040, if no pediatric exclusivity is granted, subject to FDA approval and conditions and exceptions customary for agreements of this type.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Anticipated Milestones</w:t>
      </w:r>
    </w:p>
    <w:p>
      <w:pPr>
        <w:spacing w:after="0" w:line="171" w:lineRule="exact"/>
        <w:rPr>
          <w:sz w:val="20"/>
          <w:szCs w:val="20"/>
          <w:color w:val="auto"/>
        </w:rPr>
      </w:pPr>
    </w:p>
    <w:p>
      <w:pPr>
        <w:ind w:left="380" w:hanging="372"/>
        <w:spacing w:after="0"/>
        <w:tabs>
          <w:tab w:leader="none" w:pos="38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Regulatory and Commercial:</w:t>
      </w:r>
    </w:p>
    <w:p>
      <w:pPr>
        <w:spacing w:after="0" w:line="184" w:lineRule="exact"/>
        <w:rPr>
          <w:sz w:val="20"/>
          <w:szCs w:val="20"/>
          <w:color w:val="auto"/>
        </w:rPr>
      </w:pPr>
    </w:p>
    <w:p>
      <w:pPr>
        <w:ind w:left="1140" w:hanging="383"/>
        <w:spacing w:after="0"/>
        <w:tabs>
          <w:tab w:leader="none" w:pos="114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AXS-12 for narcolepsy, NDA submission (1Q 2026)</w:t>
      </w:r>
    </w:p>
    <w:p>
      <w:pPr>
        <w:spacing w:after="0" w:line="19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AXS-05 for Alzheimer’s disease agitation, PDUFA target action (April 30, 2026)</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 w:name="page8"/>
    <w:bookmarkEnd w:id="7"/>
    <w:p>
      <w:pPr>
        <w:ind w:left="380" w:hanging="372"/>
        <w:spacing w:after="0"/>
        <w:tabs>
          <w:tab w:leader="none" w:pos="38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Clinical Trial Topline Results:</w:t>
      </w:r>
    </w:p>
    <w:p>
      <w:pPr>
        <w:spacing w:after="0" w:line="184" w:lineRule="exact"/>
        <w:rPr>
          <w:sz w:val="20"/>
          <w:szCs w:val="20"/>
          <w:color w:val="auto"/>
        </w:rPr>
      </w:pPr>
    </w:p>
    <w:p>
      <w:pPr>
        <w:ind w:left="1140" w:hanging="383"/>
        <w:spacing w:after="0"/>
        <w:tabs>
          <w:tab w:leader="none" w:pos="1140" w:val="left"/>
        </w:tabs>
        <w:numPr>
          <w:ilvl w:val="1"/>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Phase 3 ENGAGE trial of solriamfetol in binge eating disorder (2H 2026)</w:t>
      </w:r>
    </w:p>
    <w:p>
      <w:pPr>
        <w:spacing w:after="0" w:line="19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1"/>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Phase 3 SUSTAIN trial of solriamfetol in shift work disorder (2027)</w:t>
      </w:r>
    </w:p>
    <w:p>
      <w:pPr>
        <w:spacing w:after="0" w:line="18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Clinical Trial Initiations:</w:t>
      </w:r>
    </w:p>
    <w:p>
      <w:pPr>
        <w:spacing w:after="0" w:line="18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1"/>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Phase 3 trial of solriamfetol in MDD with EDS symptoms, initiation (1Q 2026)</w:t>
      </w:r>
    </w:p>
    <w:p>
      <w:pPr>
        <w:spacing w:after="0" w:line="19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1"/>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Pivotal Phase 2/3 trial of AXS-05 in smoking cessation, initiation (2Q 2026)</w:t>
      </w:r>
    </w:p>
    <w:p>
      <w:pPr>
        <w:spacing w:after="0" w:line="18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1"/>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Phase 3 trial of solriamfetol in children with ADHD, initiation (1H 2026)</w:t>
      </w:r>
    </w:p>
    <w:p>
      <w:pPr>
        <w:spacing w:after="0" w:line="18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1"/>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Phase 3 trial of solriamfetol in adolescents with ADHD, initiation (1H 2026)</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17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Axsome will host a conference call and webcast today at 8:00 a.m. Eastern Time to discuss its fourth quarter and full year 2025 financial results and provide a business update. To participate in the live conference call, please dial (877) 405-1239 (toll-free domestic) or +1 (201) 389-0851 (international). A live webcast of the conference call can be accessed on the “Webcasts &amp; Presentations” page of the “Investors” section of the Company’s website at axsome.com. A replay of the conference call will be available for approximately 30 days following the live event.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Axsome Therapeutics</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18"/>
          <w:szCs w:val="18"/>
          <w:color w:val="auto"/>
        </w:rPr>
        <w:t>Axsome Therapeutics is a biopharmaceutical company leading a new era in the treatment of central nervous system (CNS) conditions. We deliver scientific breakthroughs by identifying critical gaps in care and develop differentiated products with a focus on novel mechanisms of action that enable meaningful advancements in patient outcomes. Our industry-leading neuroscience portfolio includes FDA-approved treatments for major depressive disorder, excessive daytime sleepiness associated with narcolepsy and obstructive sleep apnea, and migraine, and multiple late-stage development programs addressing a broad range of serious neurological and psychiatric conditions that impact over 150 million people in the United States. Together, we are on a mission to solve some of the brain’s biggest problems so patients and their loved ones can flourish. For more information, please visit us at www.axsome.com and follow us on LinkedIn and X.</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Forward Looking Statements</w:t>
      </w:r>
    </w:p>
    <w:p>
      <w:pPr>
        <w:spacing w:after="0" w:line="171"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Certain matters discussed in this press release are “forward-looking statements”. The Company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commercial success of the Company’s SUNOSI</w:t>
      </w:r>
      <w:r>
        <w:rPr>
          <w:rFonts w:ascii="Arial" w:cs="Arial" w:eastAsia="Arial" w:hAnsi="Arial"/>
          <w:sz w:val="24"/>
          <w:szCs w:val="24"/>
          <w:color w:val="auto"/>
          <w:vertAlign w:val="superscript"/>
        </w:rPr>
        <w:t>®</w:t>
      </w:r>
      <w:r>
        <w:rPr>
          <w:rFonts w:ascii="Arial" w:cs="Arial" w:eastAsia="Arial" w:hAnsi="Arial"/>
          <w:sz w:val="18"/>
          <w:szCs w:val="18"/>
          <w:color w:val="auto"/>
        </w:rPr>
        <w:t>, AUVELITY</w:t>
      </w:r>
      <w:r>
        <w:rPr>
          <w:rFonts w:ascii="Arial" w:cs="Arial" w:eastAsia="Arial" w:hAnsi="Arial"/>
          <w:sz w:val="24"/>
          <w:szCs w:val="24"/>
          <w:color w:val="auto"/>
          <w:vertAlign w:val="superscript"/>
        </w:rPr>
        <w:t>®</w:t>
      </w:r>
      <w:r>
        <w:rPr>
          <w:rFonts w:ascii="Arial" w:cs="Arial" w:eastAsia="Arial" w:hAnsi="Arial"/>
          <w:sz w:val="18"/>
          <w:szCs w:val="18"/>
          <w:color w:val="auto"/>
        </w:rPr>
        <w:t>, and SYMBRAVO</w:t>
      </w:r>
      <w:r>
        <w:rPr>
          <w:rFonts w:ascii="Arial" w:cs="Arial" w:eastAsia="Arial" w:hAnsi="Arial"/>
          <w:sz w:val="24"/>
          <w:szCs w:val="24"/>
          <w:color w:val="auto"/>
          <w:vertAlign w:val="superscript"/>
        </w:rPr>
        <w:t>®</w:t>
      </w:r>
      <w:r>
        <w:rPr>
          <w:rFonts w:ascii="Arial" w:cs="Arial" w:eastAsia="Arial" w:hAnsi="Arial"/>
          <w:sz w:val="18"/>
          <w:szCs w:val="18"/>
          <w:color w:val="auto"/>
        </w:rPr>
        <w:t xml:space="preserve"> products and the success of the Company’s efforts to obtain any additional indication(s) with respect to solriamfetol and/or AXS-05; the Company’s ability to maintain and expand payer coverage; the success, timing and cost of the Company’s ongoing clinical trials and anticipated clinical trials for the Company’s current product candidates, including statements regarding the timing of initiation, pace of enrollment and completion of the trials (including the Company’s ability to fully fund the Company’s disclosed clinical trials, which assumes no material changes to the Company’s currently projected revenues or expenses), futility analyses and receipt of interim results, which are not necessarily indicative of the final results of the Company’s ongoing clinical trials, and/or data readouts, and the number or type of studies or nature of results necessary to support the filing of a new drug application (“NDA”) for any of the Company’s current product candidates; the Company’s ability to fund additional clinical trials to continue the advancement of the Company’s product candidates; the timing of and the Company’s ability to obtain and maintain U.S. Food and Drug Administration (“FDA”) or other regulatory authority approval of, or other action with respect to, the Company’s product candidates, including statements regarding the timing of any NDA submission; the Company’s ability to successfully defend its intellectual property or obtain the necessary licenses at a cost acceptable to the Company, if at all; the Company’s ability to successfully resolve any intellectual property litigation, and even if such disputes are settled, whether the applicable federal agencies will approve of such settlements; the successful implementation of the Company’s research and development programs and collaborations; the success of the Company’s license agreements; the acceptance by the market of the Company’s products and product candidates, if approved; the Company’s anticipated capital requirements, including the amount of capital required for the commercialization of SUNOSI, AUVELITY, and SYMBRAVO and for the Company’s commercial launch of its other product candidates, if approved, and the potential impact on the Company’s anticipated cash runway; the Company’s ability to convert sales to recognized revenue and maintain a favorable gross to net sales; unforeseen circumstances or other disruptions to normal business operations arising from or related to domestic political climate, geo-political conflicts or a global pandemic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Axsome Therapeutics,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jc w:val="center"/>
        <w:spacing w:after="0"/>
        <w:rPr>
          <w:sz w:val="20"/>
          <w:szCs w:val="20"/>
          <w:color w:val="auto"/>
        </w:rPr>
      </w:pPr>
      <w:r>
        <w:rPr>
          <w:rFonts w:ascii="Arial" w:cs="Arial" w:eastAsia="Arial" w:hAnsi="Arial"/>
          <w:sz w:val="18"/>
          <w:szCs w:val="18"/>
          <w:color w:val="auto"/>
        </w:rPr>
        <w:t>(Unaudited, in thousands, except share and per share amounts)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6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322,933</w:t>
            </w:r>
          </w:p>
        </w:tc>
        <w:tc>
          <w:tcPr>
            <w:tcW w:w="18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315,353</w:t>
            </w: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224,464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142,001</w:t>
            </w:r>
          </w:p>
        </w:tc>
        <w:tc>
          <w:tcPr>
            <w:tcW w:w="100" w:type="dxa"/>
            <w:vAlign w:val="bottom"/>
          </w:tcPr>
          <w:p>
            <w:pPr>
              <w:spacing w:after="0"/>
              <w:rPr>
                <w:sz w:val="18"/>
                <w:szCs w:val="18"/>
                <w:color w:val="auto"/>
              </w:rPr>
            </w:pPr>
          </w:p>
        </w:tc>
      </w:tr>
      <w:tr>
        <w:trPr>
          <w:trHeight w:val="216"/>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Inventories, net</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27,938</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15,732</w:t>
            </w: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11,978</w:t>
            </w:r>
          </w:p>
        </w:tc>
        <w:tc>
          <w:tcPr>
            <w:tcW w:w="100" w:type="dxa"/>
            <w:vAlign w:val="bottom"/>
          </w:tcPr>
          <w:p>
            <w:pPr>
              <w:spacing w:after="0"/>
              <w:rPr>
                <w:sz w:val="18"/>
                <w:szCs w:val="18"/>
                <w:color w:val="auto"/>
              </w:rPr>
            </w:pPr>
          </w:p>
        </w:tc>
      </w:tr>
      <w:tr>
        <w:trPr>
          <w:trHeight w:val="209"/>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588,986</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485,064</w:t>
            </w: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Equipment, net</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tcPr>
          <w:p>
            <w:pPr>
              <w:spacing w:after="0"/>
              <w:rPr>
                <w:sz w:val="18"/>
                <w:szCs w:val="18"/>
                <w:color w:val="auto"/>
              </w:rPr>
            </w:pPr>
          </w:p>
        </w:tc>
      </w:tr>
      <w:tr>
        <w:trPr>
          <w:trHeight w:val="21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 - operating lease</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20,858</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5,383</w:t>
            </w: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12,042</w:t>
            </w:r>
          </w:p>
        </w:tc>
        <w:tc>
          <w:tcPr>
            <w:tcW w:w="100" w:type="dxa"/>
            <w:vAlign w:val="bottom"/>
          </w:tcPr>
          <w:p>
            <w:pPr>
              <w:spacing w:after="0"/>
              <w:rPr>
                <w:sz w:val="18"/>
                <w:szCs w:val="18"/>
                <w:color w:val="auto"/>
              </w:rPr>
            </w:pPr>
          </w:p>
        </w:tc>
      </w:tr>
      <w:tr>
        <w:trPr>
          <w:trHeight w:val="21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 net</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40,519</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46,894</w:t>
            </w: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Non-current inventory and other assets</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26,838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18,531</w:t>
            </w:r>
          </w:p>
        </w:tc>
        <w:tc>
          <w:tcPr>
            <w:tcW w:w="100" w:type="dxa"/>
            <w:vAlign w:val="bottom"/>
          </w:tcPr>
          <w:p>
            <w:pPr>
              <w:spacing w:after="0"/>
              <w:rPr>
                <w:sz w:val="18"/>
                <w:szCs w:val="18"/>
                <w:color w:val="auto"/>
              </w:rPr>
            </w:pPr>
          </w:p>
        </w:tc>
      </w:tr>
      <w:tr>
        <w:trPr>
          <w:trHeight w:val="250"/>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689,805</w:t>
            </w:r>
          </w:p>
        </w:tc>
        <w:tc>
          <w:tcPr>
            <w:tcW w:w="18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568,498</w:t>
            </w:r>
          </w:p>
        </w:tc>
        <w:tc>
          <w:tcPr>
            <w:tcW w:w="100" w:type="dxa"/>
            <w:vAlign w:val="bottom"/>
            <w:shd w:val="clear" w:color="auto" w:fill="CFF0FC"/>
          </w:tcPr>
          <w:p>
            <w:pPr>
              <w:spacing w:after="0"/>
              <w:rPr>
                <w:sz w:val="21"/>
                <w:szCs w:val="21"/>
                <w:color w:val="auto"/>
              </w:rPr>
            </w:pPr>
          </w:p>
        </w:tc>
      </w:tr>
      <w:tr>
        <w:trPr>
          <w:trHeight w:val="196"/>
        </w:trPr>
        <w:tc>
          <w:tcPr>
            <w:tcW w:w="76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65,537</w:t>
            </w:r>
          </w:p>
        </w:tc>
        <w:tc>
          <w:tcPr>
            <w:tcW w:w="18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71,997</w:t>
            </w:r>
          </w:p>
        </w:tc>
        <w:tc>
          <w:tcPr>
            <w:tcW w:w="100" w:type="dxa"/>
            <w:vAlign w:val="bottom"/>
          </w:tcPr>
          <w:p>
            <w:pPr>
              <w:spacing w:after="0"/>
              <w:rPr>
                <w:sz w:val="18"/>
                <w:szCs w:val="18"/>
                <w:color w:val="auto"/>
              </w:rPr>
            </w:pPr>
          </w:p>
        </w:tc>
      </w:tr>
      <w:tr>
        <w:trPr>
          <w:trHeight w:val="216"/>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232,853</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147,987</w:t>
            </w: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liability, current portion</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100" w:type="dxa"/>
            <w:vAlign w:val="bottom"/>
          </w:tcPr>
          <w:p>
            <w:pPr>
              <w:spacing w:after="0"/>
              <w:rPr>
                <w:sz w:val="18"/>
                <w:szCs w:val="18"/>
                <w:color w:val="auto"/>
              </w:rPr>
            </w:pPr>
          </w:p>
        </w:tc>
      </w:tr>
      <w:tr>
        <w:trPr>
          <w:trHeight w:val="216"/>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Contingent consideration, current</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10,012</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8,285</w:t>
            </w: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borrowings</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378,836</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230,104</w:t>
            </w: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 non-current</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77,540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91,680</w:t>
            </w:r>
          </w:p>
        </w:tc>
        <w:tc>
          <w:tcPr>
            <w:tcW w:w="100" w:type="dxa"/>
            <w:vAlign w:val="bottom"/>
          </w:tcPr>
          <w:p>
            <w:pPr>
              <w:spacing w:after="0"/>
              <w:rPr>
                <w:sz w:val="18"/>
                <w:szCs w:val="18"/>
                <w:color w:val="auto"/>
              </w:rPr>
            </w:pPr>
          </w:p>
        </w:tc>
      </w:tr>
      <w:tr>
        <w:trPr>
          <w:trHeight w:val="21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Loan payable, long-term</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117,746</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180,710</w:t>
            </w: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 long-term</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23,182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6,046</w:t>
            </w:r>
          </w:p>
        </w:tc>
        <w:tc>
          <w:tcPr>
            <w:tcW w:w="100" w:type="dxa"/>
            <w:vAlign w:val="bottom"/>
          </w:tcPr>
          <w:p>
            <w:pPr>
              <w:spacing w:after="0"/>
              <w:rPr>
                <w:sz w:val="18"/>
                <w:szCs w:val="18"/>
                <w:color w:val="auto"/>
              </w:rPr>
            </w:pPr>
          </w:p>
        </w:tc>
      </w:tr>
      <w:tr>
        <w:trPr>
          <w:trHeight w:val="216"/>
        </w:trPr>
        <w:tc>
          <w:tcPr>
            <w:tcW w:w="7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lease liability, long-term</w:t>
            </w:r>
          </w:p>
        </w:tc>
        <w:tc>
          <w:tcPr>
            <w:tcW w:w="2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4,206</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601,510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511,483</w:t>
            </w:r>
          </w:p>
        </w:tc>
        <w:tc>
          <w:tcPr>
            <w:tcW w:w="100" w:type="dxa"/>
            <w:vAlign w:val="bottom"/>
          </w:tcPr>
          <w:p>
            <w:pPr>
              <w:spacing w:after="0"/>
              <w:rPr>
                <w:sz w:val="18"/>
                <w:szCs w:val="18"/>
                <w:color w:val="auto"/>
              </w:rPr>
            </w:pPr>
          </w:p>
        </w:tc>
      </w:tr>
      <w:tr>
        <w:trPr>
          <w:trHeight w:val="21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764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per share (10,000,000 shares authorized, none issued and</w:t>
            </w: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outstanding)</w:t>
            </w:r>
          </w:p>
        </w:tc>
        <w:tc>
          <w:tcPr>
            <w:tcW w:w="24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64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$0.0001 par value per share (150,000,000 shares authorized, 50,882,766 and</w:t>
            </w: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48,667,587 shares issued and outstanding at December 31, 2025 and December 31, 2024,</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24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20"/>
                <w:szCs w:val="20"/>
                <w:color w:val="auto"/>
              </w:rPr>
            </w:pP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1,394,251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1,179,797</w:t>
            </w:r>
          </w:p>
        </w:tc>
        <w:tc>
          <w:tcPr>
            <w:tcW w:w="100" w:type="dxa"/>
            <w:vAlign w:val="bottom"/>
          </w:tcPr>
          <w:p>
            <w:pPr>
              <w:spacing w:after="0"/>
              <w:rPr>
                <w:sz w:val="18"/>
                <w:szCs w:val="18"/>
                <w:color w:val="auto"/>
              </w:rPr>
            </w:pPr>
          </w:p>
        </w:tc>
      </w:tr>
      <w:tr>
        <w:trPr>
          <w:trHeight w:val="216"/>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(1,305,961)</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(1,122,787)</w:t>
            </w:r>
          </w:p>
        </w:tc>
      </w:tr>
      <w:tr>
        <w:trPr>
          <w:trHeight w:val="210"/>
        </w:trPr>
        <w:tc>
          <w:tcPr>
            <w:tcW w:w="76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88,295</w:t>
            </w: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57,015</w:t>
            </w:r>
          </w:p>
        </w:tc>
        <w:tc>
          <w:tcPr>
            <w:tcW w:w="100" w:type="dxa"/>
            <w:vAlign w:val="bottom"/>
            <w:tcBorders>
              <w:top w:val="single" w:sz="8" w:color="CFF0FC"/>
            </w:tcBorders>
          </w:tcPr>
          <w:p>
            <w:pPr>
              <w:spacing w:after="0"/>
              <w:rPr>
                <w:sz w:val="18"/>
                <w:szCs w:val="18"/>
                <w:color w:val="auto"/>
              </w:rPr>
            </w:pPr>
          </w:p>
        </w:tc>
      </w:tr>
      <w:tr>
        <w:trPr>
          <w:trHeight w:val="249"/>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689,805</w:t>
            </w:r>
          </w:p>
        </w:tc>
        <w:tc>
          <w:tcPr>
            <w:tcW w:w="18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568,498</w:t>
            </w:r>
          </w:p>
        </w:tc>
        <w:tc>
          <w:tcPr>
            <w:tcW w:w="100" w:type="dxa"/>
            <w:vAlign w:val="bottom"/>
            <w:shd w:val="clear" w:color="auto" w:fill="CFF0FC"/>
          </w:tcPr>
          <w:p>
            <w:pPr>
              <w:spacing w:after="0"/>
              <w:rPr>
                <w:sz w:val="21"/>
                <w:szCs w:val="21"/>
                <w:color w:val="auto"/>
              </w:rPr>
            </w:pPr>
          </w:p>
        </w:tc>
      </w:tr>
      <w:tr>
        <w:trPr>
          <w:trHeight w:val="629"/>
        </w:trPr>
        <w:tc>
          <w:tcPr>
            <w:tcW w:w="7640" w:type="dxa"/>
            <w:vAlign w:val="bottom"/>
            <w:tcBorders>
              <w:top w:val="single" w:sz="8" w:color="CFF0FC"/>
            </w:tcBorders>
          </w:tcPr>
          <w:p>
            <w:pPr>
              <w:ind w:left="558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76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Axsome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jc w:val="center"/>
        <w:spacing w:after="0"/>
        <w:rPr>
          <w:sz w:val="20"/>
          <w:szCs w:val="20"/>
          <w:color w:val="auto"/>
        </w:rPr>
      </w:pPr>
      <w:r>
        <w:rPr>
          <w:rFonts w:ascii="Arial" w:cs="Arial" w:eastAsia="Arial" w:hAnsi="Arial"/>
          <w:sz w:val="18"/>
          <w:szCs w:val="18"/>
          <w:color w:val="auto"/>
        </w:rPr>
        <w:t>(Unaudited, in thousands, except share and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0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20" w:type="dxa"/>
            <w:vAlign w:val="bottom"/>
          </w:tcPr>
          <w:p>
            <w:pPr>
              <w:spacing w:after="0"/>
              <w:rPr>
                <w:sz w:val="15"/>
                <w:szCs w:val="15"/>
                <w:color w:val="auto"/>
              </w:rPr>
            </w:pPr>
          </w:p>
        </w:tc>
        <w:tc>
          <w:tcPr>
            <w:tcW w:w="246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568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7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sales, net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194,695</w:t>
            </w:r>
          </w:p>
        </w:tc>
        <w:tc>
          <w:tcPr>
            <w:tcW w:w="26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117,325</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633,796</w:t>
            </w:r>
          </w:p>
        </w:tc>
        <w:tc>
          <w:tcPr>
            <w:tcW w:w="24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381,677</w:t>
            </w:r>
          </w:p>
        </w:tc>
        <w:tc>
          <w:tcPr>
            <w:tcW w:w="100" w:type="dxa"/>
            <w:vAlign w:val="bottom"/>
          </w:tcPr>
          <w:p>
            <w:pPr>
              <w:spacing w:after="0"/>
              <w:rPr>
                <w:sz w:val="18"/>
                <w:szCs w:val="18"/>
                <w:color w:val="auto"/>
              </w:rPr>
            </w:pPr>
          </w:p>
        </w:tc>
      </w:tr>
      <w:tr>
        <w:trPr>
          <w:trHeight w:val="216"/>
        </w:trPr>
        <w:tc>
          <w:tcPr>
            <w:tcW w:w="56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Royalty revenue and milestone revenue</w:t>
            </w:r>
          </w:p>
        </w:tc>
        <w:tc>
          <w:tcPr>
            <w:tcW w:w="1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195,999</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118,766</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638,496</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385,693</w:t>
            </w:r>
          </w:p>
        </w:tc>
        <w:tc>
          <w:tcPr>
            <w:tcW w:w="100" w:type="dxa"/>
            <w:vAlign w:val="bottom"/>
          </w:tcPr>
          <w:p>
            <w:pPr>
              <w:spacing w:after="0"/>
              <w:rPr>
                <w:sz w:val="18"/>
                <w:szCs w:val="18"/>
                <w:color w:val="auto"/>
              </w:rPr>
            </w:pPr>
          </w:p>
        </w:tc>
      </w:tr>
      <w:tr>
        <w:trPr>
          <w:trHeight w:val="210"/>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revenue (excluding amortization and depreciation)</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47,478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33,303</w:t>
            </w:r>
          </w:p>
        </w:tc>
        <w:tc>
          <w:tcPr>
            <w:tcW w:w="100" w:type="dxa"/>
            <w:vAlign w:val="bottom"/>
          </w:tcPr>
          <w:p>
            <w:pPr>
              <w:spacing w:after="0"/>
              <w:rPr>
                <w:sz w:val="18"/>
                <w:szCs w:val="18"/>
                <w:color w:val="auto"/>
              </w:rPr>
            </w:pPr>
          </w:p>
        </w:tc>
      </w:tr>
      <w:tr>
        <w:trPr>
          <w:trHeight w:val="216"/>
        </w:trPr>
        <w:tc>
          <w:tcPr>
            <w:tcW w:w="5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48,791</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55,006</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183,279</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187,077</w:t>
            </w:r>
          </w:p>
        </w:tc>
        <w:tc>
          <w:tcPr>
            <w:tcW w:w="100" w:type="dxa"/>
            <w:vAlign w:val="bottom"/>
            <w:shd w:val="clear" w:color="auto" w:fill="CFF0FC"/>
          </w:tcPr>
          <w:p>
            <w:pPr>
              <w:spacing w:after="0"/>
              <w:rPr>
                <w:sz w:val="18"/>
                <w:szCs w:val="18"/>
                <w:color w:val="auto"/>
              </w:rPr>
            </w:pPr>
          </w:p>
        </w:tc>
      </w:tr>
      <w:tr>
        <w:trPr>
          <w:trHeight w:val="216"/>
        </w:trPr>
        <w:tc>
          <w:tcPr>
            <w:tcW w:w="5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169,297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113,271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570,599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411,359</w:t>
            </w:r>
          </w:p>
        </w:tc>
        <w:tc>
          <w:tcPr>
            <w:tcW w:w="100" w:type="dxa"/>
            <w:vAlign w:val="bottom"/>
          </w:tcPr>
          <w:p>
            <w:pPr>
              <w:spacing w:after="0"/>
              <w:rPr>
                <w:sz w:val="18"/>
                <w:szCs w:val="18"/>
                <w:color w:val="auto"/>
              </w:rPr>
            </w:pPr>
          </w:p>
        </w:tc>
      </w:tr>
      <w:tr>
        <w:trPr>
          <w:trHeight w:val="216"/>
        </w:trPr>
        <w:tc>
          <w:tcPr>
            <w:tcW w:w="5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Loss (Gain) in fair value of contingent consideration</w:t>
            </w:r>
          </w:p>
        </w:tc>
        <w:tc>
          <w:tcPr>
            <w:tcW w:w="1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(9,068)</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10,985</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(2,473)</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28,124</w:t>
            </w:r>
          </w:p>
        </w:tc>
        <w:tc>
          <w:tcPr>
            <w:tcW w:w="100" w:type="dxa"/>
            <w:vAlign w:val="bottom"/>
            <w:shd w:val="clear" w:color="auto" w:fill="CFF0FC"/>
          </w:tcPr>
          <w:p>
            <w:pPr>
              <w:spacing w:after="0"/>
              <w:rPr>
                <w:sz w:val="18"/>
                <w:szCs w:val="18"/>
                <w:color w:val="auto"/>
              </w:rPr>
            </w:pPr>
          </w:p>
        </w:tc>
      </w:tr>
      <w:tr>
        <w:trPr>
          <w:trHeight w:val="216"/>
        </w:trPr>
        <w:tc>
          <w:tcPr>
            <w:tcW w:w="5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6,375</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6,392</w:t>
            </w:r>
          </w:p>
        </w:tc>
        <w:tc>
          <w:tcPr>
            <w:tcW w:w="100" w:type="dxa"/>
            <w:vAlign w:val="bottom"/>
          </w:tcPr>
          <w:p>
            <w:pPr>
              <w:spacing w:after="0"/>
              <w:rPr>
                <w:sz w:val="18"/>
                <w:szCs w:val="18"/>
                <w:color w:val="auto"/>
              </w:rPr>
            </w:pPr>
          </w:p>
        </w:tc>
      </w:tr>
      <w:tr>
        <w:trPr>
          <w:trHeight w:val="209"/>
        </w:trPr>
        <w:tc>
          <w:tcPr>
            <w:tcW w:w="5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222,956</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191,383</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805,258</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666,255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(26,957)</w:t>
            </w:r>
          </w:p>
        </w:tc>
        <w:tc>
          <w:tcPr>
            <w:tcW w:w="2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(72,617)</w:t>
            </w:r>
          </w:p>
        </w:tc>
        <w:tc>
          <w:tcPr>
            <w:tcW w:w="2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(166,762)</w:t>
            </w:r>
          </w:p>
        </w:tc>
        <w:tc>
          <w:tcPr>
            <w:tcW w:w="2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(280,562)</w:t>
            </w:r>
          </w:p>
        </w:tc>
      </w:tr>
      <w:tr>
        <w:trPr>
          <w:trHeight w:val="216"/>
        </w:trPr>
        <w:tc>
          <w:tcPr>
            <w:tcW w:w="5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(1,172)</w:t>
            </w:r>
          </w:p>
        </w:tc>
        <w:tc>
          <w:tcPr>
            <w:tcW w:w="2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(2,210)</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(6,557)</w:t>
            </w: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(6,569)</w:t>
            </w:r>
          </w:p>
        </w:tc>
      </w:tr>
      <w:tr>
        <w:trPr>
          <w:trHeight w:val="216"/>
        </w:trPr>
        <w:tc>
          <w:tcPr>
            <w:tcW w:w="5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(10,385)</w:t>
            </w: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6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(28,129)</w:t>
            </w:r>
          </w:p>
        </w:tc>
        <w:tc>
          <w:tcPr>
            <w:tcW w:w="2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(74,827)</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(183,704)</w:t>
            </w: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(287,131)</w:t>
            </w:r>
          </w:p>
        </w:tc>
      </w:tr>
      <w:tr>
        <w:trPr>
          <w:trHeight w:val="216"/>
        </w:trPr>
        <w:tc>
          <w:tcPr>
            <w:tcW w:w="5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(430)</w:t>
            </w:r>
          </w:p>
        </w:tc>
        <w:tc>
          <w:tcPr>
            <w:tcW w:w="2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w:t>
            </w:r>
          </w:p>
        </w:tc>
      </w:tr>
      <w:tr>
        <w:trPr>
          <w:trHeight w:val="20"/>
        </w:trPr>
        <w:tc>
          <w:tcPr>
            <w:tcW w:w="56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FF0FC"/>
          </w:tcPr>
          <w:p>
            <w:pPr>
              <w:jc w:val="right"/>
              <w:ind w:right="200"/>
              <w:spacing w:after="0" w:line="210" w:lineRule="exact"/>
              <w:rPr>
                <w:sz w:val="20"/>
                <w:szCs w:val="20"/>
                <w:color w:val="auto"/>
              </w:rPr>
            </w:pPr>
            <w:r>
              <w:rPr>
                <w:rFonts w:ascii="Times New Roman" w:cs="Times New Roman" w:eastAsia="Times New Roman" w:hAnsi="Times New Roman"/>
                <w:sz w:val="14"/>
                <w:szCs w:val="14"/>
                <w:color w:val="auto"/>
              </w:rPr>
              <w:t>(28,559</w:t>
            </w:r>
            <w:r>
              <w:rPr>
                <w:rFonts w:ascii="Times New Roman" w:cs="Times New Roman" w:eastAsia="Times New Roman" w:hAnsi="Times New Roman"/>
                <w:sz w:val="24"/>
                <w:szCs w:val="24"/>
                <w:color w:val="auto"/>
                <w:vertAlign w:val="subscript"/>
              </w:rPr>
              <w:t>)</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FF0FC"/>
          </w:tcPr>
          <w:p>
            <w:pPr>
              <w:jc w:val="right"/>
              <w:ind w:right="160"/>
              <w:spacing w:after="0" w:line="210" w:lineRule="exact"/>
              <w:rPr>
                <w:sz w:val="20"/>
                <w:szCs w:val="20"/>
                <w:color w:val="auto"/>
              </w:rPr>
            </w:pPr>
            <w:r>
              <w:rPr>
                <w:rFonts w:ascii="Times New Roman" w:cs="Times New Roman" w:eastAsia="Times New Roman" w:hAnsi="Times New Roman"/>
                <w:sz w:val="14"/>
                <w:szCs w:val="14"/>
                <w:color w:val="auto"/>
              </w:rPr>
              <w:t>(74,912</w:t>
            </w:r>
            <w:r>
              <w:rPr>
                <w:rFonts w:ascii="Times New Roman" w:cs="Times New Roman" w:eastAsia="Times New Roman" w:hAnsi="Times New Roman"/>
                <w:sz w:val="24"/>
                <w:szCs w:val="24"/>
                <w:color w:val="auto"/>
                <w:vertAlign w:val="subscript"/>
              </w:rPr>
              <w:t>)</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180"/>
              <w:spacing w:after="0" w:line="210" w:lineRule="exact"/>
              <w:rPr>
                <w:sz w:val="20"/>
                <w:szCs w:val="20"/>
                <w:color w:val="auto"/>
              </w:rPr>
            </w:pPr>
            <w:r>
              <w:rPr>
                <w:rFonts w:ascii="Times New Roman" w:cs="Times New Roman" w:eastAsia="Times New Roman" w:hAnsi="Times New Roman"/>
                <w:sz w:val="14"/>
                <w:szCs w:val="14"/>
                <w:color w:val="auto"/>
              </w:rPr>
              <w:t>(183,174</w:t>
            </w:r>
            <w:r>
              <w:rPr>
                <w:rFonts w:ascii="Times New Roman" w:cs="Times New Roman" w:eastAsia="Times New Roman" w:hAnsi="Times New Roman"/>
                <w:sz w:val="24"/>
                <w:szCs w:val="24"/>
                <w:color w:val="auto"/>
                <w:vertAlign w:val="subscript"/>
              </w:rPr>
              <w:t>)</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FF0FC"/>
          </w:tcPr>
          <w:p>
            <w:pPr>
              <w:jc w:val="right"/>
              <w:ind w:right="40"/>
              <w:spacing w:after="0" w:line="210" w:lineRule="exact"/>
              <w:rPr>
                <w:sz w:val="20"/>
                <w:szCs w:val="20"/>
                <w:color w:val="auto"/>
              </w:rPr>
            </w:pPr>
            <w:r>
              <w:rPr>
                <w:rFonts w:ascii="Times New Roman" w:cs="Times New Roman" w:eastAsia="Times New Roman" w:hAnsi="Times New Roman"/>
                <w:sz w:val="14"/>
                <w:szCs w:val="14"/>
                <w:color w:val="auto"/>
              </w:rPr>
              <w:t>(287,216</w:t>
            </w:r>
            <w:r>
              <w:rPr>
                <w:rFonts w:ascii="Times New Roman" w:cs="Times New Roman" w:eastAsia="Times New Roman" w:hAnsi="Times New Roman"/>
                <w:sz w:val="24"/>
                <w:szCs w:val="24"/>
                <w:color w:val="auto"/>
                <w:vertAlign w:val="subscript"/>
              </w:rPr>
              <w:t>)</w:t>
            </w:r>
          </w:p>
        </w:tc>
      </w:tr>
      <w:tr>
        <w:trPr>
          <w:trHeight w:val="20"/>
        </w:trPr>
        <w:tc>
          <w:tcPr>
            <w:tcW w:w="56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6"/>
        </w:trPr>
        <w:tc>
          <w:tcPr>
            <w:tcW w:w="56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00"/>
              <w:spacing w:after="0" w:line="197" w:lineRule="exact"/>
              <w:rPr>
                <w:sz w:val="20"/>
                <w:szCs w:val="20"/>
                <w:color w:val="auto"/>
              </w:rPr>
            </w:pPr>
            <w:r>
              <w:rPr>
                <w:rFonts w:ascii="Times New Roman" w:cs="Times New Roman" w:eastAsia="Times New Roman" w:hAnsi="Times New Roman"/>
                <w:sz w:val="13"/>
                <w:szCs w:val="13"/>
                <w:color w:val="auto"/>
              </w:rPr>
              <w:t>(0.56</w:t>
            </w:r>
            <w:r>
              <w:rPr>
                <w:rFonts w:ascii="Times New Roman" w:cs="Times New Roman" w:eastAsia="Times New Roman" w:hAnsi="Times New Roman"/>
                <w:sz w:val="22"/>
                <w:szCs w:val="22"/>
                <w:color w:val="auto"/>
                <w:vertAlign w:val="subscript"/>
              </w:rPr>
              <w: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60"/>
              <w:spacing w:after="0" w:line="197" w:lineRule="exact"/>
              <w:rPr>
                <w:sz w:val="20"/>
                <w:szCs w:val="20"/>
                <w:color w:val="auto"/>
              </w:rPr>
            </w:pPr>
            <w:r>
              <w:rPr>
                <w:rFonts w:ascii="Times New Roman" w:cs="Times New Roman" w:eastAsia="Times New Roman" w:hAnsi="Times New Roman"/>
                <w:sz w:val="13"/>
                <w:szCs w:val="13"/>
                <w:color w:val="auto"/>
              </w:rPr>
              <w:t>(1.54</w:t>
            </w:r>
            <w:r>
              <w:rPr>
                <w:rFonts w:ascii="Times New Roman" w:cs="Times New Roman" w:eastAsia="Times New Roman" w:hAnsi="Times New Roman"/>
                <w:sz w:val="22"/>
                <w:szCs w:val="22"/>
                <w:color w:val="auto"/>
                <w:vertAlign w:val="subscript"/>
              </w:rPr>
              <w:t>)</w:t>
            </w:r>
          </w:p>
        </w:tc>
        <w:tc>
          <w:tcPr>
            <w:tcW w:w="22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80"/>
              <w:spacing w:after="0" w:line="197" w:lineRule="exact"/>
              <w:rPr>
                <w:sz w:val="20"/>
                <w:szCs w:val="20"/>
                <w:color w:val="auto"/>
              </w:rPr>
            </w:pPr>
            <w:r>
              <w:rPr>
                <w:rFonts w:ascii="Times New Roman" w:cs="Times New Roman" w:eastAsia="Times New Roman" w:hAnsi="Times New Roman"/>
                <w:sz w:val="13"/>
                <w:szCs w:val="13"/>
                <w:color w:val="auto"/>
              </w:rPr>
              <w:t>(3.68</w:t>
            </w:r>
            <w:r>
              <w:rPr>
                <w:rFonts w:ascii="Times New Roman" w:cs="Times New Roman" w:eastAsia="Times New Roman" w:hAnsi="Times New Roman"/>
                <w:sz w:val="22"/>
                <w:szCs w:val="22"/>
                <w:color w:val="auto"/>
                <w:vertAlign w:val="subscript"/>
              </w:rPr>
              <w:t>)</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40"/>
              <w:spacing w:after="0" w:line="197" w:lineRule="exact"/>
              <w:rPr>
                <w:sz w:val="20"/>
                <w:szCs w:val="20"/>
                <w:color w:val="auto"/>
              </w:rPr>
            </w:pPr>
            <w:r>
              <w:rPr>
                <w:rFonts w:ascii="Times New Roman" w:cs="Times New Roman" w:eastAsia="Times New Roman" w:hAnsi="Times New Roman"/>
                <w:sz w:val="13"/>
                <w:szCs w:val="13"/>
                <w:color w:val="auto"/>
              </w:rPr>
              <w:t>(5.99</w:t>
            </w:r>
            <w:r>
              <w:rPr>
                <w:rFonts w:ascii="Times New Roman" w:cs="Times New Roman" w:eastAsia="Times New Roman" w:hAnsi="Times New Roman"/>
                <w:sz w:val="22"/>
                <w:szCs w:val="22"/>
                <w:color w:val="auto"/>
                <w:vertAlign w:val="subscript"/>
              </w:rPr>
              <w:t>)</w:t>
            </w:r>
          </w:p>
        </w:tc>
      </w:tr>
      <w:tr>
        <w:trPr>
          <w:trHeight w:val="20"/>
        </w:trPr>
        <w:tc>
          <w:tcPr>
            <w:tcW w:w="5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68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18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50,631,337</w:t>
            </w:r>
          </w:p>
        </w:tc>
        <w:tc>
          <w:tcPr>
            <w:tcW w:w="2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48,541,905</w:t>
            </w:r>
          </w:p>
        </w:tc>
        <w:tc>
          <w:tcPr>
            <w:tcW w:w="2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49,747,178</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47,914,253</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Ashley Dong</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w:t>
      </w:r>
    </w:p>
    <w:p>
      <w:pPr>
        <w:ind w:left="480" w:hanging="472"/>
        <w:spacing w:after="0" w:line="234" w:lineRule="auto"/>
        <w:tabs>
          <w:tab w:leader="none" w:pos="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687-1614</w:t>
      </w:r>
    </w:p>
    <w:p>
      <w:pPr>
        <w:spacing w:after="0"/>
        <w:rPr>
          <w:rFonts w:ascii="Arial" w:cs="Arial" w:eastAsia="Arial" w:hAnsi="Arial"/>
          <w:sz w:val="18"/>
          <w:szCs w:val="18"/>
          <w:color w:val="auto"/>
        </w:rPr>
      </w:pPr>
      <w:r>
        <w:rPr>
          <w:rFonts w:ascii="Arial" w:cs="Arial" w:eastAsia="Arial" w:hAnsi="Arial"/>
          <w:sz w:val="18"/>
          <w:szCs w:val="18"/>
          <w:color w:val="auto"/>
        </w:rPr>
        <w:t>adong@axsome.com</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Darren Opland</w:t>
      </w:r>
    </w:p>
    <w:p>
      <w:pPr>
        <w:spacing w:after="0" w:line="234" w:lineRule="auto"/>
        <w:rPr>
          <w:sz w:val="20"/>
          <w:szCs w:val="20"/>
          <w:color w:val="auto"/>
        </w:rPr>
      </w:pPr>
      <w:r>
        <w:rPr>
          <w:rFonts w:ascii="Arial" w:cs="Arial" w:eastAsia="Arial" w:hAnsi="Arial"/>
          <w:sz w:val="18"/>
          <w:szCs w:val="18"/>
          <w:color w:val="auto"/>
        </w:rPr>
        <w:t>Senior Director, Corporate Communications</w:t>
      </w:r>
    </w:p>
    <w:p>
      <w:pPr>
        <w:spacing w:after="0" w:line="1" w:lineRule="exact"/>
        <w:rPr>
          <w:sz w:val="20"/>
          <w:szCs w:val="20"/>
          <w:color w:val="auto"/>
        </w:rPr>
      </w:pPr>
    </w:p>
    <w:p>
      <w:pPr>
        <w:ind w:right="9380" w:firstLine="8"/>
        <w:spacing w:after="0" w:line="266" w:lineRule="auto"/>
        <w:tabs>
          <w:tab w:leader="none" w:pos="470" w:val="left"/>
        </w:tabs>
        <w:numPr>
          <w:ilvl w:val="0"/>
          <w:numId w:val="20"/>
        </w:numPr>
        <w:rPr>
          <w:rFonts w:ascii="Arial" w:cs="Arial" w:eastAsia="Arial" w:hAnsi="Arial"/>
          <w:sz w:val="18"/>
          <w:szCs w:val="18"/>
          <w:color w:val="auto"/>
        </w:rPr>
      </w:pPr>
      <w:r>
        <w:rPr>
          <w:rFonts w:ascii="Arial" w:cs="Arial" w:eastAsia="Arial" w:hAnsi="Arial"/>
          <w:sz w:val="18"/>
          <w:szCs w:val="18"/>
          <w:color w:val="auto"/>
        </w:rPr>
        <w:t>837-1065 dopland@axsome.com</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1" w:name="page12"/>
    <w:bookmarkEnd w:id="1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o"/>
      <w:numFmt w:val="bullet"/>
      <w:start w:val="1"/>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
      <w:numFmt w:val="bullet"/>
      <w:start w:val="1"/>
    </w:lvl>
    <w:lvl w:ilvl="1">
      <w:lvlJc w:val="left"/>
      <w:lvlText w:val="o"/>
      <w:numFmt w:val="bullet"/>
      <w:start w:val="1"/>
    </w:lvl>
  </w:abstractNum>
  <w:abstractNum w:abstractNumId="18">
    <w:nsid w:val="257130A3"/>
    <w:multiLevelType w:val="hybridMultilevel"/>
    <w:lvl w:ilvl="0">
      <w:lvlJc w:val="left"/>
      <w:lvlText w:val="(%1)"/>
      <w:numFmt w:val="decimal"/>
      <w:start w:val="929"/>
    </w:lvl>
  </w:abstractNum>
  <w:abstractNum w:abstractNumId="19">
    <w:nsid w:val="62BBD95A"/>
    <w:multiLevelType w:val="hybridMultilevel"/>
    <w:lvl w:ilvl="0">
      <w:lvlJc w:val="left"/>
      <w:lvlText w:val="(%1)"/>
      <w:numFmt w:val="decimal"/>
      <w:start w:val="9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2026-02-23T06:21:47Z</dcterms:created>
  <dcterms:modified xsi:type="dcterms:W3CDTF">2026-02-23T06:21:47Z</dcterms:modified>
</cp:coreProperties>
</file>