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29th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380" w:firstLine="510"/>
        <w:spacing w:after="0" w:line="276" w:lineRule="auto"/>
        <w:rPr>
          <w:sz w:val="20"/>
          <w:szCs w:val="20"/>
          <w:color w:val="auto"/>
        </w:rPr>
      </w:pPr>
      <w:r>
        <w:rPr>
          <w:rFonts w:ascii="Times New Roman" w:cs="Times New Roman" w:eastAsia="Times New Roman" w:hAnsi="Times New Roman"/>
          <w:sz w:val="16"/>
          <w:szCs w:val="16"/>
          <w:color w:val="auto"/>
        </w:rPr>
        <w:t>On November 2, 2026, Axsome Therapeutics, Inc. (the “Company”) issued a press release announcing its financial results for the three months ended September 30, 2026, and provided an update on the Company’s operations. The Company is furnishing a copy of the press release, which is attached hereto as Exhibit 99.1.</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580" w:firstLine="510"/>
        <w:spacing w:after="0" w:line="276" w:lineRule="auto"/>
        <w:rPr>
          <w:sz w:val="20"/>
          <w:szCs w:val="20"/>
          <w:color w:val="auto"/>
        </w:rPr>
      </w:pPr>
      <w:r>
        <w:rPr>
          <w:rFonts w:ascii="Times New Roman" w:cs="Times New Roman" w:eastAsia="Times New Roman" w:hAnsi="Times New Roman"/>
          <w:sz w:val="16"/>
          <w:szCs w:val="16"/>
          <w:color w:val="auto"/>
        </w:rPr>
        <w:t>On November 2, 2026,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4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99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November 2, 2026.</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top w:val="single" w:sz="8" w:color="0000FF"/>
              <w:bottom w:val="single" w:sz="8" w:color="0000EE"/>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7400" w:type="dxa"/>
            <w:vAlign w:val="bottom"/>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2, 2026</w:t>
            </w:r>
          </w:p>
        </w:tc>
        <w:tc>
          <w:tcPr>
            <w:tcW w:w="256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60" w:type="dxa"/>
            <w:vAlign w:val="bottom"/>
          </w:tcPr>
          <w:p>
            <w:pPr>
              <w:ind w:left="190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427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51205" cy="427990"/>
                    </a:xfrm>
                    <a:prstGeom prst="rect">
                      <a:avLst/>
                    </a:prstGeom>
                    <a:noFill/>
                  </pic:spPr>
                </pic:pic>
              </a:graphicData>
            </a:graphic>
          </wp:anchor>
        </w:drawing>
        <w:t>Exhibit 99.1</w:t>
      </w:r>
    </w:p>
    <w:p>
      <w:pPr>
        <w:spacing w:after="0" w:line="331" w:lineRule="exact"/>
        <w:rPr>
          <w:sz w:val="20"/>
          <w:szCs w:val="20"/>
          <w:color w:val="auto"/>
        </w:rPr>
      </w:pPr>
    </w:p>
    <w:p>
      <w:pPr>
        <w:ind w:left="1925"/>
        <w:spacing w:after="0"/>
        <w:rPr>
          <w:sz w:val="20"/>
          <w:szCs w:val="20"/>
          <w:color w:val="auto"/>
        </w:rPr>
      </w:pPr>
      <w:r>
        <w:rPr>
          <w:rFonts w:ascii="Arial" w:cs="Arial" w:eastAsia="Arial" w:hAnsi="Arial"/>
          <w:sz w:val="16"/>
          <w:szCs w:val="16"/>
          <w:b w:val="1"/>
          <w:bCs w:val="1"/>
          <w:color w:val="auto"/>
        </w:rPr>
        <w:t>Axsome Therapeutics Reports Third Quarter 2026 Financial Results and Provides Business Update</w:t>
      </w:r>
    </w:p>
    <w:p>
      <w:pPr>
        <w:spacing w:after="0" w:line="161" w:lineRule="exact"/>
        <w:rPr>
          <w:sz w:val="20"/>
          <w:szCs w:val="20"/>
          <w:color w:val="auto"/>
        </w:rPr>
      </w:pPr>
    </w:p>
    <w:p>
      <w:pPr>
        <w:ind w:left="2365"/>
        <w:spacing w:after="0"/>
        <w:rPr>
          <w:sz w:val="20"/>
          <w:szCs w:val="20"/>
          <w:color w:val="auto"/>
        </w:rPr>
      </w:pPr>
      <w:r>
        <w:rPr>
          <w:rFonts w:ascii="Arial" w:cs="Arial" w:eastAsia="Arial" w:hAnsi="Arial"/>
          <w:sz w:val="16"/>
          <w:szCs w:val="16"/>
          <w:i w:val="1"/>
          <w:iCs w:val="1"/>
          <w:color w:val="auto"/>
        </w:rPr>
        <w:t>Total 3Q 2026 net product revenue of $259.7 million, representing 52% year-over-year growth</w:t>
      </w:r>
    </w:p>
    <w:p>
      <w:pPr>
        <w:spacing w:after="0" w:line="159" w:lineRule="exact"/>
        <w:rPr>
          <w:sz w:val="20"/>
          <w:szCs w:val="20"/>
          <w:color w:val="auto"/>
        </w:rPr>
      </w:pPr>
    </w:p>
    <w:p>
      <w:pPr>
        <w:ind w:left="2205"/>
        <w:spacing w:after="0"/>
        <w:rPr>
          <w:sz w:val="20"/>
          <w:szCs w:val="20"/>
          <w:color w:val="auto"/>
        </w:rPr>
      </w:pPr>
      <w:r>
        <w:rPr>
          <w:rFonts w:ascii="Arial" w:cs="Arial" w:eastAsia="Arial" w:hAnsi="Arial"/>
          <w:sz w:val="16"/>
          <w:szCs w:val="16"/>
          <w:i w:val="1"/>
          <w:iCs w:val="1"/>
          <w:color w:val="auto"/>
        </w:rPr>
        <w:t>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2026 net product sales of $207.6 million, representing 53% year-over-year growth</w:t>
      </w:r>
    </w:p>
    <w:p>
      <w:pPr>
        <w:spacing w:after="0" w:line="101" w:lineRule="exact"/>
        <w:rPr>
          <w:sz w:val="20"/>
          <w:szCs w:val="20"/>
          <w:color w:val="auto"/>
        </w:rPr>
      </w:pPr>
    </w:p>
    <w:p>
      <w:pPr>
        <w:ind w:left="2225"/>
        <w:spacing w:after="0"/>
        <w:rPr>
          <w:sz w:val="20"/>
          <w:szCs w:val="20"/>
          <w:color w:val="auto"/>
        </w:rPr>
      </w:pPr>
      <w:r>
        <w:rPr>
          <w:rFonts w:ascii="Arial" w:cs="Arial" w:eastAsia="Arial" w:hAnsi="Arial"/>
          <w:sz w:val="16"/>
          <w:szCs w:val="16"/>
          <w:i w:val="1"/>
          <w:iCs w:val="1"/>
          <w:color w:val="auto"/>
        </w:rPr>
        <w:t>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2026 net product revenue of $48.2 million, representing 47% year-over-year growth</w:t>
      </w:r>
    </w:p>
    <w:p>
      <w:pPr>
        <w:spacing w:after="0" w:line="113" w:lineRule="exact"/>
        <w:rPr>
          <w:sz w:val="20"/>
          <w:szCs w:val="20"/>
          <w:color w:val="auto"/>
        </w:rPr>
      </w:pPr>
    </w:p>
    <w:p>
      <w:pPr>
        <w:ind w:left="2225"/>
        <w:spacing w:after="0"/>
        <w:rPr>
          <w:sz w:val="20"/>
          <w:szCs w:val="20"/>
          <w:color w:val="auto"/>
        </w:rPr>
      </w:pPr>
      <w:r>
        <w:rPr>
          <w:rFonts w:ascii="Arial" w:cs="Arial" w:eastAsia="Arial" w:hAnsi="Arial"/>
          <w:sz w:val="16"/>
          <w:szCs w:val="16"/>
          <w:i w:val="1"/>
          <w:iCs w:val="1"/>
          <w:color w:val="auto"/>
        </w:rPr>
        <w:t>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3Q 2026 net product sales of $3.9 million, representing 88% year-over-year growth</w:t>
      </w:r>
    </w:p>
    <w:p>
      <w:pPr>
        <w:spacing w:after="0" w:line="90" w:lineRule="exact"/>
        <w:rPr>
          <w:sz w:val="20"/>
          <w:szCs w:val="20"/>
          <w:color w:val="auto"/>
        </w:rPr>
      </w:pPr>
    </w:p>
    <w:p>
      <w:pPr>
        <w:ind w:left="3405"/>
        <w:spacing w:after="0"/>
        <w:rPr>
          <w:sz w:val="20"/>
          <w:szCs w:val="20"/>
          <w:color w:val="auto"/>
        </w:rPr>
      </w:pPr>
      <w:r>
        <w:rPr>
          <w:rFonts w:ascii="Arial" w:cs="Arial" w:eastAsia="Arial" w:hAnsi="Arial"/>
          <w:sz w:val="16"/>
          <w:szCs w:val="16"/>
          <w:i w:val="1"/>
          <w:iCs w:val="1"/>
          <w:color w:val="auto"/>
        </w:rPr>
        <w:t>SUMMIT Phase 3 trial of AXS-05 for smoking cessation initiated</w:t>
      </w:r>
    </w:p>
    <w:p>
      <w:pPr>
        <w:spacing w:after="0" w:line="147" w:lineRule="exact"/>
        <w:rPr>
          <w:sz w:val="20"/>
          <w:szCs w:val="20"/>
          <w:color w:val="auto"/>
        </w:rPr>
      </w:pPr>
    </w:p>
    <w:p>
      <w:pPr>
        <w:ind w:left="3365"/>
        <w:spacing w:after="0"/>
        <w:rPr>
          <w:sz w:val="20"/>
          <w:szCs w:val="20"/>
          <w:color w:val="auto"/>
        </w:rPr>
      </w:pPr>
      <w:r>
        <w:rPr>
          <w:rFonts w:ascii="Arial" w:cs="Arial" w:eastAsia="Arial" w:hAnsi="Arial"/>
          <w:sz w:val="16"/>
          <w:szCs w:val="16"/>
          <w:i w:val="1"/>
          <w:iCs w:val="1"/>
          <w:color w:val="auto"/>
        </w:rPr>
        <w:t>Company to host conference call today at 8:00 AM Eastern Time</w:t>
      </w:r>
    </w:p>
    <w:p>
      <w:pPr>
        <w:spacing w:after="0" w:line="15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NEW YORK, November 2, 2026 (Globe Newswire) – Axsome Therapeutics, Inc. (NASDAQ: AXSM), a biopharmaceutical company leading a new era in the treatment of central nervous system (CNS) disorders, today announced financial results for the third quarter of 2026 and provided a general business update.</w:t>
      </w:r>
    </w:p>
    <w:p>
      <w:pPr>
        <w:spacing w:after="0" w:line="110" w:lineRule="exact"/>
        <w:rPr>
          <w:sz w:val="20"/>
          <w:szCs w:val="20"/>
          <w:color w:val="auto"/>
        </w:rPr>
      </w:pPr>
    </w:p>
    <w:p>
      <w:pPr>
        <w:jc w:val="both"/>
        <w:ind w:left="5"/>
        <w:spacing w:after="0" w:line="258" w:lineRule="auto"/>
        <w:rPr>
          <w:sz w:val="20"/>
          <w:szCs w:val="20"/>
          <w:color w:val="auto"/>
        </w:rPr>
      </w:pPr>
      <w:r>
        <w:rPr>
          <w:rFonts w:ascii="Arial" w:cs="Arial" w:eastAsia="Arial" w:hAnsi="Arial"/>
          <w:sz w:val="15"/>
          <w:szCs w:val="15"/>
          <w:color w:val="auto"/>
        </w:rPr>
        <w:t>“Axsome delivered 52% year-over-year total revenue growth in the third quarter, surpassing a one-billion-dollar annual run rate. We expect sustained momentum driven by strong underlying demand for Auvelity in major depressive disorder, and continued acceleration of new patient initiations in Alzheimer’s disease agitation,” said Herriot Tabuteau, MD, Chief Executive Officer of Axsome Therapeutics. “Our industry-leading neuroscience pipeline continued to advance, leading to multiple anticipated regulatory and clinical trial milestones in the coming quarters. Our commercial and research and development performance positions us to continue to deliver innovation targeting significant unmet needs in brain health, with the potential to improve the lives of millions of patients.”</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Third Quarter 2026 Financial Highlights</w:t>
      </w:r>
    </w:p>
    <w:p>
      <w:pPr>
        <w:spacing w:after="0" w:line="161" w:lineRule="exact"/>
        <w:rPr>
          <w:sz w:val="20"/>
          <w:szCs w:val="20"/>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 was $259.7 million for the third quarter of 2026, representing 52% year-over-year growth. Total net product revenue for the comparable period in 2025 was $171.0 million.</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sales were $207.6 million for the third quarter of 2026, representing 53% year-over-year growth. AUVELITY net product sales for the comparable period in 2025 were $136.1 million.</w:t>
      </w:r>
    </w:p>
    <w:p>
      <w:pPr>
        <w:spacing w:after="0" w:line="109" w:lineRule="exact"/>
        <w:rPr>
          <w:rFonts w:ascii="Times New Roman" w:cs="Times New Roman" w:eastAsia="Times New Roman" w:hAnsi="Times New Roman"/>
          <w:sz w:val="16"/>
          <w:szCs w:val="16"/>
          <w:color w:val="auto"/>
        </w:rPr>
      </w:pPr>
    </w:p>
    <w:p>
      <w:pPr>
        <w:jc w:val="both"/>
        <w:ind w:left="365" w:right="20"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 was $48.2 million for the third quarter of 2026, representing 47% year-over-year growth, which consisted of $38.5 million in net product sales, $1.2 million in royalty revenue associated with SUNOSI sales in out-licensed territories, and $8.5 million in milestone revenue. SUNOSI net product revenue for the comparable period in 2025 was $32.8 million, which consisted of $31.6 million in net product sales and $1.2 million in royalty revenue.</w:t>
      </w:r>
    </w:p>
    <w:p>
      <w:pPr>
        <w:spacing w:after="0" w:line="138"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SYMBRAVO net product sales were $3.9 million for the third quarter of 2026, representing 88% year-over-year growth. SYMBRAVO net product sales for the comparable period in 2025 were $2.1 million.</w:t>
      </w:r>
    </w:p>
    <w:p>
      <w:pPr>
        <w:spacing w:after="0" w:line="109"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 of revenue was $17.8 million for the third quarter of 2026. Total cost of revenue for the comparable period in 2025 was $11.9 million.</w:t>
      </w:r>
    </w:p>
    <w:p>
      <w:pPr>
        <w:spacing w:after="0" w:line="158"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$50.6 million for the third quarter of 2026, compared to $40.2 million for the comparable period in 2025. The increase primarily reflects costs for the ongoing clinical programs for solriamfetol, AXS-14, and AXS-05.</w:t>
      </w:r>
    </w:p>
    <w:p>
      <w:pPr>
        <w:spacing w:after="0" w:line="200" w:lineRule="exact"/>
        <w:rPr>
          <w:sz w:val="20"/>
          <w:szCs w:val="20"/>
          <w:color w:val="auto"/>
        </w:rPr>
      </w:pPr>
    </w:p>
    <w:p>
      <w:pPr>
        <w:spacing w:after="0" w:line="2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69" w:right="319" w:bottom="1440" w:gutter="0" w:footer="0" w:header="0"/>
        </w:sectPr>
      </w:pPr>
    </w:p>
    <w:bookmarkStart w:id="4" w:name="page5"/>
    <w:bookmarkEnd w:id="4"/>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$203.1 million for the third quarter of 2026, compared to $150.2 million for the comparable period in 2025. The increase primarily reflects commercialization activities for AUVELITY and SYMBRAVO.</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third quarter of 2026 was $12.9 million, or $(0.25) per share, compared to a net loss of $47.2 million, or $(0.94) per share, for the comparable period in 2025. The net loss in the third quarter of 2026 includes $26.4 million in stock-based compensation expense.</w:t>
      </w:r>
    </w:p>
    <w:p>
      <w:pPr>
        <w:spacing w:after="0" w:line="12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$313.9 million at September 30, 2026, compared to $322.9 million at December 31, 2025.</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52,576,839 at September 30, 2026.</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61"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23" w:lineRule="exact"/>
        <w:rPr>
          <w:sz w:val="20"/>
          <w:szCs w:val="20"/>
          <w:color w:val="auto"/>
        </w:rPr>
      </w:pPr>
    </w:p>
    <w:p>
      <w:pPr>
        <w:ind w:left="5"/>
        <w:spacing w:after="0" w:line="216" w:lineRule="exact"/>
        <w:rPr>
          <w:sz w:val="20"/>
          <w:szCs w:val="20"/>
          <w:color w:val="auto"/>
        </w:rPr>
      </w:pPr>
      <w:r>
        <w:rPr>
          <w:rFonts w:ascii="Arial" w:cs="Arial" w:eastAsia="Arial" w:hAnsi="Arial"/>
          <w:sz w:val="16"/>
          <w:szCs w:val="16"/>
          <w:color w:val="auto"/>
        </w:rPr>
        <w:t>AUVELITY is a first</w:t>
      </w:r>
      <w:r>
        <w:rPr>
          <w:rFonts w:ascii="MS PGothic" w:cs="MS PGothic" w:eastAsia="MS PGothic" w:hAnsi="MS PGothic"/>
          <w:sz w:val="16"/>
          <w:szCs w:val="16"/>
          <w:color w:val="auto"/>
        </w:rPr>
        <w:t>‑</w:t>
      </w:r>
      <w:r>
        <w:rPr>
          <w:rFonts w:ascii="Arial" w:cs="Arial" w:eastAsia="Arial" w:hAnsi="Arial"/>
          <w:sz w:val="16"/>
          <w:szCs w:val="16"/>
          <w:color w:val="auto"/>
        </w:rPr>
        <w:t xml:space="preserve"> in</w:t>
      </w:r>
      <w:r>
        <w:rPr>
          <w:rFonts w:ascii="MS PGothic" w:cs="MS PGothic" w:eastAsia="MS PGothic" w:hAnsi="MS PGothic"/>
          <w:sz w:val="16"/>
          <w:szCs w:val="16"/>
          <w:color w:val="auto"/>
        </w:rPr>
        <w:t>‑</w:t>
      </w:r>
      <w:r>
        <w:rPr>
          <w:rFonts w:ascii="Arial" w:cs="Arial" w:eastAsia="Arial" w:hAnsi="Arial"/>
          <w:sz w:val="16"/>
          <w:szCs w:val="16"/>
          <w:color w:val="auto"/>
        </w:rPr>
        <w:t>class oral N-methyl-D-aspartate (NMDA) receptor antagonist and sigma</w:t>
      </w:r>
      <w:r>
        <w:rPr>
          <w:rFonts w:ascii="MS PGothic" w:cs="MS PGothic" w:eastAsia="MS PGothic" w:hAnsi="MS PGothic"/>
          <w:sz w:val="16"/>
          <w:szCs w:val="16"/>
          <w:color w:val="auto"/>
        </w:rPr>
        <w:t>‑</w:t>
      </w:r>
      <w:r>
        <w:rPr>
          <w:rFonts w:ascii="Arial" w:cs="Arial" w:eastAsia="Arial" w:hAnsi="Arial"/>
          <w:sz w:val="16"/>
          <w:szCs w:val="16"/>
          <w:color w:val="auto"/>
        </w:rPr>
        <w:t>1 receptor agonist approved in the U.S. for the treatment of major depressive disorder in adults, and for the treatment of agitation associated with dementia due to Alzheimer’s disease.</w:t>
      </w:r>
    </w:p>
    <w:p>
      <w:pPr>
        <w:spacing w:after="0" w:line="125" w:lineRule="exact"/>
        <w:rPr>
          <w:sz w:val="20"/>
          <w:szCs w:val="20"/>
          <w:color w:val="auto"/>
        </w:rPr>
      </w:pPr>
    </w:p>
    <w:p>
      <w:pPr>
        <w:jc w:val="both"/>
        <w:ind w:left="365"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302,000 total prescriptions were written for AUVELITY in the third quarter of 2026, representing year-over-year and quarter-over-quarter increases of 40% and 14%, respectively. New-to-brand prescriptions, representing new AUVELITY patient starts, increased by 44% year-over-year and 21% quarter-over-quarter.</w:t>
      </w:r>
    </w:p>
    <w:p>
      <w:pPr>
        <w:spacing w:after="0" w:line="121"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Third quarter AUVELITY new-to-brand and total prescriptions among patients aged 65 years and older increased by 211% and 101%, respectively, compared to the third quarter of 2025. Third quarter AUVELITY new-to-brand and total prescriptions among patients aged 65 years and older increased by 99% and 43%, respectively, compared to the second quarter of 2026.</w:t>
      </w:r>
    </w:p>
    <w:p>
      <w:pPr>
        <w:spacing w:after="0" w:line="133"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across all channels is currently at approximately 89% of all lives covered. The proportion of lives covered in the commercial and government (Medicare and Medicaid) channels are approximately 82% and 100%, respectively.</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SUNOSI is the first and only dopamine and norepinephrine reuptake inhibitor (DNRI) approved for the treatment of excessive daytime sleepiness associated with obstructive sleep apnea or narcolepsy.</w:t>
      </w:r>
    </w:p>
    <w:p>
      <w:pPr>
        <w:spacing w:after="0" w:line="122" w:lineRule="exact"/>
        <w:rPr>
          <w:sz w:val="20"/>
          <w:szCs w:val="20"/>
          <w:color w:val="auto"/>
        </w:rPr>
      </w:pPr>
    </w:p>
    <w:p>
      <w:pPr>
        <w:ind w:left="365"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64,400 prescriptions were written for SUNOSI in the U.S. in the third quarter of 2026, a 15% increase compared to the same period in 2025, and a 6% increase compared to the second quarter of 2026.</w:t>
      </w:r>
    </w:p>
    <w:p>
      <w:pPr>
        <w:spacing w:after="0" w:line="109"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is at approximately 82% of all lives covered, including approximately 97% of commercial lives and 59% of government lives.</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79" w:lineRule="exact"/>
        <w:rPr>
          <w:sz w:val="20"/>
          <w:szCs w:val="20"/>
          <w:color w:val="auto"/>
        </w:rPr>
      </w:pPr>
    </w:p>
    <w:p>
      <w:pPr>
        <w:ind w:left="5" w:right="20"/>
        <w:spacing w:after="0" w:line="337" w:lineRule="auto"/>
        <w:rPr>
          <w:sz w:val="20"/>
          <w:szCs w:val="20"/>
          <w:color w:val="auto"/>
        </w:rPr>
      </w:pPr>
      <w:r>
        <w:rPr>
          <w:rFonts w:ascii="Arial" w:cs="Arial" w:eastAsia="Arial" w:hAnsi="Arial"/>
          <w:sz w:val="16"/>
          <w:szCs w:val="16"/>
          <w:color w:val="auto"/>
        </w:rPr>
        <w:t>SYMBRAVO is an oral, rapidly absorbed, multi-mechanistic, COX-2 preferential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approved in the U.S. for the acute treatment of migraine with or without aura in adults.</w:t>
      </w:r>
    </w:p>
    <w:p>
      <w:pPr>
        <w:spacing w:after="0" w:line="27" w:lineRule="exact"/>
        <w:rPr>
          <w:sz w:val="20"/>
          <w:szCs w:val="20"/>
          <w:color w:val="auto"/>
        </w:rPr>
      </w:pPr>
    </w:p>
    <w:p>
      <w:pPr>
        <w:ind w:left="365"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25,000 prescriptions were written for SYMBRAVO in the third quarter of 2026, a 382% increase compared to the same period in 2025, and a 7% increase compared to the second quarter of 2026.</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SYMBRAVO across all channels is at approximately 57% of all lives covered, including approximately 56% of commercial lives and 57% of government lives.</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49"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Axsome is advancing an industry-leading neuroscience pipeline of multiple, innovative product candidates addressing a broad range of serious psychiatric and neurological conditions. Recent and anticipated progress for key pipeline programs is summarized below.</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59"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AXS-05 (dextromethorphan-bupropion) is Axsome’s novel, oral, investigational NMDA receptor antagonist, sigma-1 agonist, and aminoketone CYP2D6 inhibitor being developed for smoking cessation.</w:t>
      </w:r>
    </w:p>
    <w:p>
      <w:pPr>
        <w:spacing w:after="0" w:line="108" w:lineRule="exact"/>
        <w:rPr>
          <w:sz w:val="20"/>
          <w:szCs w:val="20"/>
          <w:color w:val="auto"/>
        </w:rPr>
      </w:pPr>
    </w:p>
    <w:p>
      <w:pPr>
        <w:jc w:val="both"/>
        <w:ind w:left="365" w:hanging="365"/>
        <w:spacing w:after="0" w:line="247" w:lineRule="auto"/>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In August 2026, Axsome initiated the SUMMIT study, a Phase 3, randomized, double-blind, active- and placebo-controlled,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multicenter trial to assess the efficacy and safety of AXS-05 for the treatment of smoking cessation. The Company anticipates topline results from the SUMMIT Phase 3 trial in the second half of 2027.</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line="321" w:lineRule="auto"/>
        <w:rPr>
          <w:sz w:val="20"/>
          <w:szCs w:val="20"/>
          <w:color w:val="auto"/>
        </w:rPr>
      </w:pPr>
      <w:r>
        <w:rPr>
          <w:rFonts w:ascii="Arial" w:cs="Arial" w:eastAsia="Arial" w:hAnsi="Arial"/>
          <w:sz w:val="16"/>
          <w:szCs w:val="16"/>
          <w:color w:val="auto"/>
        </w:rPr>
        <w:t>Solriamfetol is Axsome’s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 attention deficit hyperactivity disorder (ADHD), major depressive disorder (MDD) with EDS symptoms, binge eating disorder (BED), and excessive sleepiness associated with shift work disorder (SWD).</w:t>
      </w:r>
    </w:p>
    <w:p>
      <w:pPr>
        <w:spacing w:after="0" w:line="42" w:lineRule="exact"/>
        <w:rPr>
          <w:sz w:val="20"/>
          <w:szCs w:val="20"/>
          <w:color w:val="auto"/>
        </w:rPr>
      </w:pPr>
    </w:p>
    <w:p>
      <w:pPr>
        <w:jc w:val="both"/>
        <w:ind w:left="365" w:hanging="365"/>
        <w:spacing w:after="0" w:line="247"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Axsome is conducting the FOCUS-2 and FOCUS-3 Phase 3, randomized, double-blind, placebo-controlled,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multicenter trials evaluating the efficacy and safety of solriamfetol as a treatment for children and adolescents in ADHD, respectively. The Company anticipates topline results from both studies in the second half of 2027.</w:t>
      </w:r>
    </w:p>
    <w:p>
      <w:pPr>
        <w:spacing w:after="0" w:line="128" w:lineRule="exact"/>
        <w:rPr>
          <w:rFonts w:ascii="Times New Roman" w:cs="Times New Roman" w:eastAsia="Times New Roman" w:hAnsi="Times New Roman"/>
          <w:sz w:val="16"/>
          <w:szCs w:val="16"/>
          <w:color w:val="auto"/>
        </w:rPr>
      </w:pPr>
    </w:p>
    <w:p>
      <w:pPr>
        <w:jc w:val="both"/>
        <w:ind w:left="365" w:right="20" w:hanging="365"/>
        <w:spacing w:after="0" w:line="247"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Target enrollment in the trial has been reached, and the Company anticipates topline results in the first quarter of 2027.</w:t>
      </w:r>
    </w:p>
    <w:p>
      <w:pPr>
        <w:spacing w:after="0" w:line="117"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SUSTAIN in the second half of 2027.</w:t>
      </w:r>
    </w:p>
    <w:p>
      <w:pPr>
        <w:spacing w:after="0" w:line="106" w:lineRule="exact"/>
        <w:rPr>
          <w:rFonts w:ascii="Times New Roman" w:cs="Times New Roman" w:eastAsia="Times New Roman" w:hAnsi="Times New Roman"/>
          <w:sz w:val="16"/>
          <w:szCs w:val="16"/>
          <w:color w:val="auto"/>
        </w:rPr>
      </w:pPr>
    </w:p>
    <w:p>
      <w:pPr>
        <w:jc w:val="both"/>
        <w:ind w:left="365" w:right="20" w:hanging="365"/>
        <w:spacing w:after="0" w:line="247"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t>
      </w:r>
      <w:r>
        <w:rPr>
          <w:rFonts w:ascii="Arial" w:cs="Arial" w:eastAsia="Arial" w:hAnsi="Arial"/>
          <w:sz w:val="16"/>
          <w:szCs w:val="16"/>
          <w:color w:val="auto"/>
        </w:rPr>
        <w:t>Axsome is conducting the CLARITY study, a Phase 3, double-blind, placebo-controlled, multicenter, randomized withdrawal</w:t>
      </w:r>
      <w:r>
        <w:rPr>
          <w:rFonts w:ascii="Arial" w:cs="Arial" w:eastAsia="Arial" w:hAnsi="Arial"/>
          <w:sz w:val="16"/>
          <w:szCs w:val="16"/>
          <w:b w:val="1"/>
          <w:bCs w:val="1"/>
          <w:color w:val="auto"/>
        </w:rPr>
        <w:t xml:space="preserve"> </w:t>
      </w:r>
      <w:r>
        <w:rPr>
          <w:rFonts w:ascii="Arial" w:cs="Arial" w:eastAsia="Arial" w:hAnsi="Arial"/>
          <w:sz w:val="16"/>
          <w:szCs w:val="16"/>
          <w:color w:val="auto"/>
        </w:rPr>
        <w:t>trial evaluating the efficacy and safety of solriamfetol for the treatment of MDD with EDS symptoms. The Company anticipates completion of enrollment in CLARITY in the first half of 2027.</w:t>
      </w:r>
    </w:p>
    <w:p>
      <w:pPr>
        <w:spacing w:after="0" w:line="200" w:lineRule="exact"/>
        <w:rPr>
          <w:sz w:val="20"/>
          <w:szCs w:val="20"/>
          <w:color w:val="auto"/>
        </w:rPr>
      </w:pPr>
    </w:p>
    <w:p>
      <w:pPr>
        <w:spacing w:after="0" w:line="30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20" w:lineRule="exact"/>
        <w:rPr>
          <w:sz w:val="20"/>
          <w:szCs w:val="20"/>
          <w:color w:val="auto"/>
        </w:rPr>
      </w:pPr>
    </w:p>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Axsome’s NDA for AXS-12 for the treatment of cataplexy in narcolepsy is currently under review by the FDA. The PDUFA target action date is</w:t>
      </w:r>
      <w:r>
        <w:rPr>
          <w:rFonts w:ascii="Arial" w:cs="Arial" w:eastAsia="Arial" w:hAnsi="Arial"/>
          <w:sz w:val="16"/>
          <w:szCs w:val="16"/>
          <w:b w:val="1"/>
          <w:bCs w:val="1"/>
          <w:color w:val="auto"/>
        </w:rPr>
        <w:t xml:space="preserve"> </w:t>
      </w:r>
      <w:r>
        <w:rPr>
          <w:rFonts w:ascii="Arial" w:cs="Arial" w:eastAsia="Arial" w:hAnsi="Arial"/>
          <w:sz w:val="16"/>
          <w:szCs w:val="16"/>
          <w:color w:val="auto"/>
        </w:rPr>
        <w:t>May 1, 2027.</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47"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is the SS-enantiomer of reboxetine.</w:t>
      </w:r>
    </w:p>
    <w:p>
      <w:pPr>
        <w:spacing w:after="0" w:line="120" w:lineRule="exact"/>
        <w:rPr>
          <w:sz w:val="20"/>
          <w:szCs w:val="20"/>
          <w:color w:val="auto"/>
        </w:rPr>
      </w:pPr>
    </w:p>
    <w:p>
      <w:pPr>
        <w:jc w:val="both"/>
        <w:ind w:left="365" w:hanging="365"/>
        <w:spacing w:after="0" w:line="247" w:lineRule="auto"/>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is conducting the FORWARD study, a Phase 3, double-blind, placebo-controlled, multicenter, randomized withdrawal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evaluating the efficacy and safety of AXS-14 for the management of fibromyalgia. The Company anticipates completion of enrollment in the FORWARD Phase 3 trial in the third quarter of 2027.</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AXS-17</w:t>
      </w:r>
    </w:p>
    <w:p>
      <w:pPr>
        <w:spacing w:after="0" w:line="79" w:lineRule="exact"/>
        <w:rPr>
          <w:sz w:val="20"/>
          <w:szCs w:val="20"/>
          <w:color w:val="auto"/>
        </w:rPr>
      </w:pPr>
    </w:p>
    <w:p>
      <w:pPr>
        <w:ind w:left="5"/>
        <w:spacing w:after="0"/>
        <w:rPr>
          <w:sz w:val="20"/>
          <w:szCs w:val="20"/>
          <w:color w:val="auto"/>
        </w:rPr>
      </w:pPr>
      <w:r>
        <w:rPr>
          <w:rFonts w:ascii="Arial" w:cs="Arial" w:eastAsia="Arial" w:hAnsi="Arial"/>
          <w:sz w:val="16"/>
          <w:szCs w:val="16"/>
          <w:color w:val="auto"/>
        </w:rPr>
        <w:t>AXS-17 is Axsome’s novel oral GABA</w:t>
      </w:r>
      <w:r>
        <w:rPr>
          <w:rFonts w:ascii="Arial" w:cs="Arial" w:eastAsia="Arial" w:hAnsi="Arial"/>
          <w:sz w:val="21"/>
          <w:szCs w:val="21"/>
          <w:color w:val="auto"/>
          <w:vertAlign w:val="subscript"/>
        </w:rPr>
        <w:t>A</w:t>
      </w:r>
      <w:r>
        <w:rPr>
          <w:rFonts w:ascii="Arial" w:cs="Arial" w:eastAsia="Arial" w:hAnsi="Arial"/>
          <w:sz w:val="16"/>
          <w:szCs w:val="16"/>
          <w:color w:val="auto"/>
        </w:rPr>
        <w:t xml:space="preserve"> receptor α2,3 subtype-selective positive allosteric modulator (PAM) being developed for the treatment of epilepsy.</w:t>
      </w:r>
    </w:p>
    <w:p>
      <w:pPr>
        <w:spacing w:after="0" w:line="204" w:lineRule="exact"/>
        <w:rPr>
          <w:sz w:val="20"/>
          <w:szCs w:val="20"/>
          <w:color w:val="auto"/>
        </w:rPr>
      </w:pPr>
    </w:p>
    <w:p>
      <w:pPr>
        <w:ind w:left="365" w:hanging="365"/>
        <w:spacing w:after="0"/>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Epilepsy: </w:t>
      </w:r>
      <w:r>
        <w:rPr>
          <w:rFonts w:ascii="Arial" w:cs="Arial" w:eastAsia="Arial" w:hAnsi="Arial"/>
          <w:sz w:val="16"/>
          <w:szCs w:val="16"/>
          <w:color w:val="auto"/>
        </w:rPr>
        <w:t>Axsome plans to initiate clinical trials of AXS-17 in epilepsy in the first half of 2027.</w:t>
      </w:r>
    </w:p>
    <w:p>
      <w:pPr>
        <w:spacing w:after="0" w:line="20"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AXS-20</w:t>
      </w:r>
    </w:p>
    <w:p>
      <w:pPr>
        <w:spacing w:after="0" w:line="133" w:lineRule="exact"/>
        <w:rPr>
          <w:sz w:val="20"/>
          <w:szCs w:val="20"/>
          <w:color w:val="auto"/>
        </w:rPr>
      </w:pPr>
    </w:p>
    <w:p>
      <w:pPr>
        <w:ind w:left="5"/>
        <w:spacing w:after="0"/>
        <w:rPr>
          <w:sz w:val="20"/>
          <w:szCs w:val="20"/>
          <w:color w:val="auto"/>
        </w:rPr>
      </w:pPr>
      <w:r>
        <w:rPr>
          <w:rFonts w:ascii="Arial" w:cs="Arial" w:eastAsia="Arial" w:hAnsi="Arial"/>
          <w:sz w:val="15"/>
          <w:szCs w:val="15"/>
          <w:color w:val="auto"/>
        </w:rPr>
        <w:t>AXS-20 (balipodect) is Axsome’s novel oral, potent, and selective phosphodiesterase 10A (PDE10A) inhibitor being developed for the treatment of schizophrenia.</w:t>
      </w:r>
    </w:p>
    <w:p>
      <w:pPr>
        <w:spacing w:after="0" w:line="168" w:lineRule="exact"/>
        <w:rPr>
          <w:sz w:val="20"/>
          <w:szCs w:val="20"/>
          <w:color w:val="auto"/>
        </w:rPr>
      </w:pPr>
    </w:p>
    <w:p>
      <w:pPr>
        <w:ind w:left="365" w:hanging="365"/>
        <w:spacing w:after="0"/>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Schizophrenia: </w:t>
      </w:r>
      <w:r>
        <w:rPr>
          <w:rFonts w:ascii="Arial" w:cs="Arial" w:eastAsia="Arial" w:hAnsi="Arial"/>
          <w:sz w:val="16"/>
          <w:szCs w:val="16"/>
          <w:color w:val="auto"/>
        </w:rPr>
        <w:t>Axsome plans to initiate a pivotal Phase 3 trial of AXS-20 in schizophrenia in the first half of 2027.</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47" w:lineRule="exact"/>
        <w:rPr>
          <w:sz w:val="20"/>
          <w:szCs w:val="20"/>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w:t>
      </w:r>
    </w:p>
    <w:p>
      <w:pPr>
        <w:spacing w:after="0" w:line="172" w:lineRule="exact"/>
        <w:rPr>
          <w:sz w:val="20"/>
          <w:szCs w:val="20"/>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1B trial of AXS-17 in epilepsy (1H 2027)</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AXS-20 in schizophrenia (1H 2027)</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(1Q 2027)</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(2H 2027)</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FOCUS-2 trial of solriamfetol in children with ADHD (2H 2027)</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FOCUS-3 trial of solriamfetol in adolescents with ADHD (2H 2027)</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SUMMIT trial of AXS-05 in smoking cessation (2H 2027)</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AXS-12 for cataplexy in narcolepsy, PDUFA target action (May 1, 2027)</w:t>
      </w:r>
    </w:p>
    <w:p>
      <w:pPr>
        <w:spacing w:after="0" w:line="200" w:lineRule="exact"/>
        <w:rPr>
          <w:sz w:val="20"/>
          <w:szCs w:val="20"/>
          <w:color w:val="auto"/>
        </w:rPr>
      </w:pP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Conference Call Information</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third quarter 2026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agitation associated with dementia due to Alzheimer’s disease, excessive daytime sleepiness associated with narcolepsy and obstructive sleep apnea, and migraine, as well as multiple novel product candidates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0"/>
          <w:szCs w:val="20"/>
          <w:color w:val="auto"/>
          <w:vertAlign w:val="superscript"/>
        </w:rPr>
        <w:t>®</w:t>
      </w:r>
      <w:r>
        <w:rPr>
          <w:rFonts w:ascii="Arial" w:cs="Arial" w:eastAsia="Arial" w:hAnsi="Arial"/>
          <w:sz w:val="15"/>
          <w:szCs w:val="15"/>
          <w:color w:val="auto"/>
        </w:rPr>
        <w:t>, AUVELITY</w:t>
      </w:r>
      <w:r>
        <w:rPr>
          <w:rFonts w:ascii="Arial" w:cs="Arial" w:eastAsia="Arial" w:hAnsi="Arial"/>
          <w:sz w:val="20"/>
          <w:szCs w:val="20"/>
          <w:color w:val="auto"/>
          <w:vertAlign w:val="superscript"/>
        </w:rPr>
        <w:t>®</w:t>
      </w:r>
      <w:r>
        <w:rPr>
          <w:rFonts w:ascii="Arial" w:cs="Arial" w:eastAsia="Arial" w:hAnsi="Arial"/>
          <w:sz w:val="15"/>
          <w:szCs w:val="15"/>
          <w:color w:val="auto"/>
        </w:rPr>
        <w:t>, and SYMBRAVO</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jc w:val="center"/>
              <w:ind w:right="163"/>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313,859</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322,933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224,464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42,579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27,938</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724,636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588,986</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35,751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40,519</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26,838</w:t>
            </w: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826,773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689,805</w:t>
            </w:r>
          </w:p>
        </w:tc>
        <w:tc>
          <w:tcPr>
            <w:tcW w:w="120" w:type="dxa"/>
            <w:vAlign w:val="bottom"/>
            <w:shd w:val="clear" w:color="auto" w:fill="CFF0FC"/>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96,075</w:t>
            </w:r>
          </w:p>
        </w:tc>
        <w:tc>
          <w:tcPr>
            <w:tcW w:w="180" w:type="dxa"/>
            <w:vAlign w:val="bottom"/>
          </w:tcPr>
          <w:p>
            <w:pPr>
              <w:spacing w:after="0"/>
              <w:rPr>
                <w:sz w:val="16"/>
                <w:szCs w:val="16"/>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331,756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232,853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509,719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378,836</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118,069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117,746</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9,193</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721,339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601,510</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52,576,839 and 50,882,766 shares</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September 30, 2026 and December 31, 2025, respectively)</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1,540,123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1,394,251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(1,434,694)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(1,305,961)</w:t>
            </w:r>
          </w:p>
        </w:tc>
      </w:tr>
      <w:tr>
        <w:trPr>
          <w:trHeight w:val="181"/>
        </w:trPr>
        <w:tc>
          <w:tcPr>
            <w:tcW w:w="20" w:type="dxa"/>
            <w:vAlign w:val="bottom"/>
          </w:tcPr>
          <w:p>
            <w:pPr>
              <w:spacing w:after="0"/>
              <w:rPr>
                <w:sz w:val="15"/>
                <w:szCs w:val="15"/>
                <w:color w:val="auto"/>
              </w:rPr>
            </w:pPr>
          </w:p>
        </w:tc>
        <w:tc>
          <w:tcPr>
            <w:tcW w:w="77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105,434</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88,295</w:t>
            </w:r>
          </w:p>
        </w:tc>
        <w:tc>
          <w:tcPr>
            <w:tcW w:w="120" w:type="dxa"/>
            <w:vAlign w:val="bottom"/>
            <w:tcBorders>
              <w:top w:val="single" w:sz="8" w:color="CFF0FC"/>
            </w:tcBorders>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826,773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689,805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922"/>
        </w:trPr>
        <w:tc>
          <w:tcPr>
            <w:tcW w:w="7760" w:type="dxa"/>
            <w:vAlign w:val="bottom"/>
            <w:gridSpan w:val="2"/>
          </w:tcPr>
          <w:p>
            <w:pPr>
              <w:jc w:val="right"/>
              <w:ind w:right="2021"/>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-3634105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-3618865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-3634105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-3618865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-2162175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-2162175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-1313815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-1313815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-1058545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-1043305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-1058545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-1043305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 (Unaudited)</w:t>
      </w:r>
    </w:p>
    <w:p>
      <w:pPr>
        <w:jc w:val="center"/>
        <w:ind w:right="-4"/>
        <w:spacing w:after="0"/>
        <w:rPr>
          <w:sz w:val="20"/>
          <w:szCs w:val="20"/>
          <w:color w:val="auto"/>
        </w:rPr>
      </w:pPr>
      <w:r>
        <w:rPr>
          <w:rFonts w:ascii="Arial" w:cs="Arial" w:eastAsia="Arial" w:hAnsi="Arial"/>
          <w:sz w:val="16"/>
          <w:szCs w:val="16"/>
          <w:color w:val="auto"/>
        </w:rPr>
        <w:t>(In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Product sales, net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249,951</w:t>
            </w:r>
          </w:p>
        </w:tc>
        <w:tc>
          <w:tcPr>
            <w:tcW w:w="2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169,784</w:t>
            </w:r>
          </w:p>
        </w:tc>
        <w:tc>
          <w:tcPr>
            <w:tcW w:w="1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655,706</w:t>
            </w:r>
          </w:p>
        </w:tc>
        <w:tc>
          <w:tcPr>
            <w:tcW w:w="24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Royalty revenue and milestone revenue</w:t>
            </w:r>
          </w:p>
        </w:tc>
        <w:tc>
          <w:tcPr>
            <w:tcW w:w="8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13,563</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259,691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170,992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669,269</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442,497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50,617</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149,521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134,488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596,244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(Gain) in fair value of contingent consideration</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(2,380)</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(3,286)</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270,759</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217,101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793,340</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582,302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(11,068)</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(46,109)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(124,071)</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(139,805)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(1,721)</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(4,446)</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(5,385)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(12,789)</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(47,229)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(128,517)</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(155,575)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(216)</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(12,877)</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(47,229)</w:t>
            </w: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(128,733)</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(154,615)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06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(0.25)</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(0.94)</w:t>
            </w:r>
          </w:p>
        </w:tc>
        <w:tc>
          <w:tcPr>
            <w:tcW w:w="30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(2.48)</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8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52,445,193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50,021,851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51,818,984</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49,449,220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-2034540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-2034540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-2034540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-2034540</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-1050925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-1050925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-1050925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-1050925</wp:posOffset>
            </wp:positionV>
            <wp:extent cx="749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-307340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-292100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-307340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-292100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-307340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-292100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-307340</wp:posOffset>
            </wp:positionV>
            <wp:extent cx="749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-292100</wp:posOffset>
            </wp:positionV>
            <wp:extent cx="7493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-21590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-6985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-21590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-6985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-21590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-6985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-21590</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-6985</wp:posOffset>
            </wp:positionV>
            <wp:extent cx="749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Ashley Dong</w:t>
      </w:r>
    </w:p>
    <w:p>
      <w:pPr>
        <w:ind w:left="5"/>
        <w:spacing w:after="0"/>
        <w:rPr>
          <w:sz w:val="20"/>
          <w:szCs w:val="20"/>
          <w:color w:val="auto"/>
        </w:rPr>
      </w:pPr>
      <w:r>
        <w:rPr>
          <w:rFonts w:ascii="Arial" w:cs="Arial" w:eastAsia="Arial" w:hAnsi="Arial"/>
          <w:sz w:val="16"/>
          <w:szCs w:val="16"/>
          <w:color w:val="auto"/>
        </w:rPr>
        <w:t>Senior Director, Investor Relations</w:t>
      </w:r>
    </w:p>
    <w:p>
      <w:pPr>
        <w:ind w:left="405" w:hanging="405"/>
        <w:spacing w:after="0" w:line="238" w:lineRule="auto"/>
        <w:tabs>
          <w:tab w:leader="none" w:pos="4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687-1614</w:t>
      </w:r>
    </w:p>
    <w:p>
      <w:pPr>
        <w:ind w:left="5"/>
        <w:spacing w:after="0"/>
        <w:rPr>
          <w:rFonts w:ascii="Arial" w:cs="Arial" w:eastAsia="Arial" w:hAnsi="Arial"/>
          <w:sz w:val="16"/>
          <w:szCs w:val="16"/>
          <w:color w:val="auto"/>
        </w:rPr>
      </w:pPr>
      <w:r>
        <w:rPr>
          <w:rFonts w:ascii="Arial" w:cs="Arial" w:eastAsia="Arial" w:hAnsi="Arial"/>
          <w:sz w:val="16"/>
          <w:szCs w:val="16"/>
          <w:color w:val="auto"/>
        </w:rPr>
        <w:t>adong@axsome.com</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1" w:lineRule="auto"/>
        <w:rPr>
          <w:sz w:val="20"/>
          <w:szCs w:val="20"/>
          <w:color w:val="auto"/>
        </w:rPr>
      </w:pPr>
      <w:r>
        <w:rPr>
          <w:rFonts w:ascii="Arial" w:cs="Arial" w:eastAsia="Arial" w:hAnsi="Arial"/>
          <w:sz w:val="16"/>
          <w:szCs w:val="16"/>
          <w:color w:val="auto"/>
        </w:rPr>
        <w:t>Senior Director, Corporate Communications</w:t>
      </w:r>
    </w:p>
    <w:p>
      <w:pPr>
        <w:ind w:left="5" w:right="9660" w:hanging="5"/>
        <w:spacing w:after="0" w:line="274" w:lineRule="auto"/>
        <w:tabs>
          <w:tab w:leader="none" w:pos="417" w:val="left"/>
        </w:tabs>
        <w:numPr>
          <w:ilvl w:val="0"/>
          <w:numId w:val="17"/>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lvl w:ilvl="1">
      <w:lvlJc w:val="left"/>
      <w:lvlText w:val="o"/>
      <w:numFmt w:val="bullet"/>
      <w:start w:val="1"/>
    </w:lvl>
  </w:abstractNum>
  <w:abstractNum w:abstractNumId="15">
    <w:nsid w:val="4E6AFB66"/>
    <w:multiLevelType w:val="hybridMultilevel"/>
    <w:lvl w:ilvl="0">
      <w:lvlJc w:val="left"/>
      <w:lvlText w:val="(%1)"/>
      <w:numFmt w:val="decimal"/>
      <w:start w:val="929"/>
    </w:lvl>
  </w:abstractNum>
  <w:abstractNum w:abstractNumId="16">
    <w:nsid w:val="25E45D32"/>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2026-11-02T06:08:09Z</dcterms:created>
  <dcterms:modified xsi:type="dcterms:W3CDTF">2026-11-02T06:08:09Z</dcterms:modified>
</cp:coreProperties>
</file>