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04,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Axsome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065" w:type="dxa"/>
        <w:tblCellMar>
          <w:top w:w="0" w:type="dxa"/>
          <w:left w:w="0" w:type="dxa"/>
          <w:bottom w:w="0" w:type="dxa"/>
          <w:right w:w="0" w:type="dxa"/>
        </w:tblCellMar>
      </w:tblPr>
      <w:tr>
        <w:trPr>
          <w:trHeight w:val="19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001-37635</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30"/>
        </w:trPr>
        <w:tc>
          <w:tcPr>
            <w:tcW w:w="3180" w:type="dxa"/>
            <w:vAlign w:val="bottom"/>
          </w:tcPr>
          <w:p>
            <w:pPr>
              <w:jc w:val="center"/>
              <w:ind w:right="63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160" w:type="dxa"/>
            <w:vAlign w:val="bottom"/>
          </w:tcPr>
          <w:p>
            <w:pPr>
              <w:jc w:val="center"/>
              <w:ind w:right="3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3180" w:type="dxa"/>
            <w:vAlign w:val="bottom"/>
          </w:tcPr>
          <w:p>
            <w:pPr>
              <w:jc w:val="center"/>
              <w:ind w:right="63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8"/>
              </w:rPr>
              <w:t>One World Trade Center, 29th Floor</w:t>
            </w:r>
          </w:p>
        </w:tc>
        <w:tc>
          <w:tcPr>
            <w:tcW w:w="31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31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55"/>
        </w:trPr>
        <w:tc>
          <w:tcPr>
            <w:tcW w:w="3180" w:type="dxa"/>
            <w:vAlign w:val="bottom"/>
          </w:tcPr>
          <w:p>
            <w:pPr>
              <w:jc w:val="center"/>
              <w:ind w:right="6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1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7"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0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AXSM</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ind w:right="380" w:firstLine="510"/>
        <w:spacing w:after="0" w:line="276" w:lineRule="auto"/>
        <w:rPr>
          <w:sz w:val="20"/>
          <w:szCs w:val="20"/>
          <w:color w:val="auto"/>
        </w:rPr>
      </w:pPr>
      <w:r>
        <w:rPr>
          <w:rFonts w:ascii="Times New Roman" w:cs="Times New Roman" w:eastAsia="Times New Roman" w:hAnsi="Times New Roman"/>
          <w:sz w:val="16"/>
          <w:szCs w:val="16"/>
          <w:color w:val="auto"/>
        </w:rPr>
        <w:t>On May 4, 2026, Axsome Therapeutics, Inc. (the “Company”) issued a press release announcing its financial results for the three months ended March 31, 2026 and provided an update on the Company’s operations. The Company is furnishing a copy of the press release, which is attached hereto as Exhibit 99.1.</w:t>
      </w:r>
    </w:p>
    <w:p>
      <w:pPr>
        <w:spacing w:after="0" w:line="145"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6"/>
          <w:szCs w:val="16"/>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ind w:right="140" w:firstLine="510"/>
        <w:spacing w:after="0" w:line="276" w:lineRule="auto"/>
        <w:rPr>
          <w:sz w:val="20"/>
          <w:szCs w:val="20"/>
          <w:color w:val="auto"/>
        </w:rPr>
      </w:pPr>
      <w:r>
        <w:rPr>
          <w:rFonts w:ascii="Times New Roman" w:cs="Times New Roman" w:eastAsia="Times New Roman" w:hAnsi="Times New Roman"/>
          <w:sz w:val="16"/>
          <w:szCs w:val="16"/>
          <w:color w:val="auto"/>
        </w:rPr>
        <w:t>On May 4, 2026, the Company updated its corporate presentation and posted such corporate presentation to the Company’s website. The updated corporate presentation is filed as Exhibit 99.2 hereto and incorporated by reference 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2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78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81"/>
        </w:trPr>
        <w:tc>
          <w:tcPr>
            <w:tcW w:w="12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5"/>
                <w:szCs w:val="15"/>
                <w:color w:val="auto"/>
              </w:rPr>
            </w:pPr>
          </w:p>
        </w:tc>
        <w:tc>
          <w:tcPr>
            <w:tcW w:w="990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color w:val="0000FF"/>
              </w:rPr>
              <w:t>Press Release dated May 4, 2026.</w:t>
            </w:r>
          </w:p>
        </w:tc>
      </w:tr>
      <w:tr>
        <w:trPr>
          <w:trHeight w:val="169"/>
        </w:trPr>
        <w:tc>
          <w:tcPr>
            <w:tcW w:w="12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4"/>
                <w:szCs w:val="14"/>
                <w:color w:val="auto"/>
              </w:rPr>
            </w:pPr>
          </w:p>
        </w:tc>
        <w:tc>
          <w:tcPr>
            <w:tcW w:w="15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7"/>
              </w:rPr>
              <w:t>Corporate Presentation.</w:t>
            </w:r>
          </w:p>
        </w:tc>
        <w:tc>
          <w:tcPr>
            <w:tcW w:w="20" w:type="dxa"/>
            <w:vAlign w:val="bottom"/>
            <w:tcBorders>
              <w:top w:val="single" w:sz="8" w:color="0000FF"/>
              <w:bottom w:val="single" w:sz="8" w:color="0000EE"/>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7780" w:type="dxa"/>
            <w:vAlign w:val="bottom"/>
          </w:tcPr>
          <w:p>
            <w:pPr>
              <w:spacing w:after="0"/>
              <w:rPr>
                <w:sz w:val="14"/>
                <w:szCs w:val="14"/>
                <w:color w:val="auto"/>
              </w:rPr>
            </w:pPr>
          </w:p>
        </w:tc>
      </w:tr>
      <w:tr>
        <w:trPr>
          <w:trHeight w:val="205"/>
        </w:trPr>
        <w:tc>
          <w:tcPr>
            <w:tcW w:w="12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854"/>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r>
      <w:tr>
        <w:trPr>
          <w:trHeight w:val="5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May 4, 2026</w:t>
            </w:r>
          </w:p>
        </w:tc>
        <w:tc>
          <w:tcPr>
            <w:tcW w:w="274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65"/>
        </w:trPr>
        <w:tc>
          <w:tcPr>
            <w:tcW w:w="5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740" w:type="dxa"/>
            <w:vAlign w:val="bottom"/>
          </w:tcPr>
          <w:p>
            <w:pPr>
              <w:ind w:left="2080"/>
              <w:spacing w:after="0" w:line="165" w:lineRule="exact"/>
              <w:rPr>
                <w:sz w:val="20"/>
                <w:szCs w:val="20"/>
                <w:color w:val="auto"/>
              </w:rPr>
            </w:pPr>
            <w:r>
              <w:rPr>
                <w:rFonts w:ascii="Times New Roman" w:cs="Times New Roman" w:eastAsia="Times New Roman" w:hAnsi="Times New Roman"/>
                <w:sz w:val="16"/>
                <w:szCs w:val="16"/>
                <w:color w:val="auto"/>
              </w:rPr>
              <w:t>Name:</w:t>
            </w:r>
          </w:p>
        </w:tc>
        <w:tc>
          <w:tcPr>
            <w:tcW w:w="496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Herriot Tabuteau, M.D.</w:t>
            </w:r>
          </w:p>
        </w:tc>
      </w:tr>
      <w:tr>
        <w:trPr>
          <w:trHeight w:val="218"/>
        </w:trPr>
        <w:tc>
          <w:tcPr>
            <w:tcW w:w="5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4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996"/>
        </w:trPr>
        <w:tc>
          <w:tcPr>
            <w:tcW w:w="5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773430" cy="435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73430" cy="435610"/>
                    </a:xfrm>
                    <a:prstGeom prst="rect">
                      <a:avLst/>
                    </a:prstGeom>
                    <a:noFill/>
                  </pic:spPr>
                </pic:pic>
              </a:graphicData>
            </a:graphic>
          </wp:anchor>
        </w:drawing>
        <w:t>Exhibit 99.1</w:t>
      </w:r>
    </w:p>
    <w:p>
      <w:pPr>
        <w:spacing w:after="0" w:line="331" w:lineRule="exact"/>
        <w:rPr>
          <w:sz w:val="20"/>
          <w:szCs w:val="20"/>
          <w:color w:val="auto"/>
        </w:rPr>
      </w:pPr>
    </w:p>
    <w:p>
      <w:pPr>
        <w:ind w:left="1945"/>
        <w:spacing w:after="0"/>
        <w:rPr>
          <w:sz w:val="20"/>
          <w:szCs w:val="20"/>
          <w:color w:val="auto"/>
        </w:rPr>
      </w:pPr>
      <w:r>
        <w:rPr>
          <w:rFonts w:ascii="Arial" w:cs="Arial" w:eastAsia="Arial" w:hAnsi="Arial"/>
          <w:sz w:val="16"/>
          <w:szCs w:val="16"/>
          <w:b w:val="1"/>
          <w:bCs w:val="1"/>
          <w:color w:val="auto"/>
        </w:rPr>
        <w:t>Axsome Therapeutics Reports First Quarter 2026 Financial Results and Provides Business Update</w:t>
      </w:r>
    </w:p>
    <w:p>
      <w:pPr>
        <w:spacing w:after="0" w:line="161" w:lineRule="exact"/>
        <w:rPr>
          <w:sz w:val="20"/>
          <w:szCs w:val="20"/>
          <w:color w:val="auto"/>
        </w:rPr>
      </w:pPr>
    </w:p>
    <w:p>
      <w:pPr>
        <w:ind w:left="2365"/>
        <w:spacing w:after="0"/>
        <w:rPr>
          <w:sz w:val="20"/>
          <w:szCs w:val="20"/>
          <w:color w:val="auto"/>
        </w:rPr>
      </w:pPr>
      <w:r>
        <w:rPr>
          <w:rFonts w:ascii="Arial" w:cs="Arial" w:eastAsia="Arial" w:hAnsi="Arial"/>
          <w:sz w:val="16"/>
          <w:szCs w:val="16"/>
          <w:i w:val="1"/>
          <w:iCs w:val="1"/>
          <w:color w:val="auto"/>
        </w:rPr>
        <w:t>Total 1Q 2026 net product revenue of $191.2 million, representing 57% year-over-year growth</w:t>
      </w:r>
    </w:p>
    <w:p>
      <w:pPr>
        <w:spacing w:after="0" w:line="153" w:lineRule="exact"/>
        <w:rPr>
          <w:sz w:val="20"/>
          <w:szCs w:val="20"/>
          <w:color w:val="auto"/>
        </w:rPr>
      </w:pPr>
    </w:p>
    <w:p>
      <w:pPr>
        <w:ind w:left="2205"/>
        <w:spacing w:after="0"/>
        <w:rPr>
          <w:sz w:val="20"/>
          <w:szCs w:val="20"/>
          <w:color w:val="auto"/>
        </w:rPr>
      </w:pPr>
      <w:r>
        <w:rPr>
          <w:rFonts w:ascii="Arial" w:cs="Arial" w:eastAsia="Arial" w:hAnsi="Arial"/>
          <w:sz w:val="16"/>
          <w:szCs w:val="16"/>
          <w:i w:val="1"/>
          <w:iCs w:val="1"/>
          <w:color w:val="auto"/>
        </w:rPr>
        <w:t>AUVELITY</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1Q 2026 net product sales of $153.2 million, representing 59% year-over-year growth</w:t>
      </w:r>
    </w:p>
    <w:p>
      <w:pPr>
        <w:spacing w:after="0" w:line="101" w:lineRule="exact"/>
        <w:rPr>
          <w:sz w:val="20"/>
          <w:szCs w:val="20"/>
          <w:color w:val="auto"/>
        </w:rPr>
      </w:pPr>
    </w:p>
    <w:p>
      <w:pPr>
        <w:ind w:left="2225"/>
        <w:spacing w:after="0"/>
        <w:rPr>
          <w:sz w:val="20"/>
          <w:szCs w:val="20"/>
          <w:color w:val="auto"/>
        </w:rPr>
      </w:pPr>
      <w:r>
        <w:rPr>
          <w:rFonts w:ascii="Arial" w:cs="Arial" w:eastAsia="Arial" w:hAnsi="Arial"/>
          <w:sz w:val="16"/>
          <w:szCs w:val="16"/>
          <w:i w:val="1"/>
          <w:iCs w:val="1"/>
          <w:color w:val="auto"/>
        </w:rPr>
        <w:t>SUNOSI</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1Q 2026 net product revenue of $33.9 million, representing 34% year-over-year growth</w:t>
      </w:r>
    </w:p>
    <w:p>
      <w:pPr>
        <w:spacing w:after="0" w:line="113" w:lineRule="exact"/>
        <w:rPr>
          <w:sz w:val="20"/>
          <w:szCs w:val="20"/>
          <w:color w:val="auto"/>
        </w:rPr>
      </w:pPr>
    </w:p>
    <w:p>
      <w:pPr>
        <w:ind w:left="3685"/>
        <w:spacing w:after="0"/>
        <w:rPr>
          <w:sz w:val="20"/>
          <w:szCs w:val="20"/>
          <w:color w:val="auto"/>
        </w:rPr>
      </w:pPr>
      <w:r>
        <w:rPr>
          <w:rFonts w:ascii="Arial" w:cs="Arial" w:eastAsia="Arial" w:hAnsi="Arial"/>
          <w:sz w:val="16"/>
          <w:szCs w:val="16"/>
          <w:i w:val="1"/>
          <w:iCs w:val="1"/>
          <w:color w:val="auto"/>
        </w:rPr>
        <w:t>SYMBRAVO</w:t>
      </w:r>
      <w:r>
        <w:rPr>
          <w:rFonts w:ascii="Arial" w:cs="Arial" w:eastAsia="Arial" w:hAnsi="Arial"/>
          <w:sz w:val="21"/>
          <w:szCs w:val="21"/>
          <w:i w:val="1"/>
          <w:iCs w:val="1"/>
          <w:color w:val="auto"/>
          <w:vertAlign w:val="superscript"/>
        </w:rPr>
        <w:t>®</w:t>
      </w:r>
      <w:r>
        <w:rPr>
          <w:rFonts w:ascii="Arial" w:cs="Arial" w:eastAsia="Arial" w:hAnsi="Arial"/>
          <w:sz w:val="16"/>
          <w:szCs w:val="16"/>
          <w:i w:val="1"/>
          <w:iCs w:val="1"/>
          <w:color w:val="auto"/>
        </w:rPr>
        <w:t xml:space="preserve"> 1Q 2026 net product sales of $4.1 million</w:t>
      </w:r>
    </w:p>
    <w:p>
      <w:pPr>
        <w:spacing w:after="0" w:line="96" w:lineRule="exact"/>
        <w:rPr>
          <w:sz w:val="20"/>
          <w:szCs w:val="20"/>
          <w:color w:val="auto"/>
        </w:rPr>
      </w:pPr>
    </w:p>
    <w:p>
      <w:pPr>
        <w:jc w:val="center"/>
        <w:ind w:left="320" w:right="860"/>
        <w:spacing w:after="0" w:line="472" w:lineRule="auto"/>
        <w:rPr>
          <w:sz w:val="20"/>
          <w:szCs w:val="20"/>
          <w:color w:val="auto"/>
        </w:rPr>
      </w:pPr>
      <w:r>
        <w:rPr>
          <w:rFonts w:ascii="Arial" w:cs="Arial" w:eastAsia="Arial" w:hAnsi="Arial"/>
          <w:sz w:val="16"/>
          <w:szCs w:val="16"/>
          <w:i w:val="1"/>
          <w:iCs w:val="1"/>
          <w:color w:val="auto"/>
        </w:rPr>
        <w:t>AUVELITY approved for the treatment of agitation associated with dementia due to Alzheimer’s disease NDA for AXS-12 for the treatment of cataplexy in narcolepsy submitted to the FDA AXS-20 (balipodect), potentially first-in-class, pre-Phase 3, PDE10A inhibitor for schizophrenia and Tourette syndrome, added to pipeline Company to host conference call today at 8:00 AM Eastern</w:t>
      </w:r>
    </w:p>
    <w:p>
      <w:pPr>
        <w:spacing w:after="0" w:line="251" w:lineRule="exact"/>
        <w:rPr>
          <w:sz w:val="20"/>
          <w:szCs w:val="20"/>
          <w:color w:val="auto"/>
        </w:rPr>
      </w:pPr>
    </w:p>
    <w:p>
      <w:pPr>
        <w:jc w:val="both"/>
        <w:ind w:left="5" w:right="20"/>
        <w:spacing w:after="0" w:line="260" w:lineRule="auto"/>
        <w:rPr>
          <w:sz w:val="20"/>
          <w:szCs w:val="20"/>
          <w:color w:val="auto"/>
        </w:rPr>
      </w:pPr>
      <w:r>
        <w:rPr>
          <w:rFonts w:ascii="Arial" w:cs="Arial" w:eastAsia="Arial" w:hAnsi="Arial"/>
          <w:sz w:val="16"/>
          <w:szCs w:val="16"/>
          <w:color w:val="auto"/>
        </w:rPr>
        <w:t>NEW YORK, May 4, 2026 (Globe Newswire) – Axsome Therapeutics, Inc. (NASDAQ: AXSM), a biopharmaceutical company leading a new era in the treatment of central nervous system (CNS) disorders, today announced financial results for the first quarter of 2026 and provided a general business update.</w:t>
      </w:r>
    </w:p>
    <w:p>
      <w:pPr>
        <w:spacing w:after="0" w:line="122" w:lineRule="exact"/>
        <w:rPr>
          <w:sz w:val="20"/>
          <w:szCs w:val="20"/>
          <w:color w:val="auto"/>
        </w:rPr>
      </w:pPr>
    </w:p>
    <w:p>
      <w:pPr>
        <w:jc w:val="both"/>
        <w:ind w:left="5"/>
        <w:spacing w:after="0" w:line="254" w:lineRule="auto"/>
        <w:rPr>
          <w:sz w:val="20"/>
          <w:szCs w:val="20"/>
          <w:color w:val="auto"/>
        </w:rPr>
      </w:pPr>
      <w:r>
        <w:rPr>
          <w:rFonts w:ascii="Arial" w:cs="Arial" w:eastAsia="Arial" w:hAnsi="Arial"/>
          <w:sz w:val="15"/>
          <w:szCs w:val="15"/>
          <w:color w:val="auto"/>
        </w:rPr>
        <w:t>“Axsome had a tremendous start to 2026. Our commercial business delivered robust year-over-year growth in the first quarter, Auvelity was approved by the FDA as a first-in-class medicine for the treatment of agitation associated with dementia due to Alzheimer’s disease, and we added a potentially first-in-class Phase 3-ready PDE10A inhibitor for schizophrenia and Tourette syndrome to our pipeline,” said Herriot Tabuteau, MD, Chief Executive Officer of Axsome Therapeutics. “The approval of Auvelity for Alzheimer’s disease agitation highlights our research and development productivity, and commitment to deliver innovation to patients living with serious brain health disorders. With three differentiated marketed medicines now approved for four highly prevalent CNS conditions, and an innovative pipeline which includes six potentially first-in-class and best-in-class product candidates targeting ten conditions with significant unmet medical need in psychiatry and neurology, Axsome is positioned to advance the frontiers of brain health for patients, and deliver substantial value for shareholders.”</w:t>
      </w:r>
    </w:p>
    <w:p>
      <w:pPr>
        <w:spacing w:after="0" w:line="11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First Quarter 2026 Financial Highlights</w:t>
      </w:r>
    </w:p>
    <w:p>
      <w:pPr>
        <w:spacing w:after="0" w:line="149" w:lineRule="exact"/>
        <w:rPr>
          <w:sz w:val="20"/>
          <w:szCs w:val="20"/>
          <w:color w:val="auto"/>
        </w:rPr>
      </w:pPr>
    </w:p>
    <w:p>
      <w:pPr>
        <w:ind w:left="365" w:right="20"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Total net product revenue was $191.2 million for the first quarter of 2026, representing 57% year-over-year growth. Total net product revenue for the comparable period in 2025 was $121.5 million.</w:t>
      </w:r>
    </w:p>
    <w:p>
      <w:pPr>
        <w:spacing w:after="0" w:line="120" w:lineRule="exact"/>
        <w:rPr>
          <w:rFonts w:ascii="Times New Roman" w:cs="Times New Roman" w:eastAsia="Times New Roman" w:hAnsi="Times New Roman"/>
          <w:sz w:val="16"/>
          <w:szCs w:val="16"/>
          <w:color w:val="auto"/>
        </w:rPr>
      </w:pPr>
    </w:p>
    <w:p>
      <w:pPr>
        <w:ind w:left="365" w:hanging="365"/>
        <w:spacing w:after="0" w:line="260"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AUVELITY net product revenue was $153.2 million for the first quarter of 2026, representing 59% year-over-year growth. AUVELITY net product sales for the comparable period in 2025 were $96.2 million.</w:t>
      </w:r>
    </w:p>
    <w:p>
      <w:pPr>
        <w:spacing w:after="0" w:line="109" w:lineRule="exact"/>
        <w:rPr>
          <w:rFonts w:ascii="Times New Roman" w:cs="Times New Roman" w:eastAsia="Times New Roman" w:hAnsi="Times New Roman"/>
          <w:sz w:val="16"/>
          <w:szCs w:val="16"/>
          <w:color w:val="auto"/>
        </w:rPr>
      </w:pPr>
    </w:p>
    <w:p>
      <w:pPr>
        <w:jc w:val="both"/>
        <w:ind w:left="365" w:hanging="365"/>
        <w:spacing w:after="0" w:line="245" w:lineRule="auto"/>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SUNOSI net product revenue was $33.9 million for the first quarter of 2026, representing 34% year-over-year growth, which consisted of $32.6 million in net product sales and $1.3 million in royalty revenue associated with SUNOSI sales in out-licensed territories. SUNOSI net product revenue for the comparable period in 2025 was $25.2 million, which consisted of $24.1 million in net product sales and $1.1 million in royalty revenue.</w:t>
      </w:r>
    </w:p>
    <w:p>
      <w:pPr>
        <w:spacing w:after="0" w:line="121"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SYMBRAVO net product revenue was $4.1 million for the first quarter of 2026.</w:t>
      </w:r>
    </w:p>
    <w:p>
      <w:pPr>
        <w:spacing w:after="0" w:line="170"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Total cost of revenue was $14.7 million for the first quarter of 2026. Total cost of revenue for the comparable period in 2025 was $9.8 million.</w:t>
      </w:r>
    </w:p>
    <w:p>
      <w:pPr>
        <w:spacing w:after="0" w:line="200" w:lineRule="exact"/>
        <w:rPr>
          <w:sz w:val="20"/>
          <w:szCs w:val="20"/>
          <w:color w:val="auto"/>
        </w:rPr>
      </w:pPr>
    </w:p>
    <w:p>
      <w:pPr>
        <w:spacing w:after="0" w:line="335"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381" w:right="319" w:bottom="1440" w:gutter="0" w:footer="0" w:header="0"/>
        </w:sectPr>
      </w:pPr>
    </w:p>
    <w:bookmarkStart w:id="4" w:name="page5"/>
    <w:bookmarkEnd w:id="4"/>
    <w:p>
      <w:pPr>
        <w:ind w:left="365" w:hanging="365"/>
        <w:spacing w:after="0" w:line="260"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Research and development (R&amp;D) expenses were $52.7 million for the first quarter of 2026, compared to $44.8 million for the comparable period in 2025. The increase primarily reflects a one-time acquisition-related expense.</w:t>
      </w:r>
    </w:p>
    <w:p>
      <w:pPr>
        <w:spacing w:after="0" w:line="109" w:lineRule="exact"/>
        <w:rPr>
          <w:rFonts w:ascii="Times New Roman" w:cs="Times New Roman" w:eastAsia="Times New Roman" w:hAnsi="Times New Roman"/>
          <w:sz w:val="16"/>
          <w:szCs w:val="16"/>
          <w:color w:val="auto"/>
        </w:rPr>
      </w:pPr>
    </w:p>
    <w:p>
      <w:pPr>
        <w:jc w:val="both"/>
        <w:ind w:left="365" w:hanging="365"/>
        <w:spacing w:after="0" w:line="245"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Selling, general, and administrative (SG&amp;A) expenses were $185.0 million for the first quarter of 2026, compared to $120.8 million for the comparable period in 2025. The increase primarily reflects the acceleration of pre-launch activities for AUVELITY for the Alzheimer’s disease agitation indication and commercialization activities for AUVELITY, including direct-to-consumer advertising, and commercialization activities for SYMBRAVO.</w:t>
      </w:r>
    </w:p>
    <w:p>
      <w:pPr>
        <w:spacing w:after="0" w:line="133"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Net loss for the first quarter of 2026 was $64.5 million, or $(1.26) per share, compared to a net loss of $59.4 million, or $(1.22) per share, for the comparable period in 2025. The net loss in the first quarter of 2026 includes $23.4 million in stock-based compensation expense.</w:t>
      </w:r>
    </w:p>
    <w:p>
      <w:pPr>
        <w:spacing w:after="0" w:line="109"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 totaled $305.1 million at March 31, 2026, compared to $322.9 million at December 31, 2025.</w:t>
      </w:r>
    </w:p>
    <w:p>
      <w:pPr>
        <w:spacing w:after="0" w:line="158"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Shares of common stock outstanding were 51,420,445 at March 31, 2026.</w:t>
      </w:r>
    </w:p>
    <w:p>
      <w:pPr>
        <w:spacing w:after="0" w:line="16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Financial Guidance</w:t>
      </w:r>
    </w:p>
    <w:p>
      <w:pPr>
        <w:spacing w:after="0" w:line="149" w:lineRule="exact"/>
        <w:rPr>
          <w:sz w:val="20"/>
          <w:szCs w:val="20"/>
          <w:color w:val="auto"/>
        </w:rPr>
      </w:pPr>
    </w:p>
    <w:p>
      <w:pPr>
        <w:ind w:left="365" w:hanging="365"/>
        <w:spacing w:after="0"/>
        <w:tabs>
          <w:tab w:leader="none" w:pos="365"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Axsome believes that its current cash is sufficient to fund anticipated operations into cash flow positivity, based on the current operating plan.</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Commercial Highlights</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AUVELITY</w:t>
      </w:r>
    </w:p>
    <w:p>
      <w:pPr>
        <w:spacing w:after="0" w:line="112" w:lineRule="exact"/>
        <w:rPr>
          <w:sz w:val="20"/>
          <w:szCs w:val="20"/>
          <w:color w:val="auto"/>
        </w:rPr>
      </w:pPr>
    </w:p>
    <w:p>
      <w:pPr>
        <w:ind w:left="5"/>
        <w:spacing w:after="0" w:line="216" w:lineRule="exact"/>
        <w:rPr>
          <w:sz w:val="20"/>
          <w:szCs w:val="20"/>
          <w:color w:val="auto"/>
        </w:rPr>
      </w:pPr>
      <w:r>
        <w:rPr>
          <w:rFonts w:ascii="Arial" w:cs="Arial" w:eastAsia="Arial" w:hAnsi="Arial"/>
          <w:sz w:val="16"/>
          <w:szCs w:val="16"/>
          <w:color w:val="auto"/>
        </w:rPr>
        <w:t>AUVELITY is a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oral NMDA receptor antagonist and sigma</w:t>
      </w:r>
      <w:r>
        <w:rPr>
          <w:rFonts w:ascii="MS PGothic" w:cs="MS PGothic" w:eastAsia="MS PGothic" w:hAnsi="MS PGothic"/>
          <w:sz w:val="16"/>
          <w:szCs w:val="16"/>
          <w:color w:val="auto"/>
        </w:rPr>
        <w:t>‑</w:t>
      </w:r>
      <w:r>
        <w:rPr>
          <w:rFonts w:ascii="Arial" w:cs="Arial" w:eastAsia="Arial" w:hAnsi="Arial"/>
          <w:sz w:val="16"/>
          <w:szCs w:val="16"/>
          <w:color w:val="auto"/>
        </w:rPr>
        <w:t>1 receptor agonist approved in the U.S. for the treatment of major depressive disorder in adults, and for the treatment of agitation associated with dementia due to Alzheimer’s disease.</w:t>
      </w:r>
    </w:p>
    <w:p>
      <w:pPr>
        <w:spacing w:after="0" w:line="125" w:lineRule="exact"/>
        <w:rPr>
          <w:sz w:val="20"/>
          <w:szCs w:val="20"/>
          <w:color w:val="auto"/>
        </w:rPr>
      </w:pPr>
    </w:p>
    <w:p>
      <w:pPr>
        <w:ind w:left="365" w:right="20" w:hanging="365"/>
        <w:spacing w:after="0" w:line="260"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223,000 prescriptions were written for AUVELITY in the first quarter of 2026, a 35% increase compared to the first quarter of 2025, with prescriptions consistent with the fourth quarter of 2025.</w:t>
      </w:r>
    </w:p>
    <w:p>
      <w:pPr>
        <w:spacing w:after="0" w:line="120"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AUVELITY across all channels is currently at approximately 86% of all lives. The proportion of lives covered in the commercial and government (Medicare and Medicaid) channels are approximately 78% and 100%, respectively.</w:t>
      </w:r>
    </w:p>
    <w:p>
      <w:pPr>
        <w:spacing w:after="0" w:line="109" w:lineRule="exact"/>
        <w:rPr>
          <w:rFonts w:ascii="Times New Roman" w:cs="Times New Roman" w:eastAsia="Times New Roman" w:hAnsi="Times New Roman"/>
          <w:sz w:val="16"/>
          <w:szCs w:val="16"/>
          <w:color w:val="auto"/>
        </w:rPr>
      </w:pPr>
    </w:p>
    <w:p>
      <w:pPr>
        <w:jc w:val="both"/>
        <w:ind w:left="365" w:hanging="365"/>
        <w:spacing w:after="0" w:line="245"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In April 2026, the U.S. Food and Drug Administration (FDA) approved AUVELITY for the treatment of agitation associated with dementia due to Alzheimer’s disease. AUVELITY is a first-in-class pharmacotherapy that targets the NMDA and sigma-1 receptors, which are thought to modulate key neurotransmitters implicated in Alzheimer’s disease. The commercial launch of AUVELITY in Alzheimer’s disease agitation is on track for June 2026.</w:t>
      </w:r>
    </w:p>
    <w:p>
      <w:pPr>
        <w:spacing w:after="0" w:line="121" w:lineRule="exact"/>
        <w:rPr>
          <w:rFonts w:ascii="Times New Roman" w:cs="Times New Roman" w:eastAsia="Times New Roman" w:hAnsi="Times New Roman"/>
          <w:sz w:val="16"/>
          <w:szCs w:val="16"/>
          <w:color w:val="auto"/>
        </w:rPr>
      </w:pPr>
    </w:p>
    <w:p>
      <w:pPr>
        <w:jc w:val="both"/>
        <w:ind w:left="365" w:hanging="365"/>
        <w:spacing w:after="0" w:line="245" w:lineRule="auto"/>
        <w:tabs>
          <w:tab w:leader="none" w:pos="365"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color w:val="auto"/>
        </w:rPr>
        <w:t>The recently announced expansion of the AUVELITY sales force is substantially complete. Our expanded sales team of approximately 630 sales representatives will engage a broad group of prescribers, including primary care providers, psychiatrists, neurologists, and geriatric specialists, leveraging strong and growing demand in MDD and the substantial opportunity in Alzheimer’s disease agitation.</w:t>
      </w:r>
    </w:p>
    <w:p>
      <w:pPr>
        <w:spacing w:after="0" w:line="134"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SUNOSI</w:t>
      </w:r>
    </w:p>
    <w:p>
      <w:pPr>
        <w:spacing w:after="0" w:line="147" w:lineRule="exact"/>
        <w:rPr>
          <w:sz w:val="20"/>
          <w:szCs w:val="20"/>
          <w:color w:val="auto"/>
        </w:rPr>
      </w:pPr>
    </w:p>
    <w:p>
      <w:pPr>
        <w:ind w:left="5"/>
        <w:spacing w:after="0"/>
        <w:rPr>
          <w:sz w:val="20"/>
          <w:szCs w:val="20"/>
          <w:color w:val="auto"/>
        </w:rPr>
      </w:pPr>
      <w:r>
        <w:rPr>
          <w:rFonts w:ascii="Arial" w:cs="Arial" w:eastAsia="Arial" w:hAnsi="Arial"/>
          <w:sz w:val="16"/>
          <w:szCs w:val="16"/>
          <w:color w:val="auto"/>
        </w:rPr>
        <w:t>SUNOSI is the first and only DNRI approved for the treatment of excessive daytime sleepiness associated with obstructive sleep apnea or narcolepsy.</w:t>
      </w:r>
    </w:p>
    <w:p>
      <w:pPr>
        <w:spacing w:after="0" w:line="200" w:lineRule="exact"/>
        <w:rPr>
          <w:sz w:val="20"/>
          <w:szCs w:val="20"/>
          <w:color w:val="auto"/>
        </w:rPr>
      </w:pPr>
    </w:p>
    <w:p>
      <w:pPr>
        <w:spacing w:after="0" w:line="32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5" w:name="page6"/>
    <w:bookmarkEnd w:id="5"/>
    <w:p>
      <w:pPr>
        <w:ind w:left="365" w:right="20" w:hanging="365"/>
        <w:spacing w:after="0" w:line="260" w:lineRule="auto"/>
        <w:tabs>
          <w:tab w:leader="none" w:pos="36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54,000 prescriptions were written for SUNOSI in the U.S. in the first quarter of 2026, representing an increase of 16% compared to the same period in 2025, with prescriptions consistent with the fourth quarter of 2025.</w:t>
      </w:r>
    </w:p>
    <w:p>
      <w:pPr>
        <w:spacing w:after="0" w:line="109" w:lineRule="exact"/>
        <w:rPr>
          <w:rFonts w:ascii="Times New Roman" w:cs="Times New Roman" w:eastAsia="Times New Roman" w:hAnsi="Times New Roman"/>
          <w:sz w:val="16"/>
          <w:szCs w:val="16"/>
          <w:color w:val="auto"/>
        </w:rPr>
      </w:pPr>
    </w:p>
    <w:p>
      <w:pPr>
        <w:ind w:left="365" w:right="20" w:hanging="365"/>
        <w:spacing w:after="0" w:line="260" w:lineRule="auto"/>
        <w:tabs>
          <w:tab w:leader="none" w:pos="365"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SUNOSI across all channels is approximately 83% of all covered lives. The proportion of lives covered in the commercial and government channels are approximately 96% and 60%, respectively.</w:t>
      </w:r>
    </w:p>
    <w:p>
      <w:pPr>
        <w:spacing w:after="0" w:line="121"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SYMBRAVO</w:t>
      </w:r>
    </w:p>
    <w:p>
      <w:pPr>
        <w:spacing w:after="0" w:line="90" w:lineRule="exact"/>
        <w:rPr>
          <w:sz w:val="20"/>
          <w:szCs w:val="20"/>
          <w:color w:val="auto"/>
        </w:rPr>
      </w:pPr>
    </w:p>
    <w:p>
      <w:pPr>
        <w:ind w:left="5" w:right="20"/>
        <w:spacing w:after="0" w:line="290" w:lineRule="auto"/>
        <w:rPr>
          <w:sz w:val="20"/>
          <w:szCs w:val="20"/>
          <w:color w:val="auto"/>
        </w:rPr>
      </w:pPr>
      <w:r>
        <w:rPr>
          <w:rFonts w:ascii="Arial" w:cs="Arial" w:eastAsia="Arial" w:hAnsi="Arial"/>
          <w:sz w:val="16"/>
          <w:szCs w:val="16"/>
          <w:color w:val="auto"/>
        </w:rPr>
        <w:t>SYMBRAVO is an oral, rapidly absorbed, multi-mechanistic, COX-2 preferential inhibitor and 5-HT</w:t>
      </w:r>
      <w:r>
        <w:rPr>
          <w:rFonts w:ascii="Arial" w:cs="Arial" w:eastAsia="Arial" w:hAnsi="Arial"/>
          <w:sz w:val="21"/>
          <w:szCs w:val="21"/>
          <w:color w:val="auto"/>
          <w:vertAlign w:val="subscript"/>
        </w:rPr>
        <w:t>1B/1D</w:t>
      </w:r>
      <w:r>
        <w:rPr>
          <w:rFonts w:ascii="Arial" w:cs="Arial" w:eastAsia="Arial" w:hAnsi="Arial"/>
          <w:sz w:val="16"/>
          <w:szCs w:val="16"/>
          <w:color w:val="auto"/>
        </w:rPr>
        <w:t xml:space="preserve"> agonist approved in the U.S. for the acute treatment of migraine with or without aura in adults.</w:t>
      </w:r>
    </w:p>
    <w:p>
      <w:pPr>
        <w:spacing w:after="0" w:line="75" w:lineRule="exact"/>
        <w:rPr>
          <w:sz w:val="20"/>
          <w:szCs w:val="20"/>
          <w:color w:val="auto"/>
        </w:rPr>
      </w:pPr>
    </w:p>
    <w:p>
      <w:pPr>
        <w:ind w:left="365" w:right="20" w:hanging="365"/>
        <w:spacing w:after="0" w:line="260"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Approximately 17,000 prescriptions were written for SYMBRAVO in the first quarter of 2026, representing a 36% increase compared to the fourth quarter of 2025.</w:t>
      </w:r>
    </w:p>
    <w:p>
      <w:pPr>
        <w:spacing w:after="0" w:line="120" w:lineRule="exact"/>
        <w:rPr>
          <w:rFonts w:ascii="Times New Roman" w:cs="Times New Roman" w:eastAsia="Times New Roman" w:hAnsi="Times New Roman"/>
          <w:sz w:val="16"/>
          <w:szCs w:val="16"/>
          <w:color w:val="auto"/>
        </w:rPr>
      </w:pPr>
    </w:p>
    <w:p>
      <w:pPr>
        <w:jc w:val="both"/>
        <w:ind w:left="365" w:right="20" w:hanging="365"/>
        <w:spacing w:after="0" w:line="245"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Payer coverage for SYMBRAVO in the commercial channel expanded by 17 million new covered lives, effective May 2026. Overall payer coverage for SYMBRAVO across all channels is now at approximately 57% of all lives, with the proportion of covered lives in the commercial and government channels at approximately 56% and 57%, respectively.</w:t>
      </w:r>
    </w:p>
    <w:p>
      <w:pPr>
        <w:spacing w:after="0" w:line="121" w:lineRule="exact"/>
        <w:rPr>
          <w:rFonts w:ascii="Times New Roman" w:cs="Times New Roman" w:eastAsia="Times New Roman" w:hAnsi="Times New Roman"/>
          <w:sz w:val="16"/>
          <w:szCs w:val="16"/>
          <w:color w:val="auto"/>
        </w:rPr>
      </w:pPr>
    </w:p>
    <w:p>
      <w:pPr>
        <w:jc w:val="both"/>
        <w:ind w:left="365" w:right="20" w:hanging="365"/>
        <w:spacing w:after="0" w:line="245" w:lineRule="auto"/>
        <w:tabs>
          <w:tab w:leader="none" w:pos="365"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Based on SYMBRAVO’s growth since launch and increased demand, Axsome is expanding the SYMBRAVO sales force from 100 to 150 representatives. The expansion will support broader reach within the primary care market while deepening engagement with headache specialists and neurologists nationwide.</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Development Pipeline</w:t>
      </w:r>
    </w:p>
    <w:p>
      <w:pPr>
        <w:spacing w:after="0" w:line="161" w:lineRule="exact"/>
        <w:rPr>
          <w:sz w:val="20"/>
          <w:szCs w:val="20"/>
          <w:color w:val="auto"/>
        </w:rPr>
      </w:pPr>
    </w:p>
    <w:p>
      <w:pPr>
        <w:ind w:left="5"/>
        <w:spacing w:after="0" w:line="260" w:lineRule="auto"/>
        <w:rPr>
          <w:sz w:val="20"/>
          <w:szCs w:val="20"/>
          <w:color w:val="auto"/>
        </w:rPr>
      </w:pPr>
      <w:r>
        <w:rPr>
          <w:rFonts w:ascii="Arial" w:cs="Arial" w:eastAsia="Arial" w:hAnsi="Arial"/>
          <w:sz w:val="16"/>
          <w:szCs w:val="16"/>
          <w:color w:val="auto"/>
        </w:rPr>
        <w:t>Axsome is advancing an industry-leading neuroscience pipeline of multiple, innovative, late-stage, product candidates addressing a broad range of serious psychiatric and neurological conditions. Recent and anticipated progress for key pipeline programs is summarized below.</w:t>
      </w:r>
    </w:p>
    <w:p>
      <w:pPr>
        <w:spacing w:after="0" w:line="11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AXS-05</w:t>
      </w:r>
    </w:p>
    <w:p>
      <w:pPr>
        <w:spacing w:after="0" w:line="147"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AXS-05 (dextromethorphan-bupropion) is Axsome’s novel, oral, investigational N-methyl-D-aspartate (NMDA) receptor antagonist, sigma-1 agonist, and aminoketone CYP2D6 inhibitor being developed for smoking cessation.</w:t>
      </w:r>
    </w:p>
    <w:p>
      <w:pPr>
        <w:spacing w:after="0" w:line="120" w:lineRule="exact"/>
        <w:rPr>
          <w:sz w:val="20"/>
          <w:szCs w:val="20"/>
          <w:color w:val="auto"/>
        </w:rPr>
      </w:pPr>
    </w:p>
    <w:p>
      <w:pPr>
        <w:ind w:left="365" w:hanging="365"/>
        <w:spacing w:after="0"/>
        <w:tabs>
          <w:tab w:leader="none" w:pos="365"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Smoking Cessation: </w:t>
      </w:r>
      <w:r>
        <w:rPr>
          <w:rFonts w:ascii="Arial" w:cs="Arial" w:eastAsia="Arial" w:hAnsi="Arial"/>
          <w:sz w:val="16"/>
          <w:szCs w:val="16"/>
          <w:color w:val="auto"/>
        </w:rPr>
        <w:t>Axsome is on track to initiate a pivotal Phase 2/3 trial of AXS-05 in smoking cessation in the second quarter of 2026.</w:t>
      </w:r>
    </w:p>
    <w:p>
      <w:pPr>
        <w:spacing w:after="0" w:line="16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Solriamfetol</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6"/>
          <w:szCs w:val="16"/>
          <w:color w:val="auto"/>
        </w:rPr>
        <w:t>Solriamfetol is Axsome’s dopamine and norepinephrine reuptake inhibitor (DNRI), TAAR1 agonist, and 5-HT</w:t>
      </w:r>
      <w:r>
        <w:rPr>
          <w:rFonts w:ascii="Arial" w:cs="Arial" w:eastAsia="Arial" w:hAnsi="Arial"/>
          <w:sz w:val="21"/>
          <w:szCs w:val="21"/>
          <w:color w:val="auto"/>
          <w:vertAlign w:val="subscript"/>
        </w:rPr>
        <w:t>1A</w:t>
      </w:r>
      <w:r>
        <w:rPr>
          <w:rFonts w:ascii="Arial" w:cs="Arial" w:eastAsia="Arial" w:hAnsi="Arial"/>
          <w:sz w:val="16"/>
          <w:szCs w:val="16"/>
          <w:color w:val="auto"/>
        </w:rPr>
        <w:t xml:space="preserve"> agonist being developed for the treatment of</w:t>
      </w:r>
    </w:p>
    <w:p>
      <w:pPr>
        <w:spacing w:after="0" w:line="30" w:lineRule="exact"/>
        <w:rPr>
          <w:sz w:val="20"/>
          <w:szCs w:val="20"/>
          <w:color w:val="auto"/>
        </w:rPr>
      </w:pPr>
    </w:p>
    <w:p>
      <w:pPr>
        <w:ind w:left="5" w:right="20"/>
        <w:spacing w:after="0" w:line="242" w:lineRule="auto"/>
        <w:rPr>
          <w:sz w:val="20"/>
          <w:szCs w:val="20"/>
          <w:color w:val="auto"/>
        </w:rPr>
      </w:pPr>
      <w:r>
        <w:rPr>
          <w:rFonts w:ascii="Arial" w:cs="Arial" w:eastAsia="Arial" w:hAnsi="Arial"/>
          <w:sz w:val="16"/>
          <w:szCs w:val="16"/>
          <w:color w:val="auto"/>
        </w:rPr>
        <w:t>attention deficit hyperactivity disorder (ADHD), major depressive disorder (MDD) with EDS symptoms, binge eating disorder (BED), and excessive sleepiness associated with shift work disorder (SWD).</w:t>
      </w:r>
    </w:p>
    <w:p>
      <w:pPr>
        <w:spacing w:after="0" w:line="133" w:lineRule="exact"/>
        <w:rPr>
          <w:sz w:val="20"/>
          <w:szCs w:val="20"/>
          <w:color w:val="auto"/>
        </w:rPr>
      </w:pPr>
    </w:p>
    <w:p>
      <w:pPr>
        <w:ind w:left="365" w:right="20" w:hanging="365"/>
        <w:spacing w:after="0" w:line="262"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Attention Deficit Hyperactivity Disorder: </w:t>
      </w:r>
      <w:r>
        <w:rPr>
          <w:rFonts w:ascii="Arial" w:cs="Arial" w:eastAsia="Arial" w:hAnsi="Arial"/>
          <w:sz w:val="16"/>
          <w:szCs w:val="16"/>
          <w:color w:val="auto"/>
        </w:rPr>
        <w:t>Axsome is on track to initiate two pediatric Phase 3 trials of solriamfetol in ADHD, one in children and one in</w:t>
      </w:r>
      <w:r>
        <w:rPr>
          <w:rFonts w:ascii="Arial" w:cs="Arial" w:eastAsia="Arial" w:hAnsi="Arial"/>
          <w:sz w:val="16"/>
          <w:szCs w:val="16"/>
          <w:b w:val="1"/>
          <w:bCs w:val="1"/>
          <w:color w:val="auto"/>
        </w:rPr>
        <w:t xml:space="preserve"> </w:t>
      </w:r>
      <w:r>
        <w:rPr>
          <w:rFonts w:ascii="Arial" w:cs="Arial" w:eastAsia="Arial" w:hAnsi="Arial"/>
          <w:sz w:val="16"/>
          <w:szCs w:val="16"/>
          <w:color w:val="auto"/>
        </w:rPr>
        <w:t>adolescents, in the second quarter of 2026.</w:t>
      </w:r>
    </w:p>
    <w:p>
      <w:pPr>
        <w:spacing w:after="0" w:line="106" w:lineRule="exact"/>
        <w:rPr>
          <w:rFonts w:ascii="Times New Roman" w:cs="Times New Roman" w:eastAsia="Times New Roman" w:hAnsi="Times New Roman"/>
          <w:sz w:val="16"/>
          <w:szCs w:val="16"/>
          <w:color w:val="auto"/>
        </w:rPr>
      </w:pPr>
    </w:p>
    <w:p>
      <w:pPr>
        <w:jc w:val="both"/>
        <w:ind w:left="365" w:hanging="365"/>
        <w:spacing w:after="0" w:line="247" w:lineRule="auto"/>
        <w:tabs>
          <w:tab w:leader="none" w:pos="365"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Major Depressive Disorder: </w:t>
      </w:r>
      <w:r>
        <w:rPr>
          <w:rFonts w:ascii="Arial" w:cs="Arial" w:eastAsia="Arial" w:hAnsi="Arial"/>
          <w:sz w:val="16"/>
          <w:szCs w:val="16"/>
          <w:color w:val="auto"/>
        </w:rPr>
        <w:t>In February 2026, Axsome initiated the CLARITY study, a Phase 3, double-blind, placebo-controlled, multicenter, randomized</w:t>
      </w:r>
      <w:r>
        <w:rPr>
          <w:rFonts w:ascii="Arial" w:cs="Arial" w:eastAsia="Arial" w:hAnsi="Arial"/>
          <w:sz w:val="16"/>
          <w:szCs w:val="16"/>
          <w:b w:val="1"/>
          <w:bCs w:val="1"/>
          <w:color w:val="auto"/>
        </w:rPr>
        <w:t xml:space="preserve"> </w:t>
      </w:r>
      <w:r>
        <w:rPr>
          <w:rFonts w:ascii="Arial" w:cs="Arial" w:eastAsia="Arial" w:hAnsi="Arial"/>
          <w:sz w:val="16"/>
          <w:szCs w:val="16"/>
          <w:color w:val="auto"/>
        </w:rPr>
        <w:t>withdrawal trial evaluating the efficacy and safety of solriamfetol for the treatment of MDD with EDS symptoms. The primary endpoint is the time from randomization into the double-blind treatment period to relapse of depressive symptoms.</w:t>
      </w:r>
    </w:p>
    <w:p>
      <w:pPr>
        <w:spacing w:after="0" w:line="200" w:lineRule="exact"/>
        <w:rPr>
          <w:sz w:val="20"/>
          <w:szCs w:val="20"/>
          <w:color w:val="auto"/>
        </w:rPr>
      </w:pPr>
    </w:p>
    <w:p>
      <w:pPr>
        <w:spacing w:after="0" w:line="29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60" w:right="319" w:bottom="1440" w:gutter="0" w:footer="0" w:header="0"/>
        </w:sectPr>
      </w:pPr>
    </w:p>
    <w:bookmarkStart w:id="6" w:name="page7"/>
    <w:bookmarkEnd w:id="6"/>
    <w:p>
      <w:pPr>
        <w:ind w:left="365" w:right="20" w:hanging="365"/>
        <w:spacing w:after="0" w:line="262" w:lineRule="auto"/>
        <w:tabs>
          <w:tab w:leader="none" w:pos="365"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Binge Eating Disorder: </w:t>
      </w:r>
      <w:r>
        <w:rPr>
          <w:rFonts w:ascii="Arial" w:cs="Arial" w:eastAsia="Arial" w:hAnsi="Arial"/>
          <w:sz w:val="16"/>
          <w:szCs w:val="16"/>
          <w:color w:val="auto"/>
        </w:rPr>
        <w:t>Axsome is conducting the ENGAGE study, a Phase 3, randomized, double-blind, placebo-controlled, multicenter trial evaluating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efficacy and safety of solriamfetol in BED. The Company anticipates topline results from the ENGAGE Phase 3 trial in the second half of 2026.</w:t>
      </w:r>
    </w:p>
    <w:p>
      <w:pPr>
        <w:spacing w:after="0" w:line="106" w:lineRule="exact"/>
        <w:rPr>
          <w:rFonts w:ascii="Times New Roman" w:cs="Times New Roman" w:eastAsia="Times New Roman" w:hAnsi="Times New Roman"/>
          <w:sz w:val="16"/>
          <w:szCs w:val="16"/>
          <w:color w:val="auto"/>
        </w:rPr>
      </w:pPr>
    </w:p>
    <w:p>
      <w:pPr>
        <w:ind w:left="365" w:right="20" w:hanging="365"/>
        <w:spacing w:after="0" w:line="262" w:lineRule="auto"/>
        <w:tabs>
          <w:tab w:leader="none" w:pos="365"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Shift Work Disorder: </w:t>
      </w:r>
      <w:r>
        <w:rPr>
          <w:rFonts w:ascii="Arial" w:cs="Arial" w:eastAsia="Arial" w:hAnsi="Arial"/>
          <w:sz w:val="16"/>
          <w:szCs w:val="16"/>
          <w:color w:val="auto"/>
        </w:rPr>
        <w:t>Axsome is conducting the SUSTAIN study, a Phase 3, randomized, double-blind, placebo-controlled, multicenter trial evaluating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efficacy and safety of solriamfetol in SWD in adults. The Company anticipates topline results from the SUSTAIN Phase 3 trial in 2027.</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AXS-12</w:t>
      </w:r>
    </w:p>
    <w:p>
      <w:pPr>
        <w:spacing w:after="0" w:line="147" w:lineRule="exact"/>
        <w:rPr>
          <w:sz w:val="20"/>
          <w:szCs w:val="20"/>
          <w:color w:val="auto"/>
        </w:rPr>
      </w:pPr>
    </w:p>
    <w:p>
      <w:pPr>
        <w:ind w:left="5" w:right="20"/>
        <w:spacing w:after="0" w:line="260" w:lineRule="auto"/>
        <w:rPr>
          <w:sz w:val="20"/>
          <w:szCs w:val="20"/>
          <w:color w:val="auto"/>
        </w:rPr>
      </w:pPr>
      <w:r>
        <w:rPr>
          <w:rFonts w:ascii="Arial" w:cs="Arial" w:eastAsia="Arial" w:hAnsi="Arial"/>
          <w:sz w:val="16"/>
          <w:szCs w:val="16"/>
          <w:color w:val="auto"/>
        </w:rPr>
        <w:t>AXS-12 (reboxetine) is Axsome’s novel, oral, investigational, highly selective and potent norepinephrine reuptake inhibitor and cortical dopamine modulator being developed for the treatment of narcolepsy. AXS-12 has been granted FDA Orphan Drug designation for narcolepsy.</w:t>
      </w:r>
    </w:p>
    <w:p>
      <w:pPr>
        <w:spacing w:after="0" w:line="108" w:lineRule="exact"/>
        <w:rPr>
          <w:sz w:val="20"/>
          <w:szCs w:val="20"/>
          <w:color w:val="auto"/>
        </w:rPr>
      </w:pPr>
    </w:p>
    <w:p>
      <w:pPr>
        <w:ind w:left="365" w:hanging="365"/>
        <w:spacing w:after="0" w:line="262" w:lineRule="auto"/>
        <w:tabs>
          <w:tab w:leader="none" w:pos="365"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Narcolepsy: </w:t>
      </w:r>
      <w:r>
        <w:rPr>
          <w:rFonts w:ascii="Arial" w:cs="Arial" w:eastAsia="Arial" w:hAnsi="Arial"/>
          <w:sz w:val="16"/>
          <w:szCs w:val="16"/>
          <w:color w:val="auto"/>
        </w:rPr>
        <w:t>Axsome has submitted an NDA to the FDA for AXS-12 for the treatment of cataplexy in narcolepsy. The Company plans to announce the</w:t>
      </w:r>
      <w:r>
        <w:rPr>
          <w:rFonts w:ascii="Arial" w:cs="Arial" w:eastAsia="Arial" w:hAnsi="Arial"/>
          <w:sz w:val="16"/>
          <w:szCs w:val="16"/>
          <w:b w:val="1"/>
          <w:bCs w:val="1"/>
          <w:color w:val="auto"/>
        </w:rPr>
        <w:t xml:space="preserve"> </w:t>
      </w:r>
      <w:r>
        <w:rPr>
          <w:rFonts w:ascii="Arial" w:cs="Arial" w:eastAsia="Arial" w:hAnsi="Arial"/>
          <w:sz w:val="16"/>
          <w:szCs w:val="16"/>
          <w:color w:val="auto"/>
        </w:rPr>
        <w:t>FDA’s decision on acceptance of the filing.</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AXS-14</w:t>
      </w:r>
    </w:p>
    <w:p>
      <w:pPr>
        <w:spacing w:after="0" w:line="147" w:lineRule="exact"/>
        <w:rPr>
          <w:sz w:val="20"/>
          <w:szCs w:val="20"/>
          <w:color w:val="auto"/>
        </w:rPr>
      </w:pPr>
    </w:p>
    <w:p>
      <w:pPr>
        <w:ind w:left="5"/>
        <w:spacing w:after="0" w:line="260" w:lineRule="auto"/>
        <w:rPr>
          <w:sz w:val="20"/>
          <w:szCs w:val="20"/>
          <w:color w:val="auto"/>
        </w:rPr>
      </w:pPr>
      <w:r>
        <w:rPr>
          <w:rFonts w:ascii="Arial" w:cs="Arial" w:eastAsia="Arial" w:hAnsi="Arial"/>
          <w:sz w:val="16"/>
          <w:szCs w:val="16"/>
          <w:color w:val="auto"/>
        </w:rPr>
        <w:t>AXS-14 (esreboxetine) is Axsome’s novel, oral, investigational, highly selective and potent norepinephrine reuptake inhibitor being developed for the management of fibromyalgia. Esreboxetine, the SS-enantiomer of reboxetine, is more potent and selective than racemic reboxetine.</w:t>
      </w:r>
    </w:p>
    <w:p>
      <w:pPr>
        <w:spacing w:after="0" w:line="108" w:lineRule="exact"/>
        <w:rPr>
          <w:sz w:val="20"/>
          <w:szCs w:val="20"/>
          <w:color w:val="auto"/>
        </w:rPr>
      </w:pPr>
    </w:p>
    <w:p>
      <w:pPr>
        <w:ind w:left="365" w:right="20" w:hanging="365"/>
        <w:spacing w:after="0" w:line="262" w:lineRule="auto"/>
        <w:tabs>
          <w:tab w:leader="none" w:pos="365"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Fibromyalgia: </w:t>
      </w:r>
      <w:r>
        <w:rPr>
          <w:rFonts w:ascii="Arial" w:cs="Arial" w:eastAsia="Arial" w:hAnsi="Arial"/>
          <w:sz w:val="16"/>
          <w:szCs w:val="16"/>
          <w:color w:val="auto"/>
        </w:rPr>
        <w:t>Axsome is conducting the FORWARD study, a Phase 3, double-blind, placebo-controlled, multicenter, randomized withdrawal trial</w:t>
      </w:r>
      <w:r>
        <w:rPr>
          <w:rFonts w:ascii="Arial" w:cs="Arial" w:eastAsia="Arial" w:hAnsi="Arial"/>
          <w:sz w:val="16"/>
          <w:szCs w:val="16"/>
          <w:b w:val="1"/>
          <w:bCs w:val="1"/>
          <w:color w:val="auto"/>
        </w:rPr>
        <w:t xml:space="preserve"> </w:t>
      </w:r>
      <w:r>
        <w:rPr>
          <w:rFonts w:ascii="Arial" w:cs="Arial" w:eastAsia="Arial" w:hAnsi="Arial"/>
          <w:sz w:val="16"/>
          <w:szCs w:val="16"/>
          <w:color w:val="auto"/>
        </w:rPr>
        <w:t>evaluating the efficacy and safety of AXS-14 for the management of fibromyalgia.</w:t>
      </w:r>
    </w:p>
    <w:p>
      <w:pPr>
        <w:spacing w:after="0" w:line="120"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AXS-17</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6"/>
          <w:szCs w:val="16"/>
          <w:color w:val="auto"/>
        </w:rPr>
        <w:t>AXS-17 is Axsome’s novel oral GABA</w:t>
      </w:r>
      <w:r>
        <w:rPr>
          <w:rFonts w:ascii="Arial" w:cs="Arial" w:eastAsia="Arial" w:hAnsi="Arial"/>
          <w:sz w:val="21"/>
          <w:szCs w:val="21"/>
          <w:color w:val="auto"/>
          <w:vertAlign w:val="subscript"/>
        </w:rPr>
        <w:t>A</w:t>
      </w:r>
      <w:r>
        <w:rPr>
          <w:rFonts w:ascii="Arial" w:cs="Arial" w:eastAsia="Arial" w:hAnsi="Arial"/>
          <w:sz w:val="16"/>
          <w:szCs w:val="16"/>
          <w:color w:val="auto"/>
        </w:rPr>
        <w:t xml:space="preserve"> receptor α2,3 subtype-selective positive allosteric modulator (PAM) being developed for the treatment of epilepsy.</w:t>
      </w:r>
    </w:p>
    <w:p>
      <w:pPr>
        <w:spacing w:after="0" w:line="168" w:lineRule="exact"/>
        <w:rPr>
          <w:sz w:val="20"/>
          <w:szCs w:val="20"/>
          <w:color w:val="auto"/>
        </w:rPr>
      </w:pPr>
    </w:p>
    <w:p>
      <w:pPr>
        <w:ind w:left="365" w:hanging="365"/>
        <w:spacing w:after="0"/>
        <w:tabs>
          <w:tab w:leader="none" w:pos="365"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Epilepsy: </w:t>
      </w:r>
      <w:r>
        <w:rPr>
          <w:rFonts w:ascii="Arial" w:cs="Arial" w:eastAsia="Arial" w:hAnsi="Arial"/>
          <w:sz w:val="16"/>
          <w:szCs w:val="16"/>
          <w:color w:val="auto"/>
        </w:rPr>
        <w:t>Phase 2 trial-enabling activities for AXS-17 in epilepsy are underway.</w:t>
      </w:r>
    </w:p>
    <w:p>
      <w:pPr>
        <w:spacing w:after="0" w:line="20"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Arial" w:cs="Arial" w:eastAsia="Arial" w:hAnsi="Arial"/>
          <w:sz w:val="16"/>
          <w:szCs w:val="16"/>
          <w:b w:val="1"/>
          <w:bCs w:val="1"/>
          <w:i w:val="1"/>
          <w:iCs w:val="1"/>
          <w:color w:val="auto"/>
        </w:rPr>
        <w:t>AXS-20</w:t>
      </w:r>
    </w:p>
    <w:p>
      <w:pPr>
        <w:spacing w:after="0" w:line="145" w:lineRule="exact"/>
        <w:rPr>
          <w:sz w:val="20"/>
          <w:szCs w:val="20"/>
          <w:color w:val="auto"/>
        </w:rPr>
      </w:pPr>
    </w:p>
    <w:p>
      <w:pPr>
        <w:ind w:left="5"/>
        <w:spacing w:after="0" w:line="260" w:lineRule="auto"/>
        <w:rPr>
          <w:sz w:val="20"/>
          <w:szCs w:val="20"/>
          <w:color w:val="auto"/>
        </w:rPr>
      </w:pPr>
      <w:r>
        <w:rPr>
          <w:rFonts w:ascii="Arial" w:cs="Arial" w:eastAsia="Arial" w:hAnsi="Arial"/>
          <w:sz w:val="16"/>
          <w:szCs w:val="16"/>
          <w:color w:val="auto"/>
        </w:rPr>
        <w:t>AXS-20 (balipodect) is Axsome’s novel oral, potent, and selective phosphodiesterase 10A (PDE10A) inhibitor being developed for the treatment of schizophrenia and Tourette syndrome. The Company acquired balipodect in April 2026.</w:t>
      </w:r>
    </w:p>
    <w:p>
      <w:pPr>
        <w:spacing w:after="0" w:line="108" w:lineRule="exact"/>
        <w:rPr>
          <w:sz w:val="20"/>
          <w:szCs w:val="20"/>
          <w:color w:val="auto"/>
        </w:rPr>
      </w:pPr>
    </w:p>
    <w:p>
      <w:pPr>
        <w:ind w:left="365" w:hanging="365"/>
        <w:spacing w:after="0"/>
        <w:tabs>
          <w:tab w:leader="none" w:pos="365"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Schizophrenia: </w:t>
      </w:r>
      <w:r>
        <w:rPr>
          <w:rFonts w:ascii="Arial" w:cs="Arial" w:eastAsia="Arial" w:hAnsi="Arial"/>
          <w:sz w:val="16"/>
          <w:szCs w:val="16"/>
          <w:color w:val="auto"/>
        </w:rPr>
        <w:t>Phase 3 trial-enabling activities for AXS-20 in schizophrenia are anticipated in 2026.</w:t>
      </w:r>
    </w:p>
    <w:p>
      <w:pPr>
        <w:spacing w:after="0" w:line="158"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Tourette Syndrome: </w:t>
      </w:r>
      <w:r>
        <w:rPr>
          <w:rFonts w:ascii="Arial" w:cs="Arial" w:eastAsia="Arial" w:hAnsi="Arial"/>
          <w:sz w:val="16"/>
          <w:szCs w:val="16"/>
          <w:color w:val="auto"/>
        </w:rPr>
        <w:t>Axsome plans to evaluate AXS-20 as a potential treatment for Tourette syndrome.</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Anticipated Milestones</w:t>
      </w:r>
    </w:p>
    <w:p>
      <w:pPr>
        <w:spacing w:after="0" w:line="147" w:lineRule="exact"/>
        <w:rPr>
          <w:sz w:val="20"/>
          <w:szCs w:val="20"/>
          <w:color w:val="auto"/>
        </w:rPr>
      </w:pPr>
    </w:p>
    <w:p>
      <w:pPr>
        <w:ind w:left="365" w:hanging="365"/>
        <w:spacing w:after="0"/>
        <w:tabs>
          <w:tab w:leader="none" w:pos="365"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Regulatory and Commercial:</w:t>
      </w:r>
    </w:p>
    <w:p>
      <w:pPr>
        <w:spacing w:after="0" w:line="160" w:lineRule="exact"/>
        <w:rPr>
          <w:sz w:val="20"/>
          <w:szCs w:val="20"/>
          <w:color w:val="auto"/>
        </w:rPr>
      </w:pPr>
    </w:p>
    <w:p>
      <w:pPr>
        <w:ind w:left="1125" w:hanging="375"/>
        <w:spacing w:after="0"/>
        <w:tabs>
          <w:tab w:leader="none" w:pos="1125" w:val="left"/>
        </w:tabs>
        <w:numPr>
          <w:ilvl w:val="1"/>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AUVELITY for Alzheimer’s disease agitation, full commercial launch (June 2026)</w:t>
      </w:r>
    </w:p>
    <w:p>
      <w:pPr>
        <w:spacing w:after="0" w:line="168" w:lineRule="exact"/>
        <w:rPr>
          <w:rFonts w:ascii="Times New Roman" w:cs="Times New Roman" w:eastAsia="Times New Roman" w:hAnsi="Times New Roman"/>
          <w:sz w:val="16"/>
          <w:szCs w:val="16"/>
          <w:color w:val="auto"/>
        </w:rPr>
      </w:pPr>
    </w:p>
    <w:p>
      <w:pPr>
        <w:ind w:left="365" w:hanging="365"/>
        <w:spacing w:after="0"/>
        <w:tabs>
          <w:tab w:leader="none" w:pos="365"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Clinical Trial Topline Results:</w:t>
      </w:r>
    </w:p>
    <w:p>
      <w:pPr>
        <w:spacing w:after="0" w:line="160"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Phase 3 ENGAGE trial of solriamfetol in binge eating disorder (2H 2026)</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1"/>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Phase 3 SUSTAIN trial of solriamfetol in shift work disorder (2027)</w:t>
      </w:r>
    </w:p>
    <w:p>
      <w:pPr>
        <w:spacing w:after="0" w:line="200" w:lineRule="exact"/>
        <w:rPr>
          <w:sz w:val="20"/>
          <w:szCs w:val="20"/>
          <w:color w:val="auto"/>
        </w:rPr>
      </w:pPr>
    </w:p>
    <w:p>
      <w:pPr>
        <w:spacing w:after="0" w:line="34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7" w:name="page8"/>
    <w:bookmarkEnd w:id="7"/>
    <w:p>
      <w:pPr>
        <w:ind w:left="365" w:hanging="365"/>
        <w:spacing w:after="0"/>
        <w:tabs>
          <w:tab w:leader="none" w:pos="365"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Clinical Trial Initiations and Progress:</w:t>
      </w:r>
    </w:p>
    <w:p>
      <w:pPr>
        <w:spacing w:after="0" w:line="160" w:lineRule="exact"/>
        <w:rPr>
          <w:sz w:val="20"/>
          <w:szCs w:val="20"/>
          <w:color w:val="auto"/>
        </w:rPr>
      </w:pPr>
    </w:p>
    <w:p>
      <w:pPr>
        <w:ind w:left="1125" w:hanging="375"/>
        <w:spacing w:after="0"/>
        <w:tabs>
          <w:tab w:leader="none" w:pos="1125"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Phase 2/3 trial of AXS-05 in smoking cessation, initiation (2Q 2026)</w:t>
      </w:r>
    </w:p>
    <w:p>
      <w:pPr>
        <w:spacing w:after="0" w:line="170"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Phase 3 trial of solriamfetol in children with ADHD, initiation (2Q 2026)</w:t>
      </w:r>
    </w:p>
    <w:p>
      <w:pPr>
        <w:spacing w:after="0" w:line="158" w:lineRule="exact"/>
        <w:rPr>
          <w:rFonts w:ascii="Times New Roman" w:cs="Times New Roman" w:eastAsia="Times New Roman" w:hAnsi="Times New Roman"/>
          <w:sz w:val="16"/>
          <w:szCs w:val="16"/>
          <w:color w:val="auto"/>
        </w:rPr>
      </w:pPr>
    </w:p>
    <w:p>
      <w:pPr>
        <w:ind w:left="1125" w:hanging="375"/>
        <w:spacing w:after="0"/>
        <w:tabs>
          <w:tab w:leader="none" w:pos="1125"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Phase 3 trial of solriamfetol in adolescents with ADHD, initiation (2Q 2026)</w:t>
      </w:r>
    </w:p>
    <w:p>
      <w:pPr>
        <w:spacing w:after="0" w:line="15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Conference Call Information</w:t>
      </w:r>
    </w:p>
    <w:p>
      <w:pPr>
        <w:spacing w:after="0" w:line="161" w:lineRule="exact"/>
        <w:rPr>
          <w:sz w:val="20"/>
          <w:szCs w:val="20"/>
          <w:color w:val="auto"/>
        </w:rPr>
      </w:pPr>
    </w:p>
    <w:p>
      <w:pPr>
        <w:jc w:val="both"/>
        <w:ind w:left="5" w:right="20"/>
        <w:spacing w:after="0" w:line="241" w:lineRule="auto"/>
        <w:rPr>
          <w:sz w:val="20"/>
          <w:szCs w:val="20"/>
          <w:color w:val="auto"/>
        </w:rPr>
      </w:pPr>
      <w:r>
        <w:rPr>
          <w:rFonts w:ascii="Arial" w:cs="Arial" w:eastAsia="Arial" w:hAnsi="Arial"/>
          <w:sz w:val="16"/>
          <w:szCs w:val="16"/>
          <w:color w:val="auto"/>
        </w:rPr>
        <w:t>Axsome will host a conference call and webcast today at 8:00 a.m. Eastern Time to discuss its first quarter 2026 financial results and provide a business update. To participate in the live conference call, please dial (877) 405-1239 (toll-free domestic) or +1 (201) 389-0851 (international). A live webcast of the conference call can be accessed on the “Webcasts &amp; Presentations” page of the “Investors” section of the Company’s website at Axsome.com. A replay of the conference call will be available for approximately 30 days following the live event.</w:t>
      </w:r>
    </w:p>
    <w:p>
      <w:pPr>
        <w:spacing w:after="0" w:line="12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About Axsome Therapeutics</w:t>
      </w:r>
    </w:p>
    <w:p>
      <w:pPr>
        <w:spacing w:after="0" w:line="149" w:lineRule="exact"/>
        <w:rPr>
          <w:sz w:val="20"/>
          <w:szCs w:val="20"/>
          <w:color w:val="auto"/>
        </w:rPr>
      </w:pPr>
    </w:p>
    <w:p>
      <w:pPr>
        <w:jc w:val="both"/>
        <w:ind w:left="5"/>
        <w:spacing w:after="0" w:line="236" w:lineRule="auto"/>
        <w:rPr>
          <w:sz w:val="20"/>
          <w:szCs w:val="20"/>
          <w:color w:val="auto"/>
        </w:rPr>
      </w:pPr>
      <w:r>
        <w:rPr>
          <w:rFonts w:ascii="Arial" w:cs="Arial" w:eastAsia="Arial" w:hAnsi="Arial"/>
          <w:sz w:val="16"/>
          <w:szCs w:val="16"/>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www.axsome.com and follow us on LinkedIn and X.</w:t>
      </w:r>
    </w:p>
    <w:p>
      <w:pPr>
        <w:spacing w:after="0" w:line="200" w:lineRule="exact"/>
        <w:rPr>
          <w:sz w:val="20"/>
          <w:szCs w:val="20"/>
          <w:color w:val="auto"/>
        </w:rPr>
      </w:pPr>
    </w:p>
    <w:p>
      <w:pPr>
        <w:spacing w:after="0" w:line="31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Forward Looking Statements</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0"/>
          <w:szCs w:val="20"/>
          <w:color w:val="auto"/>
          <w:vertAlign w:val="superscript"/>
        </w:rPr>
        <w:t>®</w:t>
      </w:r>
      <w:r>
        <w:rPr>
          <w:rFonts w:ascii="Arial" w:cs="Arial" w:eastAsia="Arial" w:hAnsi="Arial"/>
          <w:sz w:val="15"/>
          <w:szCs w:val="15"/>
          <w:color w:val="auto"/>
        </w:rPr>
        <w:t>, AUVELITY</w:t>
      </w:r>
      <w:r>
        <w:rPr>
          <w:rFonts w:ascii="Arial" w:cs="Arial" w:eastAsia="Arial" w:hAnsi="Arial"/>
          <w:sz w:val="20"/>
          <w:szCs w:val="20"/>
          <w:color w:val="auto"/>
          <w:vertAlign w:val="superscript"/>
        </w:rPr>
        <w:t>®</w:t>
      </w:r>
      <w:r>
        <w:rPr>
          <w:rFonts w:ascii="Arial" w:cs="Arial" w:eastAsia="Arial" w:hAnsi="Arial"/>
          <w:sz w:val="15"/>
          <w:szCs w:val="15"/>
          <w:color w:val="auto"/>
        </w:rPr>
        <w:t>, and SYMBRAVO</w:t>
      </w:r>
      <w:r>
        <w:rPr>
          <w:rFonts w:ascii="Arial" w:cs="Arial" w:eastAsia="Arial" w:hAnsi="Arial"/>
          <w:sz w:val="20"/>
          <w:szCs w:val="20"/>
          <w:color w:val="auto"/>
          <w:vertAlign w:val="superscript"/>
        </w:rPr>
        <w:t>®</w:t>
      </w:r>
      <w:r>
        <w:rPr>
          <w:rFonts w:ascii="Arial" w:cs="Arial" w:eastAsia="Arial" w:hAnsi="Arial"/>
          <w:sz w:val="15"/>
          <w:szCs w:val="15"/>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color w:val="auto"/>
        </w:rPr>
        <w:t>Axsome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Selected Consolidated Financial Data</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Axsome Therapeutics, Inc.</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jc w:val="center"/>
        <w:ind w:right="20"/>
        <w:spacing w:after="0"/>
        <w:rPr>
          <w:sz w:val="20"/>
          <w:szCs w:val="20"/>
          <w:color w:val="auto"/>
        </w:rPr>
      </w:pPr>
      <w:r>
        <w:rPr>
          <w:rFonts w:ascii="Arial" w:cs="Arial" w:eastAsia="Arial" w:hAnsi="Arial"/>
          <w:sz w:val="16"/>
          <w:szCs w:val="16"/>
          <w:color w:val="auto"/>
        </w:rPr>
        <w:t>(In thousands, except share and per share amounts)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2"/>
        </w:trPr>
        <w:tc>
          <w:tcPr>
            <w:tcW w:w="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jc w:val="center"/>
              <w:ind w:right="203"/>
              <w:spacing w:after="0" w:line="122" w:lineRule="exact"/>
              <w:rPr>
                <w:sz w:val="20"/>
                <w:szCs w:val="20"/>
                <w:color w:val="auto"/>
              </w:rPr>
            </w:pPr>
            <w:r>
              <w:rPr>
                <w:rFonts w:ascii="Times New Roman" w:cs="Times New Roman" w:eastAsia="Times New Roman" w:hAnsi="Times New Roman"/>
                <w:sz w:val="13"/>
                <w:szCs w:val="13"/>
                <w:b w:val="1"/>
                <w:bCs w:val="1"/>
                <w:color w:val="auto"/>
                <w:w w:val="95"/>
              </w:rPr>
              <w:t>(Unaudited)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305,106</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322,933</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251,062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224,464</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31,515</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27,938</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13,651</w:t>
            </w:r>
          </w:p>
        </w:tc>
        <w:tc>
          <w:tcPr>
            <w:tcW w:w="1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611,206</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588,986</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Equipment, net</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 - operating lease</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20,014</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20,858</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net</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38,947</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40,519</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Non-current inventory and other assets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30,831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26,838</w:t>
            </w:r>
          </w:p>
        </w:tc>
        <w:tc>
          <w:tcPr>
            <w:tcW w:w="12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713,607</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689,805</w:t>
            </w:r>
          </w:p>
        </w:tc>
        <w:tc>
          <w:tcPr>
            <w:tcW w:w="120" w:type="dxa"/>
            <w:vAlign w:val="bottom"/>
            <w:shd w:val="clear" w:color="auto" w:fill="CFF0FC"/>
          </w:tcPr>
          <w:p>
            <w:pPr>
              <w:spacing w:after="0"/>
              <w:rPr>
                <w:sz w:val="19"/>
                <w:szCs w:val="19"/>
                <w:color w:val="auto"/>
              </w:rPr>
            </w:pPr>
          </w:p>
        </w:tc>
      </w:tr>
      <w:tr>
        <w:trPr>
          <w:trHeight w:val="165"/>
        </w:trPr>
        <w:tc>
          <w:tcPr>
            <w:tcW w:w="20" w:type="dxa"/>
            <w:vAlign w:val="bottom"/>
          </w:tcPr>
          <w:p>
            <w:pPr>
              <w:spacing w:after="0"/>
              <w:rPr>
                <w:sz w:val="14"/>
                <w:szCs w:val="14"/>
                <w:color w:val="auto"/>
              </w:rPr>
            </w:pPr>
          </w:p>
        </w:tc>
        <w:tc>
          <w:tcPr>
            <w:tcW w:w="774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106,702</w:t>
            </w:r>
          </w:p>
        </w:tc>
        <w:tc>
          <w:tcPr>
            <w:tcW w:w="180" w:type="dxa"/>
            <w:vAlign w:val="bottom"/>
          </w:tcPr>
          <w:p>
            <w:pPr>
              <w:spacing w:after="0"/>
              <w:rPr>
                <w:sz w:val="16"/>
                <w:szCs w:val="16"/>
                <w:color w:val="auto"/>
              </w:rPr>
            </w:pP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65,537</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250,731</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232,853</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Contingent consideration, current</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11,150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10,012</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borrowings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439,211</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378,836</w:t>
            </w:r>
          </w:p>
        </w:tc>
        <w:tc>
          <w:tcPr>
            <w:tcW w:w="120" w:type="dxa"/>
            <w:vAlign w:val="bottom"/>
            <w:shd w:val="clear" w:color="auto" w:fill="CFF0FC"/>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Contingent consideration, non-current</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77,540</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 payable, long-term</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117,850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117,746</w:t>
            </w: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23,182</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 liability, long-term</w:t>
            </w:r>
          </w:p>
        </w:tc>
        <w:tc>
          <w:tcPr>
            <w:tcW w:w="2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5,844</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659,020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601,510</w:t>
            </w:r>
          </w:p>
        </w:tc>
        <w:tc>
          <w:tcPr>
            <w:tcW w:w="1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$0.0001 par value per share (10,000,000 shares authorized, none issued and outstanding)</w:t>
            </w:r>
          </w:p>
        </w:tc>
        <w:tc>
          <w:tcPr>
            <w:tcW w:w="26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3"/>
        </w:trPr>
        <w:tc>
          <w:tcPr>
            <w:tcW w:w="20" w:type="dxa"/>
            <w:vAlign w:val="bottom"/>
          </w:tcPr>
          <w:p>
            <w:pPr>
              <w:spacing w:after="0"/>
              <w:rPr>
                <w:sz w:val="15"/>
                <w:szCs w:val="15"/>
                <w:color w:val="auto"/>
              </w:rPr>
            </w:pPr>
          </w:p>
        </w:tc>
        <w:tc>
          <w:tcPr>
            <w:tcW w:w="7740" w:type="dxa"/>
            <w:vAlign w:val="bottom"/>
            <w:shd w:val="clear" w:color="auto" w:fill="CFF0FC"/>
          </w:tcPr>
          <w:p>
            <w:pPr>
              <w:ind w:left="120"/>
              <w:spacing w:after="0" w:line="173" w:lineRule="exact"/>
              <w:rPr>
                <w:sz w:val="20"/>
                <w:szCs w:val="20"/>
                <w:color w:val="auto"/>
              </w:rPr>
            </w:pPr>
            <w:r>
              <w:rPr>
                <w:rFonts w:ascii="Times New Roman" w:cs="Times New Roman" w:eastAsia="Times New Roman" w:hAnsi="Times New Roman"/>
                <w:sz w:val="16"/>
                <w:szCs w:val="16"/>
                <w:color w:val="auto"/>
              </w:rPr>
              <w:t>Common stock, $0.0001 par value per share (150,000,000 shares authorized, 51,420,445 and 50,882,766 shares</w:t>
            </w: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issued and outstanding at March 31, 2026 and December 31, 2025, respectively)</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1,425,085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1,394,251</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(1,370,503)</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(1,305,961)</w:t>
            </w:r>
          </w:p>
        </w:tc>
      </w:tr>
      <w:tr>
        <w:trPr>
          <w:trHeight w:val="181"/>
        </w:trPr>
        <w:tc>
          <w:tcPr>
            <w:tcW w:w="20" w:type="dxa"/>
            <w:vAlign w:val="bottom"/>
          </w:tcPr>
          <w:p>
            <w:pPr>
              <w:spacing w:after="0"/>
              <w:rPr>
                <w:sz w:val="15"/>
                <w:szCs w:val="15"/>
                <w:color w:val="auto"/>
              </w:rPr>
            </w:pPr>
          </w:p>
        </w:tc>
        <w:tc>
          <w:tcPr>
            <w:tcW w:w="7740" w:type="dxa"/>
            <w:vAlign w:val="bottom"/>
            <w:tcBorders>
              <w:top w:val="single" w:sz="8" w:color="CFF0FC"/>
            </w:tcBorders>
          </w:tcPr>
          <w:p>
            <w:pPr>
              <w:spacing w:after="0" w:line="181" w:lineRule="exact"/>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54,587</w:t>
            </w: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88,295</w:t>
            </w:r>
          </w:p>
        </w:tc>
        <w:tc>
          <w:tcPr>
            <w:tcW w:w="120" w:type="dxa"/>
            <w:vAlign w:val="bottom"/>
            <w:tcBorders>
              <w:top w:val="single" w:sz="8" w:color="CFF0FC"/>
            </w:tcBorders>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77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713,607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689,805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733"/>
        </w:trPr>
        <w:tc>
          <w:tcPr>
            <w:tcW w:w="7760" w:type="dxa"/>
            <w:vAlign w:val="bottom"/>
            <w:gridSpan w:val="2"/>
          </w:tcPr>
          <w:p>
            <w:pPr>
              <w:jc w:val="right"/>
              <w:ind w:right="2021"/>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65"/>
        </w:trPr>
        <w:tc>
          <w:tcPr>
            <w:tcW w:w="20" w:type="dxa"/>
            <w:vAlign w:val="bottom"/>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-3514090</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-3498850</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-3514090</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-3498850</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-2042160</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-2042160</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-1193165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-1193165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-937895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5906770</wp:posOffset>
            </wp:positionH>
            <wp:positionV relativeFrom="paragraph">
              <wp:posOffset>-923290</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-937895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-923290</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1258" w:right="319" w:bottom="1440" w:gutter="0" w:footer="0" w:header="0"/>
        </w:sectPr>
      </w:pPr>
    </w:p>
    <w:bookmarkStart w:id="10" w:name="page11"/>
    <w:bookmarkEnd w:id="10"/>
    <w:p>
      <w:pPr>
        <w:jc w:val="center"/>
        <w:ind w:right="-4"/>
        <w:spacing w:after="0"/>
        <w:rPr>
          <w:sz w:val="20"/>
          <w:szCs w:val="20"/>
          <w:color w:val="auto"/>
        </w:rPr>
      </w:pPr>
      <w:r>
        <w:rPr>
          <w:rFonts w:ascii="Arial" w:cs="Arial" w:eastAsia="Arial" w:hAnsi="Arial"/>
          <w:sz w:val="16"/>
          <w:szCs w:val="16"/>
          <w:b w:val="1"/>
          <w:bCs w:val="1"/>
          <w:color w:val="auto"/>
        </w:rPr>
        <w:t>Axsome Therapeutics, Inc.</w:t>
      </w:r>
    </w:p>
    <w:p>
      <w:pPr>
        <w:spacing w:after="0" w:line="3"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Consolidated Statements of Operations (Unaudited)</w:t>
      </w:r>
    </w:p>
    <w:p>
      <w:pPr>
        <w:jc w:val="center"/>
        <w:ind w:right="-4"/>
        <w:spacing w:after="0"/>
        <w:rPr>
          <w:sz w:val="20"/>
          <w:szCs w:val="20"/>
          <w:color w:val="auto"/>
        </w:rPr>
      </w:pPr>
      <w:r>
        <w:rPr>
          <w:rFonts w:ascii="Arial" w:cs="Arial" w:eastAsia="Arial" w:hAnsi="Arial"/>
          <w:sz w:val="16"/>
          <w:szCs w:val="16"/>
          <w:color w:val="auto"/>
        </w:rPr>
        <w:t>(In thousands, except share and per share amounts)</w:t>
      </w:r>
    </w:p>
    <w:p>
      <w:pPr>
        <w:spacing w:after="0" w:line="161"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40" w:type="dxa"/>
            <w:vAlign w:val="bottom"/>
            <w:gridSpan w:val="6"/>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180" w:type="dxa"/>
            <w:vAlign w:val="bottom"/>
            <w:tcBorders>
              <w:top w:val="single" w:sz="8" w:color="auto"/>
              <w:bottom w:val="single" w:sz="8" w:color="auto"/>
            </w:tcBorders>
          </w:tcPr>
          <w:p>
            <w:pPr>
              <w:jc w:val="right"/>
              <w:ind w:right="583"/>
              <w:spacing w:after="0" w:line="122" w:lineRule="exact"/>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tcPr>
          <w:p>
            <w:pPr>
              <w:jc w:val="right"/>
              <w:ind w:right="582"/>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Revenues:</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 sales, net</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189,400</w:t>
            </w:r>
          </w:p>
        </w:tc>
        <w:tc>
          <w:tcPr>
            <w:tcW w:w="180" w:type="dxa"/>
            <w:vAlign w:val="bottom"/>
          </w:tcPr>
          <w:p>
            <w:pPr>
              <w:spacing w:after="0"/>
              <w:rPr>
                <w:sz w:val="16"/>
                <w:szCs w:val="16"/>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120,358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Royalty revenue and milestone revenue</w:t>
            </w:r>
          </w:p>
        </w:tc>
        <w:tc>
          <w:tcPr>
            <w:tcW w:w="3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191,203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121,463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 (excluding amortization and depreciation)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52,677</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44,785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184,996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Loss in fair value of contingent consideration</w:t>
            </w: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Borders>
              <w:bottom w:val="single" w:sz="8" w:color="CFF0FC"/>
            </w:tcBorders>
            <w:shd w:val="clear" w:color="auto" w:fill="CFF0FC"/>
          </w:tcPr>
          <w:p>
            <w:pPr>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254,560</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color w:val="auto"/>
              </w:rPr>
              <w:t>178,445</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tcPr>
          <w:p>
            <w:pPr>
              <w:spacing w:after="0"/>
              <w:rPr>
                <w:sz w:val="15"/>
                <w:szCs w:val="15"/>
                <w:color w:val="auto"/>
              </w:rPr>
            </w:pPr>
          </w:p>
        </w:tc>
        <w:tc>
          <w:tcPr>
            <w:tcW w:w="13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(63,357)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(56,982)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3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Loss before income taxes</w:t>
            </w:r>
          </w:p>
        </w:tc>
        <w:tc>
          <w:tcPr>
            <w:tcW w:w="360" w:type="dxa"/>
            <w:vAlign w:val="bottom"/>
          </w:tcPr>
          <w:p>
            <w:pPr>
              <w:spacing w:after="0"/>
              <w:rPr>
                <w:sz w:val="15"/>
                <w:szCs w:val="15"/>
                <w:color w:val="auto"/>
              </w:rPr>
            </w:pPr>
          </w:p>
        </w:tc>
        <w:tc>
          <w:tcPr>
            <w:tcW w:w="13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(64,542)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(59,413)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7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201"/>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6"/>
                <w:szCs w:val="16"/>
                <w:color w:val="auto"/>
              </w:rPr>
              <w:t>(64,542)</w:t>
            </w:r>
          </w:p>
        </w:tc>
        <w:tc>
          <w:tcPr>
            <w:tcW w:w="460" w:type="dxa"/>
            <w:vAlign w:val="bottom"/>
            <w:gridSpan w:val="2"/>
          </w:tcPr>
          <w:p>
            <w:pPr>
              <w:jc w:val="right"/>
              <w:ind w:right="2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line="181" w:lineRule="exact"/>
              <w:rPr>
                <w:sz w:val="20"/>
                <w:szCs w:val="20"/>
                <w:color w:val="auto"/>
              </w:rPr>
            </w:pPr>
            <w:r>
              <w:rPr>
                <w:rFonts w:ascii="Times New Roman" w:cs="Times New Roman" w:eastAsia="Times New Roman" w:hAnsi="Times New Roman"/>
                <w:sz w:val="16"/>
                <w:szCs w:val="16"/>
                <w:color w:val="auto"/>
              </w:rPr>
              <w:t>(59,413)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7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360" w:type="dxa"/>
            <w:vAlign w:val="bottom"/>
            <w:shd w:val="clear" w:color="auto" w:fill="CFF0FC"/>
          </w:tcPr>
          <w:p>
            <w:pPr>
              <w:jc w:val="right"/>
              <w:ind w:right="201"/>
              <w:spacing w:after="0" w:line="165"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shd w:val="clear" w:color="auto" w:fill="CFF0FC"/>
          </w:tcPr>
          <w:p>
            <w:pPr>
              <w:jc w:val="right"/>
              <w:ind w:right="120"/>
              <w:spacing w:after="0" w:line="165" w:lineRule="exact"/>
              <w:rPr>
                <w:sz w:val="20"/>
                <w:szCs w:val="20"/>
                <w:color w:val="auto"/>
              </w:rPr>
            </w:pPr>
            <w:r>
              <w:rPr>
                <w:rFonts w:ascii="Times New Roman" w:cs="Times New Roman" w:eastAsia="Times New Roman" w:hAnsi="Times New Roman"/>
                <w:sz w:val="16"/>
                <w:szCs w:val="16"/>
                <w:color w:val="auto"/>
              </w:rPr>
              <w:t>(1.26)</w:t>
            </w:r>
          </w:p>
        </w:tc>
        <w:tc>
          <w:tcPr>
            <w:tcW w:w="460" w:type="dxa"/>
            <w:vAlign w:val="bottom"/>
            <w:gridSpan w:val="2"/>
            <w:shd w:val="clear" w:color="auto" w:fill="CFF0FC"/>
          </w:tcPr>
          <w:p>
            <w:pPr>
              <w:jc w:val="right"/>
              <w:ind w:right="28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line="165" w:lineRule="exact"/>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740" w:type="dxa"/>
            <w:vAlign w:val="bottom"/>
            <w:tcBorders>
              <w:top w:val="single" w:sz="8" w:color="CFF0FC"/>
            </w:tcBorders>
          </w:tcPr>
          <w:p>
            <w:pPr>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51,198,349</w:t>
            </w:r>
          </w:p>
        </w:tc>
        <w:tc>
          <w:tcPr>
            <w:tcW w:w="18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6"/>
                <w:szCs w:val="16"/>
                <w:color w:val="auto"/>
              </w:rPr>
              <w:t>48,871,163</w:t>
            </w:r>
          </w:p>
        </w:tc>
        <w:tc>
          <w:tcPr>
            <w:tcW w:w="1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-1914525</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-1914525</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-930275</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-930275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-682625</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-682625</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-434975</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-434975</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-164465</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-149860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-164465</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-149860</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4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Investors:</w:t>
      </w:r>
    </w:p>
    <w:p>
      <w:pPr>
        <w:spacing w:after="0" w:line="9" w:lineRule="exact"/>
        <w:rPr>
          <w:sz w:val="20"/>
          <w:szCs w:val="20"/>
          <w:color w:val="auto"/>
        </w:rPr>
      </w:pPr>
    </w:p>
    <w:p>
      <w:pPr>
        <w:ind w:left="5"/>
        <w:spacing w:after="0"/>
        <w:rPr>
          <w:sz w:val="20"/>
          <w:szCs w:val="20"/>
          <w:color w:val="auto"/>
        </w:rPr>
      </w:pPr>
      <w:r>
        <w:rPr>
          <w:rFonts w:ascii="Arial" w:cs="Arial" w:eastAsia="Arial" w:hAnsi="Arial"/>
          <w:sz w:val="16"/>
          <w:szCs w:val="16"/>
          <w:color w:val="auto"/>
        </w:rPr>
        <w:t>Ashley Dong</w:t>
      </w:r>
    </w:p>
    <w:p>
      <w:pPr>
        <w:ind w:left="5"/>
        <w:spacing w:after="0" w:line="238" w:lineRule="auto"/>
        <w:rPr>
          <w:sz w:val="20"/>
          <w:szCs w:val="20"/>
          <w:color w:val="auto"/>
        </w:rPr>
      </w:pPr>
      <w:r>
        <w:rPr>
          <w:rFonts w:ascii="Arial" w:cs="Arial" w:eastAsia="Arial" w:hAnsi="Arial"/>
          <w:sz w:val="16"/>
          <w:szCs w:val="16"/>
          <w:color w:val="auto"/>
        </w:rPr>
        <w:t>Senior Director, Investor Relations</w:t>
      </w:r>
    </w:p>
    <w:p>
      <w:pPr>
        <w:ind w:left="5"/>
        <w:spacing w:after="0" w:line="231" w:lineRule="auto"/>
        <w:rPr>
          <w:sz w:val="20"/>
          <w:szCs w:val="20"/>
          <w:color w:val="auto"/>
        </w:rPr>
      </w:pPr>
      <w:r>
        <w:rPr>
          <w:rFonts w:ascii="Arial" w:cs="Arial" w:eastAsia="Arial" w:hAnsi="Arial"/>
          <w:sz w:val="16"/>
          <w:szCs w:val="16"/>
          <w:color w:val="auto"/>
        </w:rPr>
        <w:t>(929) 687-1614</w:t>
      </w:r>
    </w:p>
    <w:p>
      <w:pPr>
        <w:ind w:left="5"/>
        <w:spacing w:after="0"/>
        <w:rPr>
          <w:sz w:val="20"/>
          <w:szCs w:val="20"/>
          <w:color w:val="auto"/>
        </w:rPr>
      </w:pPr>
      <w:r>
        <w:rPr>
          <w:rFonts w:ascii="Arial" w:cs="Arial" w:eastAsia="Arial" w:hAnsi="Arial"/>
          <w:sz w:val="16"/>
          <w:szCs w:val="16"/>
          <w:color w:val="auto"/>
        </w:rPr>
        <w:t>adong@axsome.com</w:t>
      </w:r>
    </w:p>
    <w:p>
      <w:pPr>
        <w:spacing w:after="0" w:line="13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Media:</w:t>
      </w:r>
    </w:p>
    <w:p>
      <w:pPr>
        <w:spacing w:after="0" w:line="3" w:lineRule="exact"/>
        <w:rPr>
          <w:sz w:val="20"/>
          <w:szCs w:val="20"/>
          <w:color w:val="auto"/>
        </w:rPr>
      </w:pPr>
    </w:p>
    <w:p>
      <w:pPr>
        <w:ind w:left="5"/>
        <w:spacing w:after="0"/>
        <w:rPr>
          <w:sz w:val="20"/>
          <w:szCs w:val="20"/>
          <w:color w:val="auto"/>
        </w:rPr>
      </w:pPr>
      <w:r>
        <w:rPr>
          <w:rFonts w:ascii="Arial" w:cs="Arial" w:eastAsia="Arial" w:hAnsi="Arial"/>
          <w:sz w:val="16"/>
          <w:szCs w:val="16"/>
          <w:color w:val="auto"/>
        </w:rPr>
        <w:t>Darren Opland</w:t>
      </w:r>
    </w:p>
    <w:p>
      <w:pPr>
        <w:ind w:left="5"/>
        <w:spacing w:after="0" w:line="231" w:lineRule="auto"/>
        <w:rPr>
          <w:sz w:val="20"/>
          <w:szCs w:val="20"/>
          <w:color w:val="auto"/>
        </w:rPr>
      </w:pPr>
      <w:r>
        <w:rPr>
          <w:rFonts w:ascii="Arial" w:cs="Arial" w:eastAsia="Arial" w:hAnsi="Arial"/>
          <w:sz w:val="16"/>
          <w:szCs w:val="16"/>
          <w:color w:val="auto"/>
        </w:rPr>
        <w:t>Senior Director, Corporate Communications</w:t>
      </w:r>
    </w:p>
    <w:p>
      <w:pPr>
        <w:ind w:left="5" w:right="9660" w:hanging="5"/>
        <w:spacing w:after="0" w:line="291" w:lineRule="auto"/>
        <w:tabs>
          <w:tab w:leader="none" w:pos="417" w:val="left"/>
        </w:tabs>
        <w:numPr>
          <w:ilvl w:val="0"/>
          <w:numId w:val="19"/>
        </w:numPr>
        <w:rPr>
          <w:rFonts w:ascii="Arial" w:cs="Arial" w:eastAsia="Arial" w:hAnsi="Arial"/>
          <w:sz w:val="15"/>
          <w:szCs w:val="15"/>
          <w:color w:val="auto"/>
        </w:rPr>
      </w:pPr>
      <w:r>
        <w:rPr>
          <w:rFonts w:ascii="Arial" w:cs="Arial" w:eastAsia="Arial" w:hAnsi="Arial"/>
          <w:sz w:val="15"/>
          <w:szCs w:val="15"/>
          <w:color w:val="auto"/>
        </w:rPr>
        <w:t>837-1065 dopland@axsome.com</w:t>
      </w:r>
    </w:p>
    <w:p>
      <w:pPr>
        <w:spacing w:after="0" w:line="31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717486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258" w:right="3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lvl w:ilvl="1">
      <w:lvlJc w:val="left"/>
      <w:lvlText w:val="o"/>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o"/>
      <w:numFmt w:val="bullet"/>
      <w:start w:val="1"/>
    </w:lvl>
  </w:abstractNum>
  <w:abstractNum w:abstractNumId="18">
    <w:nsid w:val="7C83E458"/>
    <w:multiLevelType w:val="hybridMultilevel"/>
    <w:lvl w:ilvl="0">
      <w:lvlJc w:val="left"/>
      <w:lvlText w:val="(%1)"/>
      <w:numFmt w:val="decimal"/>
      <w:start w:val="9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2026-05-04T06:10:22Z</dcterms:created>
  <dcterms:modified xsi:type="dcterms:W3CDTF">2026-05-04T06:10:22Z</dcterms:modified>
</cp:coreProperties>
</file>