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640" w:space="720"/>
            <w:col w:w="2840" w:space="720"/>
            <w:col w:w="2500"/>
          </w:cols>
          <w:pgMar w:left="240" w:top="679" w:right="239" w:bottom="1440" w:gutter="0" w:footer="0" w:header="0"/>
          <w:type w:val="continuous"/>
        </w:sectPr>
      </w:pPr>
    </w:p>
    <w:p>
      <w:pPr>
        <w:spacing w:after="0" w:line="7"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67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162560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License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10, 2020, Axsome Therapeutics, Inc. (the “Company”) entered into a License Agreement (the “License Agreement”) with Pfizer Inc. (“Pfizer”), pursuant to which Pfizer has granted the Company an exclusive (even as to Pfizer), sublicensable, royalty-bearing right and license to certain patent rights and certain related data to develop, manufacture, use, commercialize and otherwise exploit the compounds reboxetine and esreboxetine (the “Compounds”) and any pharmaceutical product that contains or incorporates one or more Compounds within the United States. Pfizer retains the right to make, use, and supply the Compounds solely for non-commercial research purposes within the United States or for commercial purposes outside of the United States and to conduct research and development in the United States solely for use outside the United States.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consideration for the rights granted by Pfizer, the Company (i) agreed to make a one time up-front cash payment of $3.0 million to Pfizer, and (ii) entered into a Share Transfer Agreement dated January 10, 2020 (the “Share Transfer Agreement”), pursuant to which the Company issued 82,019 shares of its common stock (the “Shares”) to Pfizer in a private placement for an aggregate value of $8.0 million, as measured by the average closing price of the Company’s common stock on the Nasdaq Global Market for the ten consecutive trading days immediately preceding execution of the Share Transfer Agreement. The Share Transfer Agreement is described in additional detail below under the caption “Share Transfer Agreement.”</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License Agreement, the Company agreed to make milestone payments totaling up to $323 million upon the achievement of certain milestones, including regulatory approval of a clinical product candidate containing a Compound in the United States in one or more clinical indications, and upon achieving certain aggregate sales levels of any such approved clinical products (each, a “Product”) in the United States.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also agreed to pay Pfizer tiered royalties based upon the annual amount of net sales as specified in the License Agreement until the later of: (i) thirteen years after the first commercial sale of a Product in the United States; (ii) the expiration of all regulatory or data exclusivity for such Product in the United States; and (iii) the expiration or abandonment of the last valid claim of the licensed patents, including any patent term extensions or supplemental protection certificates in the United States (collectively, the “Royalty Term”). The royalty rates range from the mid-single digits to low double digits depending on the level of net sales. The royalty rates are subject to reduction during certain periods when therapeutically-equivalent generic products represent a certain market share of prescription volume in the United States or when other necessary third party royalties are paid by the Company with respect to any Product. Pfizer also has a right of first negotiation on any potential future signficant transactions involving any Products. Under the License Agreement, the Company is obligated to use commercially reasonable efforts to develop, manufacture and commercialize the Compounds and Products in the United States and seeking and maintaining regulatory approvals for the Compounds and Products.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License Agreement will expire on a Product-by-Product basis upon expiration of the last-to-expire Royalty Term for such Product. On expiration (but not earlier termination), the Company will have a perpetual, non-exclusive, fully paid, royalty-free and irrevocable license under the licensed patent rights and related data to develop, manufacture, use, commercialize and otherwise exploit the Compounds. Either party may terminate the License Agreement for the other party’s material breach following a cure period. Pfizer may immediately terminate the License Agreement upon certain insolvency events relating to the Company. The Company may terminate the License Agreement for any reason upon ninety days written notice to Pfizer at any time after the first anniversary of the License Agreement.</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License Agreement includes indemnification obligations of each party and limits each party’s liability relating to indirect, consequential, special, exemplary or punitive damages. The License Agreement limits Pfizer’s liability with specified cap amounts for certain direct damages of the Company under the Agreement. The foregoing description of the terms of the License Agreement is not complete and is qualified in its entirety by reference to the full text of the License Agreement, which will be filed as an exhibit to the Company’s next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Transfer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10, 2020, the Company entered into the Share Transfer Agreement with Pfizer, pursuant to which the Company issued the Shares to Pfizer in a private placement.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are subject to lock-up restrictions, which, without prior approval of the Company, prohibit Pfizer from selling the Shares for a period of up to twelve months after the effective date of the Share Transfer Agreement. The Share Transfer Agreement contains certain other customary terms and conditions, including mutual representations, warranties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terms of the Share Transfer Agreement is not complete and is qualified in its entirety by reference to the full text of the Share Transfer Agreement, a copy of which is filed herewith as Exhibit 10.1 and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description of the issuance of the Shares pursuant to the Share Transfer Agreement set forth under Item 1.01 above under the caption “Share Transfer Agreement” is incorporated by reference into this Item 3.02. The issuance and sale of the Shares has not been registered under the Securities Act of 1933, as amended (the “Securities Act”), or any state securities laws. The Company has relied on the exemption from the registration requirements of the Securities Act under Section 4(a)(2) thereof, for a transaction by an issuer not involving any public offering.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13, 2020, the Company issued a press release announcing the License Agreement. The Company will host a conference call at 8:30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on January 13, 2020 to discuss the License Agreement.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5"/>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2"/>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40" w:type="dxa"/>
            <w:vAlign w:val="bottom"/>
          </w:tcPr>
          <w:p>
            <w:pPr>
              <w:spacing w:after="0"/>
              <w:rPr>
                <w:sz w:val="24"/>
                <w:szCs w:val="24"/>
                <w:color w:val="auto"/>
              </w:rPr>
            </w:pPr>
          </w:p>
        </w:tc>
        <w:tc>
          <w:tcPr>
            <w:tcW w:w="10260" w:type="dxa"/>
            <w:vAlign w:val="bottom"/>
            <w:gridSpan w:val="5"/>
          </w:tcPr>
          <w:p>
            <w:pPr>
              <w:ind w:left="340"/>
              <w:spacing w:after="0"/>
              <w:rPr>
                <w:rFonts w:ascii="Arial" w:cs="Arial" w:eastAsia="Arial" w:hAnsi="Arial"/>
                <w:sz w:val="18"/>
                <w:szCs w:val="18"/>
                <w:color w:val="0000EE"/>
              </w:rPr>
            </w:pPr>
            <w:hyperlink w:anchor="page5">
              <w:r>
                <w:rPr>
                  <w:rFonts w:ascii="Arial" w:cs="Arial" w:eastAsia="Arial" w:hAnsi="Arial"/>
                  <w:sz w:val="18"/>
                  <w:szCs w:val="18"/>
                  <w:color w:val="0000EE"/>
                </w:rPr>
                <w:t>Share Transfer Agreement by and between Axsome Therapeutics, Inc. and Pfizer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40" w:type="dxa"/>
            <w:vAlign w:val="bottom"/>
          </w:tcPr>
          <w:p>
            <w:pPr>
              <w:spacing w:after="0"/>
              <w:rPr>
                <w:sz w:val="17"/>
                <w:szCs w:val="17"/>
                <w:color w:val="auto"/>
              </w:rPr>
            </w:pPr>
          </w:p>
        </w:tc>
        <w:tc>
          <w:tcPr>
            <w:tcW w:w="10260" w:type="dxa"/>
            <w:vAlign w:val="bottom"/>
            <w:gridSpan w:val="5"/>
          </w:tcPr>
          <w:p>
            <w:pPr>
              <w:ind w:left="34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Press Release dated January 13, 2020.</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40" w:type="dxa"/>
            <w:vAlign w:val="bottom"/>
          </w:tcPr>
          <w:p>
            <w:pPr>
              <w:spacing w:after="0"/>
              <w:rPr>
                <w:sz w:val="17"/>
                <w:szCs w:val="17"/>
                <w:color w:val="auto"/>
              </w:rPr>
            </w:pPr>
          </w:p>
        </w:tc>
        <w:tc>
          <w:tcPr>
            <w:tcW w:w="10260" w:type="dxa"/>
            <w:vAlign w:val="bottom"/>
            <w:gridSpan w:val="5"/>
          </w:tcPr>
          <w:p>
            <w:pPr>
              <w:ind w:left="34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Conference Presentation.</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January 13,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740" w:type="dxa"/>
            <w:vAlign w:val="bottom"/>
          </w:tcPr>
          <w:p>
            <w:pPr>
              <w:spacing w:after="0"/>
              <w:rPr>
                <w:sz w:val="16"/>
                <w:szCs w:val="16"/>
                <w:color w:val="auto"/>
              </w:rPr>
            </w:pPr>
          </w:p>
        </w:tc>
        <w:tc>
          <w:tcPr>
            <w:tcW w:w="25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74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ind w:left="10240"/>
        <w:spacing w:after="0"/>
        <w:rPr>
          <w:sz w:val="20"/>
          <w:szCs w:val="20"/>
          <w:color w:val="auto"/>
        </w:rPr>
      </w:pPr>
      <w:r>
        <w:rPr>
          <w:rFonts w:ascii="Arial" w:cs="Arial" w:eastAsia="Arial" w:hAnsi="Arial"/>
          <w:sz w:val="21"/>
          <w:szCs w:val="21"/>
          <w:b w:val="1"/>
          <w:bCs w:val="1"/>
          <w:color w:val="auto"/>
        </w:rPr>
        <w:t>Exhibit 10.1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TRANSFER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SHARE TRANSFER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10, 2020, by and between</w:t>
      </w:r>
      <w:r>
        <w:rPr>
          <w:rFonts w:ascii="Arial" w:cs="Arial" w:eastAsia="Arial" w:hAnsi="Arial"/>
          <w:sz w:val="18"/>
          <w:szCs w:val="18"/>
          <w:b w:val="1"/>
          <w:bCs w:val="1"/>
          <w:color w:val="auto"/>
        </w:rPr>
        <w:t xml:space="preserve"> AXSOME THERAPEUTICS,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PFIZER INC.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terms and conditions set forth in this Agreement, in consideration for entering into that certain License Agreement, by and between the Company and the Investor, the Company agrees to issue to Investor 82,019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based on an assumed issuance price of $97.538001 per share, which is the average closing price of the Company’s Common Stock on the Principal Market for the ten (10) consecutive trading days immediately preceding the date of this Agreement, for a total issuance value of $8,000,000.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66" w:lineRule="exact"/>
        <w:rPr>
          <w:sz w:val="20"/>
          <w:szCs w:val="20"/>
          <w:color w:val="auto"/>
        </w:rPr>
      </w:pPr>
    </w:p>
    <w:p>
      <w:pPr>
        <w:ind w:left="1100" w:hanging="444"/>
        <w:spacing w:after="0"/>
        <w:tabs>
          <w:tab w:leader="none" w:pos="11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ind w:left="1120" w:hanging="464"/>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rFonts w:ascii="Arial" w:cs="Arial" w:eastAsia="Arial" w:hAnsi="Arial"/>
          <w:sz w:val="18"/>
          <w:szCs w:val="18"/>
          <w:color w:val="auto"/>
        </w:rPr>
      </w:pPr>
    </w:p>
    <w:p>
      <w:pPr>
        <w:ind w:firstLine="656"/>
        <w:spacing w:after="0" w:line="277" w:lineRule="auto"/>
        <w:tabs>
          <w:tab w:leader="none" w:pos="1169"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Principal Market is open for trading, including any day on which the Principal Market is open for trading for a period of time less than the customary time.</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set forth in the License Agreement.</w:t>
      </w:r>
    </w:p>
    <w:p>
      <w:pPr>
        <w:spacing w:after="0" w:line="225" w:lineRule="exact"/>
        <w:rPr>
          <w:sz w:val="20"/>
          <w:szCs w:val="20"/>
          <w:color w:val="auto"/>
        </w:rPr>
      </w:pPr>
    </w:p>
    <w:p>
      <w:pPr>
        <w:ind w:left="1120" w:hanging="464"/>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or any successor performing substantially the same function for the Company.</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DWAC Shares</w:t>
      </w:r>
      <w:r>
        <w:rPr>
          <w:rFonts w:ascii="Arial" w:cs="Arial" w:eastAsia="Arial" w:hAnsi="Arial"/>
          <w:sz w:val="18"/>
          <w:szCs w:val="18"/>
          <w:color w:val="auto"/>
        </w:rPr>
        <w:t>” means shares of Common Stock that are (i) issued in electronic form, (ii) freely tradable and transferable and without restriction on resale and (iii) timely credited by the Company to the Investor or its designee’s specified Deposit/Withdrawal at Custodian (DWAC) account with DTC under its Fast Automated Securities Transfer (FAST) Program or any similar program hereafter adopted by DTC performing substantially the same function.</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 Agreement</w:t>
      </w:r>
      <w:r>
        <w:rPr>
          <w:rFonts w:ascii="Arial" w:cs="Arial" w:eastAsia="Arial" w:hAnsi="Arial"/>
          <w:sz w:val="16"/>
          <w:szCs w:val="16"/>
          <w:color w:val="auto"/>
        </w:rPr>
        <w:t>” means that certain License Agreement, by and between the Company and the Investor entered into on even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Up Provisions</w:t>
      </w:r>
      <w:r>
        <w:rPr>
          <w:rFonts w:ascii="Arial" w:cs="Arial" w:eastAsia="Arial" w:hAnsi="Arial"/>
          <w:sz w:val="18"/>
          <w:szCs w:val="18"/>
          <w:color w:val="auto"/>
        </w:rPr>
        <w:t xml:space="preserve">” means the provisions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29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material adverse effect on (i) the enforceability of any Transaction Document, (ii) the results of operations, assets, business or financial condition of the Company and its Subsidiaries, taken as a whole, other than any material adverse effect that resulted primarily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successors and assigns with respect to the transactions contemplated by this Agreement, (E) the effect of any change in applicable laws or accounting rules that does not have a disproportionate effect on the Company and its Subsidiaries, taken as a whole, (F) any change resulting from compliance with terms of this Agreement or the consummation of the transactions contemplated by this Agreement, or (G) any change, in and of itself, in the Company’s stock price or trading volume from and after the date hereof (provided, however, that the facts and circumstances underlying any such change may, except as provided in subsections (A), (B), (C), (D), (E) or (F) of this definition, be considered in determining whether a Company Material Adverse Effect has occurred), or (iii) the Company’s ability to perform in any material respect on a timely basis its obligations under any Transaction Document to be performed as of the date of determination.</w:t>
      </w:r>
    </w:p>
    <w:p>
      <w:pPr>
        <w:spacing w:after="0" w:line="174" w:lineRule="exact"/>
        <w:rPr>
          <w:rFonts w:ascii="Arial" w:cs="Arial" w:eastAsia="Arial" w:hAnsi="Arial"/>
          <w:sz w:val="16"/>
          <w:szCs w:val="16"/>
          <w:color w:val="auto"/>
        </w:rPr>
      </w:pPr>
    </w:p>
    <w:p>
      <w:pPr>
        <w:ind w:firstLine="656"/>
        <w:spacing w:after="0" w:line="277" w:lineRule="auto"/>
        <w:tabs>
          <w:tab w:leader="none" w:pos="1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entity including but not limited to any limited liability company, a partnership, a joint venture, a corporation, a trust, an unincorporated organization and a government or any department or agency thereof.</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74"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Market</w:t>
      </w:r>
      <w:r>
        <w:rPr>
          <w:rFonts w:ascii="Arial" w:cs="Arial" w:eastAsia="Arial" w:hAnsi="Arial"/>
          <w:sz w:val="18"/>
          <w:szCs w:val="18"/>
          <w:color w:val="auto"/>
        </w:rPr>
        <w:t>” means The Nasdaq Global Market (or any nationally recognized successor thereto); provided, however, that in the event the Company’s Common Stock is ever listed or traded on The Nasdaq Capital Market, The Nasdaq Global Select Market, the New York Stock Exchange, the NYSE American, the NYSE Arca, the OTC Bulletin Board, or the OTCQX or the OTCQB operated by the OTC Markets Group, Inc. (or any nationally recognized successor to any of the foregoing), then the “Principal Market” shall mean such other market or exchange on which the Company’s Common Stock is then listed or traded.</w:t>
      </w:r>
    </w:p>
    <w:p>
      <w:pPr>
        <w:spacing w:after="0" w:line="188"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69"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and the schedules and exhibits hereto, including the Lock Up Provisions, and the License Agreement and each of the other documents, certificates and instruments entered into or furnished by the parties hereto in connection with the transactions contemplated hereby and thereby.</w:t>
      </w:r>
    </w:p>
    <w:p>
      <w:pPr>
        <w:spacing w:after="0" w:line="181" w:lineRule="exact"/>
        <w:rPr>
          <w:rFonts w:ascii="Arial" w:cs="Arial" w:eastAsia="Arial" w:hAnsi="Arial"/>
          <w:sz w:val="18"/>
          <w:szCs w:val="18"/>
          <w:color w:val="auto"/>
        </w:rPr>
      </w:pPr>
    </w:p>
    <w:p>
      <w:pPr>
        <w:ind w:firstLine="656"/>
        <w:spacing w:after="0" w:line="277" w:lineRule="auto"/>
        <w:tabs>
          <w:tab w:leader="none" w:pos="117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or such other Person who is then serving as the transfer agent for the Company in respect of the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1100" w:hanging="444"/>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COMMON STOCK.</w:t>
      </w:r>
    </w:p>
    <w:p>
      <w:pPr>
        <w:spacing w:after="0" w:line="229" w:lineRule="exact"/>
        <w:rPr>
          <w:sz w:val="20"/>
          <w:szCs w:val="20"/>
          <w:color w:val="auto"/>
        </w:rPr>
      </w:pPr>
    </w:p>
    <w:p>
      <w:pPr>
        <w:jc w:val="both"/>
        <w:ind w:firstLine="656"/>
        <w:spacing w:after="0" w:line="264" w:lineRule="auto"/>
        <w:tabs>
          <w:tab w:leader="none" w:pos="114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Issuance of Common Stock</w:t>
      </w:r>
      <w:r>
        <w:rPr>
          <w:rFonts w:ascii="Arial" w:cs="Arial" w:eastAsia="Arial" w:hAnsi="Arial"/>
          <w:sz w:val="18"/>
          <w:szCs w:val="18"/>
          <w:color w:val="auto"/>
        </w:rPr>
        <w:t>. Subject to the terms and conditions set forth in this Agreement, on the Effective Date of the License Agreement (“</w:t>
      </w:r>
      <w:r>
        <w:rPr>
          <w:rFonts w:ascii="Arial" w:cs="Arial" w:eastAsia="Arial" w:hAnsi="Arial"/>
          <w:sz w:val="18"/>
          <w:szCs w:val="18"/>
          <w:u w:val="single" w:color="auto"/>
          <w:color w:val="auto"/>
        </w:rPr>
        <w:t>Closing Date</w:t>
      </w:r>
      <w:r>
        <w:rPr>
          <w:rFonts w:ascii="Arial" w:cs="Arial" w:eastAsia="Arial" w:hAnsi="Arial"/>
          <w:sz w:val="18"/>
          <w:szCs w:val="18"/>
          <w:color w:val="auto"/>
        </w:rPr>
        <w:t>”), the Company shall issue or cause to be issued to the Investor 82,019 Shares, free and clear of all liens (other than liens imposed by applicable securities laws or contained herein).</w:t>
      </w:r>
    </w:p>
    <w:p>
      <w:pPr>
        <w:spacing w:after="0" w:line="181"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Deliveries at Closing</w:t>
      </w:r>
      <w:r>
        <w:rPr>
          <w:rFonts w:ascii="Arial" w:cs="Arial" w:eastAsia="Arial" w:hAnsi="Arial"/>
          <w:sz w:val="18"/>
          <w:szCs w:val="18"/>
          <w:color w:val="auto"/>
        </w:rPr>
        <w:t>. At the Closing, the Company shall deliver or cause to be delivered to the Investor the following items: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evidence of the filing of the Listing of Additional Shares notification to the Nasdaq Global Market as it relates to the Shares;</w:t>
      </w:r>
    </w:p>
    <w:p>
      <w:pPr>
        <w:spacing w:after="0" w:line="236" w:lineRule="exact"/>
        <w:rPr>
          <w:rFonts w:ascii="Arial" w:cs="Arial" w:eastAsia="Arial" w:hAnsi="Arial"/>
          <w:sz w:val="17"/>
          <w:szCs w:val="17"/>
          <w:color w:val="auto"/>
        </w:rPr>
      </w:pPr>
    </w:p>
    <w:p>
      <w:pPr>
        <w:ind w:left="1700" w:hanging="395"/>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copy of the Irrevocable Transfer Agent Instructions;</w:t>
      </w:r>
    </w:p>
    <w:p>
      <w:pPr>
        <w:spacing w:after="0" w:line="225" w:lineRule="exact"/>
        <w:rPr>
          <w:rFonts w:ascii="Arial" w:cs="Arial" w:eastAsia="Arial" w:hAnsi="Arial"/>
          <w:sz w:val="18"/>
          <w:szCs w:val="18"/>
          <w:color w:val="auto"/>
        </w:rPr>
      </w:pPr>
    </w:p>
    <w:p>
      <w:pPr>
        <w:ind w:firstLine="1305"/>
        <w:spacing w:after="0" w:line="277" w:lineRule="auto"/>
        <w:tabs>
          <w:tab w:leader="none" w:pos="172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opinion of DLA Piper LLP, counsel for the Company, addressed to the Investor, and dated the Closing Date, in substantially the form attached hereto as Exhibit D; and</w:t>
      </w:r>
    </w:p>
    <w:p>
      <w:pPr>
        <w:spacing w:after="0" w:line="170" w:lineRule="exact"/>
        <w:rPr>
          <w:rFonts w:ascii="Arial" w:cs="Arial" w:eastAsia="Arial" w:hAnsi="Arial"/>
          <w:sz w:val="18"/>
          <w:szCs w:val="18"/>
          <w:color w:val="auto"/>
        </w:rPr>
      </w:pPr>
    </w:p>
    <w:p>
      <w:pPr>
        <w:ind w:firstLine="1305"/>
        <w:spacing w:after="0" w:line="277" w:lineRule="auto"/>
        <w:tabs>
          <w:tab w:leader="none" w:pos="1727"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such other documents, certificates and instruments as the Purchaser may reasonably request in order to give effect to the transactions contemplated hereby.</w:t>
      </w:r>
    </w:p>
    <w:p>
      <w:pPr>
        <w:spacing w:after="0" w:line="166" w:lineRule="exact"/>
        <w:rPr>
          <w:sz w:val="20"/>
          <w:szCs w:val="20"/>
          <w:color w:val="auto"/>
        </w:rPr>
      </w:pPr>
    </w:p>
    <w:p>
      <w:pPr>
        <w:ind w:left="1100" w:hanging="444"/>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INVESTOR’S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Investor represents and warrants to the Company that as of the date hereof and as of the Closing Date:</w:t>
      </w:r>
    </w:p>
    <w:p>
      <w:pPr>
        <w:spacing w:after="0" w:line="225" w:lineRule="exact"/>
        <w:rPr>
          <w:sz w:val="20"/>
          <w:szCs w:val="20"/>
          <w:color w:val="auto"/>
        </w:rPr>
      </w:pPr>
    </w:p>
    <w:p>
      <w:pPr>
        <w:jc w:val="both"/>
        <w:ind w:firstLine="656"/>
        <w:spacing w:after="0" w:line="264" w:lineRule="auto"/>
        <w:tabs>
          <w:tab w:leader="none" w:pos="118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Investor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 and thereunder.</w:t>
      </w:r>
    </w:p>
    <w:p>
      <w:pPr>
        <w:spacing w:after="0" w:line="181" w:lineRule="exact"/>
        <w:rPr>
          <w:rFonts w:ascii="Arial" w:cs="Arial" w:eastAsia="Arial" w:hAnsi="Arial"/>
          <w:sz w:val="18"/>
          <w:szCs w:val="18"/>
          <w:color w:val="auto"/>
        </w:rPr>
      </w:pPr>
    </w:p>
    <w:p>
      <w:pPr>
        <w:ind w:firstLine="656"/>
        <w:spacing w:after="0" w:line="277"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The Investor is an “accredited investor” as that term is defined in Rule 501(a)(3) of Regulation D promulgated under the Securities Act.</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21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Investor understands that its investment in the Shares involves a high degree of risk. The Investor (i) is able to bear the economic risk of an investment in the Shares including a total loss thereof, (ii) has such knowledge and experience in financial and business matters that it is capable of evaluating the merits and risks of the proposed investment in the Shares and (iii) has had an opportunity to ask questions of and receive answers from the officers of the Company concerning the financial condition and business of the Company and others matters related to an investment in the Shares. Neither such inquiries nor any other due diligence investigations conducted by the Investor or its representatives shall modify, amend or affect the Investor's right to rely on the Company's representations and warranties contained in Section 4 below. The Investor has sought such accounting, legal and tax advice from its own independent advisors as it has considered necessary to make an informed investment decision with respect to its acquisition of the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firstLine="656"/>
        <w:spacing w:after="0" w:line="264" w:lineRule="auto"/>
        <w:tabs>
          <w:tab w:leader="none" w:pos="114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Acquisition for Investment</w:t>
      </w:r>
      <w:r>
        <w:rPr>
          <w:rFonts w:ascii="Arial" w:cs="Arial" w:eastAsia="Arial" w:hAnsi="Arial"/>
          <w:sz w:val="18"/>
          <w:szCs w:val="18"/>
          <w:color w:val="auto"/>
        </w:rPr>
        <w:t>. The Investor is acquiring the Shares solely for its own account for the purpose of investment and not with a view to or for sale in connection with the distribution thereof. The Investor does not have a present intention to sell any of the Shares, nor a present arrangement (whether or not legally binding) or intention to effect any distribution of any of the Shares to or through any Person.</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11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 Governmental Review</w:t>
      </w:r>
      <w:r>
        <w:rPr>
          <w:rFonts w:ascii="Arial" w:cs="Arial" w:eastAsia="Arial" w:hAnsi="Arial"/>
          <w:sz w:val="17"/>
          <w:szCs w:val="17"/>
          <w:color w:val="auto"/>
        </w:rPr>
        <w:t>. The Investor understands that the Shares are being offered and issued in reliance on a transactional exemption from the registration requirements of United States federal and state securities laws and the Company is relying in part upon the truth and accuracy of the representations, warranties, agreements, acknowledgments and understandings of the Investor set forth herein in order to determine the availability of such exemptions and the suitability of the Investor to acquire the Shares. The Investor understands that no U.S. federal or state agency or any other government or governmental agency has passed on or made any recommendation or endorsement of the Shares or the fairness or suitability of an investment in the Shares nor have such authorities passed upon or endorsed the merits of the offering of the Shares.</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1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Investor is a corporation existing under the laws of Delaware with offices in the State of New York.</w:t>
      </w:r>
    </w:p>
    <w:p>
      <w:pPr>
        <w:spacing w:after="0" w:line="225" w:lineRule="exact"/>
        <w:rPr>
          <w:rFonts w:ascii="Arial" w:cs="Arial" w:eastAsia="Arial" w:hAnsi="Arial"/>
          <w:sz w:val="18"/>
          <w:szCs w:val="18"/>
          <w:color w:val="auto"/>
        </w:rPr>
      </w:pPr>
    </w:p>
    <w:p>
      <w:pPr>
        <w:jc w:val="both"/>
        <w:ind w:firstLine="656"/>
        <w:spacing w:after="0" w:line="289"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 The Investor understands that the Shares must be held indefinitely unless such Shares are registered under the Securities Act or an exemption from registration is available. The Investor acknowledges that it is familiar with Rule 144 of the rules and regulations of the SEC, promulgated pursuant to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and that the Investor has been advised that Rule 144 permits resales only under certain circumstances. The Investor understands that to the extent that Rule 144 is not available, the Investor will be unable to sell any Shares without either registration under the Securities Act or the existence of another exemption from such registration requirement. Following expiration of the Lock Up Period, provided the Investor otherwise complies with the requirements of Rule 144, the Investor may request, and the Company shall promptly (within two (2) business days) have its legal counsel deliver an opinion to the Transfer Agent requesting removal of the restrictive legend(s) appended to Investor’s book-entry statement(s) pursuant to Section 6(c). Any fees (with respect to the Transfer Agent, counsel to the Company or otherwise) associated with the issuance of such opinion shall be borne by the Company. By signing this Agreement, the Investor agrees to be bound by the terms of the Lock Up Provisions.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1100" w:hanging="444"/>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the Investor that as of the date hereof and as of the Closing Date:</w:t>
      </w:r>
    </w:p>
    <w:p>
      <w:pPr>
        <w:spacing w:after="0" w:line="225" w:lineRule="exact"/>
        <w:rPr>
          <w:sz w:val="20"/>
          <w:szCs w:val="20"/>
          <w:color w:val="auto"/>
        </w:rPr>
      </w:pPr>
    </w:p>
    <w:p>
      <w:pPr>
        <w:jc w:val="both"/>
        <w:ind w:firstLine="656"/>
        <w:spacing w:after="0" w:line="289"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is in violation or default of any of the provisions of its respective certificate or articles of incorporation, bylaws or other organizational or charter documents.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forth on Exhibit 21.1 to the Company’s Annual Report on Form 10-K for the year ended December 31, 2018.</w:t>
      </w:r>
    </w:p>
    <w:p>
      <w:pPr>
        <w:spacing w:after="0" w:line="166" w:lineRule="exact"/>
        <w:rPr>
          <w:rFonts w:ascii="Arial" w:cs="Arial" w:eastAsia="Arial" w:hAnsi="Arial"/>
          <w:sz w:val="16"/>
          <w:szCs w:val="16"/>
          <w:color w:val="auto"/>
        </w:rPr>
      </w:pPr>
    </w:p>
    <w:p>
      <w:pPr>
        <w:jc w:val="both"/>
        <w:ind w:firstLine="656"/>
        <w:spacing w:after="0" w:line="268" w:lineRule="auto"/>
        <w:tabs>
          <w:tab w:leader="none" w:pos="131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(i) The Company has the requisite corporate power and authority to enter into and perform its obligations under this Agreement and each of the other Transaction Documents, and to issue the Shares in accordance with the terms hereof and thereof, (ii) the execution and delivery of this Agreement and each of the other Transaction Documents by the Company and the consummation by it of the transactions contemplated hereby and thereby, including without limitation, the issuance of the Shares pursuant to this Agreement, have been duly authorized by the Company's Board of Directors and no further consent or authorization is required by the Company, its Board of Directors or its stockholders, (iii) this Agreement has been and each of the other Transaction Document shall be on the Closing Date, duly executed and delivered by the Company and (iv) this Agreement constitutes, and each other Transaction Document upon its execution on behalf of the Company on the Closing Date, shall on the Closing Date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Except as set forth in this Agreement, no other approvals or consents of the Company’s Board of Directors, any authorized committee thereof, and/or stockholders is necessary under applicable laws and the Company’s Certificate of incorporation and/or Bylaws to authorize the execution and delivery of this Agreement or any of the transactions contemplated hereby, including, but not limited to, the issuance of the Shares.</w:t>
      </w:r>
    </w:p>
    <w:p>
      <w:pPr>
        <w:spacing w:after="0" w:line="187" w:lineRule="exact"/>
        <w:rPr>
          <w:rFonts w:ascii="Arial" w:cs="Arial" w:eastAsia="Arial" w:hAnsi="Arial"/>
          <w:sz w:val="17"/>
          <w:szCs w:val="17"/>
          <w:color w:val="auto"/>
        </w:rPr>
      </w:pPr>
    </w:p>
    <w:p>
      <w:pPr>
        <w:jc w:val="both"/>
        <w:ind w:firstLine="656"/>
        <w:spacing w:after="0" w:line="284" w:lineRule="auto"/>
        <w:tabs>
          <w:tab w:leader="none" w:pos="111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of the Company, immediately prior to the date hereof, consists of 150,000,000 shares of Common Stock, 36,933,217 of which were issued and outstanding, and 10,000,000 shares of preferred stock, $0.0001 par value per share, none of which were issued and outstanding. Immediately prior to the date hereof, (i) options to acquire 3,455,117 shares of Common Stock have been granted and are outstanding, and (ii) 3,193,988 shares of Common Stock remained available for future issuance to directors, employees and consultants of the Company and its Subsidiaries. As of the Effective Date, warrants to purchase 69,656 shares of Common Stock were issued and outstanding, consisting of 32,614 warrants with an exercise price of $7.41 per share, 7,875 warrants with an exercise price of $3.06 per share and 29,167 warrants with an exercise price of $8.10 per share. Except as disclosed in the SEC Documents (as defined below),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 the Securities Act,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Shares as described in this Agreement and (vii) the Company does not have any stock appreciation rights or "phantom stock" plans or agreements or any similar plan or agreement. The Company has furnished to the Investor true and correct copies of the Company's certificate of incorporation, as amended and as in effect on the date hereof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u w:val="single" w:color="auto"/>
          <w:color w:val="auto"/>
        </w:rPr>
        <w:t>Bylaws</w:t>
      </w:r>
      <w:r>
        <w:rPr>
          <w:rFonts w:ascii="Arial" w:cs="Arial" w:eastAsia="Arial" w:hAnsi="Arial"/>
          <w:sz w:val="16"/>
          <w:szCs w:val="16"/>
          <w:color w:val="auto"/>
        </w:rPr>
        <w:t>"), and summaries of the material terms of all securities convertible into or exercisable for Common Stock, if any, and copies of any documents containing the material rights of the holders thereof in respect thereto that are not disclosed in the SEC Documents.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56"/>
        <w:spacing w:after="0" w:line="272" w:lineRule="auto"/>
        <w:tabs>
          <w:tab w:leader="none" w:pos="112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Upon issuance in accordance with the terms and conditions of this Agreement, the Shares shall be duly authorized, validly issued, fully paid and nonassessable and free from all taxes, liens, charges, restrictions, rights of first refusal and preemptive rights with respect to the issue thereof, and will be issued in compliance with all federal and state securities laws, with the holders being entitled to all rights accorded to a holder of shares of Common Stock. The Shares are being issued in accordance with and in reliance upon the exemption from securities registration afforded by Section 4(a)(2) of the Securities Act, and the rules and regulations promulgated thereunder, including Regulation D (“</w:t>
      </w:r>
      <w:r>
        <w:rPr>
          <w:rFonts w:ascii="Arial" w:cs="Arial" w:eastAsia="Arial" w:hAnsi="Arial"/>
          <w:sz w:val="17"/>
          <w:szCs w:val="17"/>
          <w:u w:val="single" w:color="auto"/>
          <w:color w:val="auto"/>
        </w:rPr>
        <w:t>Regulation D</w:t>
      </w:r>
      <w:r>
        <w:rPr>
          <w:rFonts w:ascii="Arial" w:cs="Arial" w:eastAsia="Arial" w:hAnsi="Arial"/>
          <w:sz w:val="17"/>
          <w:szCs w:val="17"/>
          <w:color w:val="auto"/>
        </w:rPr>
        <w:t>”), and/or upon such other exemption from the registration requirements of the Securities Act as may be available with respect to any or all of the investments to be made hereunder. Upon receipt of the Shares, the Investor will have good and marketable title to such Shares.</w:t>
      </w:r>
    </w:p>
    <w:p>
      <w:pPr>
        <w:spacing w:after="0" w:line="177" w:lineRule="exact"/>
        <w:rPr>
          <w:rFonts w:ascii="Arial" w:cs="Arial" w:eastAsia="Arial" w:hAnsi="Arial"/>
          <w:sz w:val="17"/>
          <w:szCs w:val="17"/>
          <w:color w:val="auto"/>
        </w:rPr>
      </w:pPr>
    </w:p>
    <w:p>
      <w:pPr>
        <w:jc w:val="both"/>
        <w:ind w:firstLine="656"/>
        <w:spacing w:after="0" w:line="267" w:lineRule="auto"/>
        <w:tabs>
          <w:tab w:leader="none" w:pos="129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the Transaction Documents by the Company and the consummation by the Company of the transactions contemplated hereby and thereby (including, without limitation, the issuance of the Shares)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Neither the Company nor its Subsidiaries is in violation of any term of or in default under its Certificate of incorporation, any Certificate of Designation, Preferences and Rights of any outstanding series of preferred stock of the Company or Bylaws or their organizational charter or bylaws, respectively.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could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Except as required under the Securities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Closing Date. Except as disclosed in the SEC Documents, the Company has not received nor delivered any notices or correspondence from or to the Principal Market, other than notices with respect to listing of additional shares of Common Stock and other routine correspondence. Except as disclosed in the SEC Documents, the Principal Market has not commenced any delisting proceedings against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56"/>
        <w:spacing w:after="0" w:line="268" w:lineRule="auto"/>
        <w:tabs>
          <w:tab w:leader="none" w:pos="118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 The Company has filed all reports, schedules, forms, statements and other documents required to be filed by the Company under the Securities Act and the Exchange Act, including pursuant to Section 13(a) or 15(d) thereof,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 Documents</w:t>
      </w:r>
      <w:r>
        <w:rPr>
          <w:rFonts w:ascii="Arial" w:cs="Arial" w:eastAsia="Arial" w:hAnsi="Arial"/>
          <w:sz w:val="17"/>
          <w:szCs w:val="17"/>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 to normal, immaterial, year-end audit adjustments. Except as set forth in the SEC Documents, the Company has received no notices or correspondence from the SEC for the one year preceding the date hereof</w:t>
      </w:r>
      <w:r>
        <w:rPr>
          <w:rFonts w:ascii="Arial" w:cs="Arial" w:eastAsia="Arial" w:hAnsi="Arial"/>
          <w:sz w:val="17"/>
          <w:szCs w:val="17"/>
          <w:b w:val="1"/>
          <w:bCs w:val="1"/>
          <w:color w:val="auto"/>
        </w:rPr>
        <w:t>.</w:t>
      </w:r>
      <w:r>
        <w:rPr>
          <w:rFonts w:ascii="Arial" w:cs="Arial" w:eastAsia="Arial" w:hAnsi="Arial"/>
          <w:sz w:val="17"/>
          <w:szCs w:val="17"/>
          <w:color w:val="auto"/>
        </w:rPr>
        <w:t xml:space="preserve"> To the Company’s knowledge, the SEC has not commenced any enforcement proceedings against the Company.</w:t>
      </w:r>
    </w:p>
    <w:p>
      <w:pPr>
        <w:spacing w:after="0" w:line="183" w:lineRule="exact"/>
        <w:rPr>
          <w:rFonts w:ascii="Arial" w:cs="Arial" w:eastAsia="Arial" w:hAnsi="Arial"/>
          <w:sz w:val="17"/>
          <w:szCs w:val="17"/>
          <w:color w:val="auto"/>
        </w:rPr>
      </w:pPr>
    </w:p>
    <w:p>
      <w:pPr>
        <w:jc w:val="both"/>
        <w:ind w:firstLine="656"/>
        <w:spacing w:after="0" w:line="257" w:lineRule="auto"/>
        <w:tabs>
          <w:tab w:leader="none" w:pos="125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Except as disclosed in the SEC Documents, since December 31, 2018, there has been no material adverse change in the business, properties, operations, financial condition or results of operations of the Company or its Subsidiaries.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656"/>
        <w:spacing w:after="0" w:line="259" w:lineRule="auto"/>
        <w:tabs>
          <w:tab w:leader="none" w:pos="115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action, suit, proceeding, inquiry or investigation before or by any court, public board, government agency, self-regulatory organization or body pending or, to the knowledge of the Company or any of its Subsidiaries, threatened against or affecting the Company, the Common Stock or any of the Company's or its Subsidiaries' officers or directors in their capacities as such, which could reasonably be expected to have a Material Adverse Effect.</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22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Investor's Status</w:t>
      </w:r>
      <w:r>
        <w:rPr>
          <w:rFonts w:ascii="Arial" w:cs="Arial" w:eastAsia="Arial" w:hAnsi="Arial"/>
          <w:sz w:val="18"/>
          <w:szCs w:val="18"/>
          <w:color w:val="auto"/>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Shares. The Company further represents to the Investor that the Company's decision to enter into the Transaction Documents has been based solely on the independent evaluation by the Company and its representatives and advisors.</w:t>
      </w:r>
    </w:p>
    <w:p>
      <w:pPr>
        <w:spacing w:after="0" w:line="189" w:lineRule="exact"/>
        <w:rPr>
          <w:rFonts w:ascii="Arial" w:cs="Arial" w:eastAsia="Arial" w:hAnsi="Arial"/>
          <w:sz w:val="18"/>
          <w:szCs w:val="18"/>
          <w:color w:val="auto"/>
        </w:rPr>
      </w:pPr>
    </w:p>
    <w:p>
      <w:pPr>
        <w:jc w:val="both"/>
        <w:ind w:firstLine="656"/>
        <w:spacing w:after="0" w:line="257" w:lineRule="auto"/>
        <w:tabs>
          <w:tab w:leader="none" w:pos="113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or any of its affiliates, nor any Person acting on their behalf has, directly or indirectly, made any offers or sales of any security or solicited any offers to buy any security, under circumstances that would cause this offering of the Shares to be integrated with prior offerings by the Company in a manner that would require stockholder approval pursuant to the rules of the Principal Market on which any of the securities of the Company are listed or designated. The issuance and sale of the Shares hereunder does not contravene the rules and regulations of the Principal Market.</w:t>
      </w:r>
    </w:p>
    <w:p>
      <w:pPr>
        <w:spacing w:after="0" w:line="188" w:lineRule="exact"/>
        <w:rPr>
          <w:rFonts w:ascii="Arial" w:cs="Arial" w:eastAsia="Arial" w:hAnsi="Arial"/>
          <w:sz w:val="18"/>
          <w:szCs w:val="18"/>
          <w:color w:val="auto"/>
        </w:rPr>
      </w:pPr>
    </w:p>
    <w:p>
      <w:pPr>
        <w:jc w:val="both"/>
        <w:ind w:firstLine="656"/>
        <w:spacing w:after="0" w:line="287" w:lineRule="auto"/>
        <w:tabs>
          <w:tab w:leader="none" w:pos="112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Except as disclosed in the SEC Documents,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could reasonably be expected to have a Material Adverse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56"/>
        <w:spacing w:after="0" w:line="297" w:lineRule="auto"/>
        <w:tabs>
          <w:tab w:leader="none" w:pos="113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could not reasonably be expected to have, individually or in the aggregate, a Material Adverse Effect.</w:t>
      </w:r>
    </w:p>
    <w:p>
      <w:pPr>
        <w:spacing w:after="0" w:line="158" w:lineRule="exact"/>
        <w:rPr>
          <w:rFonts w:ascii="Arial" w:cs="Arial" w:eastAsia="Arial" w:hAnsi="Arial"/>
          <w:sz w:val="16"/>
          <w:szCs w:val="16"/>
          <w:color w:val="auto"/>
        </w:rPr>
      </w:pPr>
    </w:p>
    <w:p>
      <w:pPr>
        <w:jc w:val="both"/>
        <w:ind w:firstLine="656"/>
        <w:spacing w:after="0" w:line="254" w:lineRule="auto"/>
        <w:tabs>
          <w:tab w:leader="none" w:pos="118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Except as set forth in the SEC Documents,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encumbrances and defects (“</w:t>
      </w:r>
      <w:r>
        <w:rPr>
          <w:rFonts w:ascii="Arial" w:cs="Arial" w:eastAsia="Arial" w:hAnsi="Arial"/>
          <w:sz w:val="18"/>
          <w:szCs w:val="18"/>
          <w:u w:val="single" w:color="auto"/>
          <w:color w:val="auto"/>
        </w:rPr>
        <w:t>Liens</w:t>
      </w:r>
      <w:r>
        <w:rPr>
          <w:rFonts w:ascii="Arial" w:cs="Arial" w:eastAsia="Arial" w:hAnsi="Arial"/>
          <w:sz w:val="18"/>
          <w:szCs w:val="18"/>
          <w:color w:val="auto"/>
        </w:rPr>
        <w:t>”)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with such exceptions as are not material and do not interfere with the use made and proposed to be made of such property and buildings by the Company and its Subsidiaries.</w:t>
      </w:r>
    </w:p>
    <w:p>
      <w:pPr>
        <w:spacing w:after="0" w:line="192" w:lineRule="exact"/>
        <w:rPr>
          <w:rFonts w:ascii="Arial" w:cs="Arial" w:eastAsia="Arial" w:hAnsi="Arial"/>
          <w:sz w:val="18"/>
          <w:szCs w:val="18"/>
          <w:color w:val="auto"/>
        </w:rPr>
      </w:pPr>
    </w:p>
    <w:p>
      <w:pPr>
        <w:jc w:val="both"/>
        <w:ind w:firstLine="656"/>
        <w:spacing w:after="0" w:line="293" w:lineRule="auto"/>
        <w:tabs>
          <w:tab w:leader="none" w:pos="1209"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Subsidiaries, taken as a whole.</w:t>
      </w:r>
    </w:p>
    <w:p>
      <w:pPr>
        <w:spacing w:after="0" w:line="164" w:lineRule="exact"/>
        <w:rPr>
          <w:rFonts w:ascii="Arial" w:cs="Arial" w:eastAsia="Arial" w:hAnsi="Arial"/>
          <w:sz w:val="16"/>
          <w:szCs w:val="16"/>
          <w:color w:val="auto"/>
        </w:rPr>
      </w:pPr>
    </w:p>
    <w:p>
      <w:pPr>
        <w:jc w:val="both"/>
        <w:ind w:firstLine="656"/>
        <w:spacing w:after="0" w:line="264" w:lineRule="auto"/>
        <w:tabs>
          <w:tab w:leader="none" w:pos="116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14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56"/>
        <w:spacing w:after="0" w:line="291" w:lineRule="auto"/>
        <w:tabs>
          <w:tab w:leader="none" w:pos="127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set forth in the SEC Documents,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7" w:lineRule="exact"/>
        <w:rPr>
          <w:rFonts w:ascii="Arial" w:cs="Arial" w:eastAsia="Arial" w:hAnsi="Arial"/>
          <w:sz w:val="16"/>
          <w:szCs w:val="16"/>
          <w:color w:val="auto"/>
        </w:rPr>
      </w:pPr>
    </w:p>
    <w:p>
      <w:pPr>
        <w:jc w:val="both"/>
        <w:ind w:firstLine="656"/>
        <w:spacing w:after="0" w:line="257" w:lineRule="auto"/>
        <w:tabs>
          <w:tab w:leader="none" w:pos="127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which is or could become applicable to the Investor as a result of the transactions contemplated by this Agreement, including, without limitation, the Company's issuance of the Shares and the Investor's ownership of the Shares.</w:t>
      </w:r>
    </w:p>
    <w:p>
      <w:pPr>
        <w:spacing w:after="0" w:line="188" w:lineRule="exact"/>
        <w:rPr>
          <w:rFonts w:ascii="Arial" w:cs="Arial" w:eastAsia="Arial" w:hAnsi="Arial"/>
          <w:sz w:val="18"/>
          <w:szCs w:val="18"/>
          <w:color w:val="auto"/>
        </w:rPr>
      </w:pPr>
    </w:p>
    <w:p>
      <w:pPr>
        <w:jc w:val="both"/>
        <w:ind w:firstLine="656"/>
        <w:spacing w:after="0" w:line="269" w:lineRule="auto"/>
        <w:tabs>
          <w:tab w:leader="none" w:pos="112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that will be timely publicly disclosed by the Company, subject to terms, conditions and restrictions relating to Confidential Information as set forth in the License Agreement, the Company confirms that neither it nor any other Person acting on its behalf has provided the Investor or its agents or counsel with any information that it believes constitutes or might constitute material, non-public information which is not otherwise disclosed in the SEC Documents. All of the disclosure furnished by or on behalf of the Company to the Investor regarding the Company, its business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the Investor neither makes nor has made any representations or warranties with respect to the transactions contemplated hereby other than those specifically set forth in Section 3 hereof or in the License Agreement.</w:t>
      </w:r>
    </w:p>
    <w:p>
      <w:pPr>
        <w:spacing w:after="0" w:line="179" w:lineRule="exact"/>
        <w:rPr>
          <w:rFonts w:ascii="Arial" w:cs="Arial" w:eastAsia="Arial" w:hAnsi="Arial"/>
          <w:sz w:val="17"/>
          <w:szCs w:val="17"/>
          <w:color w:val="auto"/>
        </w:rPr>
      </w:pPr>
    </w:p>
    <w:p>
      <w:pPr>
        <w:jc w:val="both"/>
        <w:ind w:firstLine="656"/>
        <w:spacing w:after="0" w:line="255" w:lineRule="auto"/>
        <w:tabs>
          <w:tab w:leader="none" w:pos="120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firstLine="656"/>
        <w:spacing w:after="0" w:line="308" w:lineRule="auto"/>
        <w:tabs>
          <w:tab w:leader="none" w:pos="1209"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DTC Eligibility</w:t>
      </w:r>
      <w:r>
        <w:rPr>
          <w:rFonts w:ascii="Arial" w:cs="Arial" w:eastAsia="Arial" w:hAnsi="Arial"/>
          <w:sz w:val="17"/>
          <w:szCs w:val="17"/>
          <w:color w:val="auto"/>
        </w:rPr>
        <w:t>. The Company, through the Transfer Agent, currently participates in the DTC Fast Automated Securities Transfer (FAST) Program and the Common Stock can be transferred electronically to third parties via the DTC Fast Automated Securities Transfer (FAST) Program.</w:t>
      </w:r>
    </w:p>
    <w:p>
      <w:pPr>
        <w:spacing w:after="0" w:line="146" w:lineRule="exact"/>
        <w:rPr>
          <w:rFonts w:ascii="Arial" w:cs="Arial" w:eastAsia="Arial" w:hAnsi="Arial"/>
          <w:sz w:val="17"/>
          <w:szCs w:val="17"/>
          <w:color w:val="auto"/>
        </w:rPr>
      </w:pPr>
    </w:p>
    <w:p>
      <w:pPr>
        <w:ind w:right="20" w:firstLine="656"/>
        <w:spacing w:after="0" w:line="277" w:lineRule="auto"/>
        <w:tabs>
          <w:tab w:leader="none" w:pos="116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provisions of the Sarbanes-Oxley Act of 2002, as amended, which are applicable to it as of the date hereof.</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2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not have any obligation with respect to any fees or with respect to any claims made by or on behalf of other Persons for fees of a type contemplated in this Section 4(w) that may be due in connection with the transactions contemplated by the Transaction Documents.</w:t>
      </w:r>
    </w:p>
    <w:p>
      <w:pPr>
        <w:spacing w:after="0" w:line="171" w:lineRule="exact"/>
        <w:rPr>
          <w:rFonts w:ascii="Arial" w:cs="Arial" w:eastAsia="Arial" w:hAnsi="Arial"/>
          <w:sz w:val="17"/>
          <w:szCs w:val="17"/>
          <w:color w:val="auto"/>
        </w:rPr>
      </w:pPr>
    </w:p>
    <w:p>
      <w:pPr>
        <w:ind w:firstLine="656"/>
        <w:spacing w:after="0" w:line="277" w:lineRule="auto"/>
        <w:tabs>
          <w:tab w:leader="none" w:pos="120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required to be registered as, and immediately following the Closing will not be required to be registered as, an “investment company” within the meaning of the Investment Company Act of 1940, as amended.</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8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Except as disclosed in the SEC Documents, the Company has not, in the twelve (12) months preceding the date hereof, received any notice from any Person to the effect that the Company is not in compliance with the listing or maintenance requirements of the Principal Market. Except as disclosed in the SEC Documents, the Company is, and has no reason to believe that it will not in the foreseeable future continue to be, in compliance with all such listing and maintenance requirements.</w:t>
      </w:r>
    </w:p>
    <w:p>
      <w:pPr>
        <w:spacing w:after="0" w:line="189" w:lineRule="exact"/>
        <w:rPr>
          <w:rFonts w:ascii="Arial" w:cs="Arial" w:eastAsia="Arial" w:hAnsi="Arial"/>
          <w:sz w:val="18"/>
          <w:szCs w:val="18"/>
          <w:color w:val="auto"/>
        </w:rPr>
      </w:pPr>
    </w:p>
    <w:p>
      <w:pPr>
        <w:ind w:right="20" w:firstLine="656"/>
        <w:spacing w:after="0" w:line="277"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accountants are set forth in the SEC Documents and, to the knowledge of the Company, such accountants are an independent registered public accounting firm as required by the Securities Act.</w:t>
      </w:r>
    </w:p>
    <w:p>
      <w:pPr>
        <w:spacing w:after="0" w:line="170" w:lineRule="exact"/>
        <w:rPr>
          <w:sz w:val="20"/>
          <w:szCs w:val="20"/>
          <w:color w:val="auto"/>
        </w:rPr>
      </w:pPr>
    </w:p>
    <w:p>
      <w:pPr>
        <w:jc w:val="both"/>
        <w:ind w:firstLine="656"/>
        <w:spacing w:after="0" w:line="259" w:lineRule="auto"/>
        <w:tabs>
          <w:tab w:leader="none" w:pos="112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Market Manipulation</w:t>
      </w:r>
      <w:r>
        <w:rPr>
          <w:rFonts w:ascii="Arial" w:cs="Arial" w:eastAsia="Arial" w:hAnsi="Arial"/>
          <w:sz w:val="18"/>
          <w:szCs w:val="18"/>
          <w:color w:val="auto"/>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Shell Company Status</w:t>
      </w:r>
      <w:r>
        <w:rPr>
          <w:rFonts w:ascii="Arial" w:cs="Arial" w:eastAsia="Arial" w:hAnsi="Arial"/>
          <w:sz w:val="17"/>
          <w:szCs w:val="17"/>
          <w:color w:val="auto"/>
        </w:rPr>
        <w:t>. The Company is not currently, and has never been, an issuer identified in Rule 144(i)(1) under the Securities Act.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1100" w:hanging="444"/>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56"/>
        <w:spacing w:after="0" w:line="259" w:lineRule="auto"/>
        <w:tabs>
          <w:tab w:leader="none" w:pos="118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Filing of Current Report</w:t>
      </w:r>
      <w:r>
        <w:rPr>
          <w:rFonts w:ascii="Arial" w:cs="Arial" w:eastAsia="Arial" w:hAnsi="Arial"/>
          <w:sz w:val="18"/>
          <w:szCs w:val="18"/>
          <w:color w:val="auto"/>
        </w:rPr>
        <w:t>. The Company agrees that it shall, within one (1) business day of the Closing Date, file with the SEC a report on Form 8-K relating to the transactions contemplated by, and describing the material terms and conditions of, the Transaction Documents (the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provided that all such filings shall be in accordance with the terms and conditions relating to Confidential Information as set forth in the License Agreement.</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19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Shares as required under Regulation D and to provide a copy thereof, promptly upon request of the Investor. The Company shall take all such action, if any, as is reasonably necessary in order to obtain an exemption for or to register or qualify (i) the issuance of the Shares to the Investor under this Agreement and (ii) any subsequent resale of all Shares by the Investor, in each case, under applicable securities or “Blue Sky” laws of the states of the United States in such states as is reasonably requested by the Investor from time to time, and shall provide evidence of any such action so taken to the Investor.</w:t>
      </w:r>
    </w:p>
    <w:p>
      <w:pPr>
        <w:spacing w:after="0" w:line="172" w:lineRule="exact"/>
        <w:rPr>
          <w:rFonts w:ascii="Arial" w:cs="Arial" w:eastAsia="Arial" w:hAnsi="Arial"/>
          <w:sz w:val="17"/>
          <w:szCs w:val="17"/>
          <w:color w:val="auto"/>
        </w:rPr>
      </w:pPr>
    </w:p>
    <w:p>
      <w:pPr>
        <w:jc w:val="both"/>
        <w:ind w:firstLine="656"/>
        <w:spacing w:after="0" w:line="291" w:lineRule="auto"/>
        <w:tabs>
          <w:tab w:leader="none" w:pos="115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Listing/DTC</w:t>
      </w:r>
      <w:r>
        <w:rPr>
          <w:rFonts w:ascii="Arial" w:cs="Arial" w:eastAsia="Arial" w:hAnsi="Arial"/>
          <w:sz w:val="16"/>
          <w:szCs w:val="16"/>
          <w:color w:val="auto"/>
        </w:rPr>
        <w:t>. The Company shall (a) take all actions that are necessary, including providing appropriate notice to Nasdaq of the transactions contemplated by this Agreement, for the Shares to be listed on the Nasdaq Global Market and (b) comply with all listing, reporting, filing, and other obligations under the rules of Nasdaq and of the SEC. The Company shall use commercially reasonable efforts to maintain the listing of the Common Stock on the Principal Market and shall comply in all respects with the Company’s reporting, filing and other obligations under the bylaws or rules and regulations of the Principal Market. Neither the Company nor any of its Subsidiaries shall take any action that would reasonably be expected to result in the delisting or suspension of the Common Stock on the Principal Market. The Company shall pay all fees and expenses in connection with satisfying its obligations under this Section 5(c). The Company shall take all action necessary to ensure that its Common Stock can be transferred electronically as DWAC Shares.</w:t>
      </w:r>
    </w:p>
    <w:p>
      <w:pPr>
        <w:spacing w:after="0" w:line="167" w:lineRule="exact"/>
        <w:rPr>
          <w:rFonts w:ascii="Arial" w:cs="Arial" w:eastAsia="Arial" w:hAnsi="Arial"/>
          <w:sz w:val="16"/>
          <w:szCs w:val="16"/>
          <w:color w:val="auto"/>
        </w:rPr>
      </w:pPr>
    </w:p>
    <w:p>
      <w:pPr>
        <w:jc w:val="both"/>
        <w:ind w:firstLine="656"/>
        <w:spacing w:after="0" w:line="259" w:lineRule="auto"/>
        <w:tabs>
          <w:tab w:leader="none" w:pos="131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Except as provided under the License Agreement (including under Sections 4.3, 5.4 and 7.2 of the License Agreement), the Company confirms that neither it nor any other Person acting on its behalf shall provide the Investor or its agents or counsel with any information that constitutes or might constitute material, non-public information, unless a simultaneous public announcement thereof is made by the Company in the manner contemplated by Regulation FD.</w:t>
      </w:r>
    </w:p>
    <w:p>
      <w:pPr>
        <w:spacing w:after="0" w:line="186" w:lineRule="exact"/>
        <w:rPr>
          <w:rFonts w:ascii="Arial" w:cs="Arial" w:eastAsia="Arial" w:hAnsi="Arial"/>
          <w:sz w:val="18"/>
          <w:szCs w:val="18"/>
          <w:color w:val="auto"/>
        </w:rPr>
      </w:pPr>
    </w:p>
    <w:p>
      <w:pPr>
        <w:ind w:right="20" w:firstLine="656"/>
        <w:spacing w:after="0" w:line="277" w:lineRule="auto"/>
        <w:tabs>
          <w:tab w:leader="none" w:pos="111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Company shall pay any and all transfer, stamp or similar taxes that may be payable with respect to the issuance and delivery of any shares of Common Stock to the Investor made under this Agreement.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9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Company shall comply with all applicable federal, state and foreign securities laws in connection with the offer, issuance and sale by the Company of the Shares contemplated by the Transaction Documents. Without limiting the generality of the foregoing, neither the Company nor any of its officers, directors or affiliates will take, directly or indirectly, any action designed or intended to stabilize or manipulate the price of any security of the Company, or which would reasonably be expected to cause or result in, stabilization or manipulation of the price of any security of the Company.</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22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From and after the date of this Agreement, neither the Company, nor any of its affiliates will, and the Company shall use its reasonable best efforts to ensure that no Person acting on any of their behalf will, directly or indirectly, make any offers or sales of any security or solicit any offers to buy any security, under circumstances that would cause this offering of the Shares to be integrated with other offerings of securities by the Company in a manner that would require stockholder approval pursuant to the rules and regulations of the Principal Market on which any of the securities of the Company are listed or designated, unless stockholder approval is obtained before the closing of such subsequent transaction in accordance with the rules of such Principal Market.</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25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Transactions</w:t>
      </w:r>
      <w:r>
        <w:rPr>
          <w:rFonts w:ascii="Arial" w:cs="Arial" w:eastAsia="Arial" w:hAnsi="Arial"/>
          <w:sz w:val="18"/>
          <w:szCs w:val="18"/>
          <w:color w:val="auto"/>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any of the Transaction Documents to which it is a party, including, without limitation, the obligation of the Company to deliver the Shares to the Investor in accordance with the terms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1100" w:hanging="444"/>
        <w:spacing w:after="0"/>
        <w:tabs>
          <w:tab w:leader="none" w:pos="11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AGENT INSTRUCTIONS; TRANSFER RESTRICTIONS.</w:t>
      </w:r>
    </w:p>
    <w:p>
      <w:pPr>
        <w:spacing w:after="0" w:line="229" w:lineRule="exact"/>
        <w:rPr>
          <w:sz w:val="20"/>
          <w:szCs w:val="20"/>
          <w:color w:val="auto"/>
        </w:rPr>
      </w:pPr>
    </w:p>
    <w:p>
      <w:pPr>
        <w:jc w:val="both"/>
        <w:ind w:firstLine="656"/>
        <w:spacing w:after="0" w:line="255"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Transfer Agent Instructions</w:t>
      </w:r>
      <w:r>
        <w:rPr>
          <w:rFonts w:ascii="Arial" w:cs="Arial" w:eastAsia="Arial" w:hAnsi="Arial"/>
          <w:sz w:val="18"/>
          <w:szCs w:val="18"/>
          <w:color w:val="auto"/>
        </w:rPr>
        <w:t>. On the Closing Date, the Company shall issue to the Transfer Agent (and any subsequent transfer agent) instructions to issue the Shares in accordance with the terms of this Agreement (the “</w:t>
      </w:r>
      <w:r>
        <w:rPr>
          <w:rFonts w:ascii="Arial" w:cs="Arial" w:eastAsia="Arial" w:hAnsi="Arial"/>
          <w:sz w:val="18"/>
          <w:szCs w:val="18"/>
          <w:u w:val="single" w:color="auto"/>
          <w:color w:val="auto"/>
        </w:rPr>
        <w:t>Irrevocable Transfer Agent Instructions</w:t>
      </w:r>
      <w:r>
        <w:rPr>
          <w:rFonts w:ascii="Arial" w:cs="Arial" w:eastAsia="Arial" w:hAnsi="Arial"/>
          <w:sz w:val="18"/>
          <w:szCs w:val="18"/>
          <w:color w:val="auto"/>
        </w:rPr>
        <w:t>”). All Shares to be issued to or for the benefit of the Investor pursuant to this Agreement shall be issued to the Invest in book-entry form and held in an account at the Transfer Agent. The Company represents and warrants to the Investor that no instruction other than the Irrevocable Transfer Agent Instructions referred to in this Section 6 will be given by the Company to the Transfer Agent with respect to the Shares. Certificates and any other instruments evidencing the Shares shall bear a restrictive legend pursuant to Section 6(c).</w:t>
      </w:r>
    </w:p>
    <w:p>
      <w:pPr>
        <w:spacing w:after="0" w:line="193" w:lineRule="exact"/>
        <w:rPr>
          <w:rFonts w:ascii="Arial" w:cs="Arial" w:eastAsia="Arial" w:hAnsi="Arial"/>
          <w:sz w:val="18"/>
          <w:szCs w:val="18"/>
          <w:color w:val="auto"/>
        </w:rPr>
      </w:pPr>
    </w:p>
    <w:p>
      <w:pPr>
        <w:jc w:val="both"/>
        <w:ind w:firstLine="656"/>
        <w:spacing w:after="0" w:line="255" w:lineRule="auto"/>
        <w:tabs>
          <w:tab w:leader="none" w:pos="125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Shares may only be disposed of in compliance with state and federal securities laws. In connection with any transfer of the Shares other than pursuant to an effective registration statement or Rule 144 or to the Company, the Company may require the Investor to provide to the Company an opinion of counsel selected by the Investor and reasonably acceptable to the Company, the form and substance of which opinion shall be reasonably satisfactory to the Company, to the effect that such transfer does not require registration of such transferred Shares under the Securities Act and, as a condition of such transfer, any such transferee shall agree in writing to be bound by the terms of this Agreement and shall have the rights and obligations of the Investor under this Agreement</w:t>
      </w:r>
    </w:p>
    <w:p>
      <w:pPr>
        <w:spacing w:after="0" w:line="193" w:lineRule="exact"/>
        <w:rPr>
          <w:rFonts w:ascii="Arial" w:cs="Arial" w:eastAsia="Arial" w:hAnsi="Arial"/>
          <w:sz w:val="18"/>
          <w:szCs w:val="18"/>
          <w:color w:val="auto"/>
        </w:rPr>
      </w:pPr>
    </w:p>
    <w:p>
      <w:pPr>
        <w:ind w:firstLine="656"/>
        <w:spacing w:after="0" w:line="277"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Each book-entry statement representing the Shares shall be stamped or otherwise imprinted with a legend substantially in the following form (in addition to any legend required by applicable state securities or “blue sky” laws):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THE SECURITIES REPRESENTED BY THIS BOOK-ENTRY STATEMENT (THE “SECURITIES”) HAVE NOT BEEN REGISTERED UNDER THE SECURITIES ACT OF 1933, AS AMENDED (THE “SECURITIES ACT”) OR ANY STATE SECURITIES LAWS AND MAY NOT BE SOLD, TRANSFERRED OR OTHERWISE DISPOSED OF UNLESS REGISTERED UNDER THE SECURITIES ACT AND UNDER APPLICABLE STATE SECURITIES LAWS OR AXSOME THERAPEUTICS, INC. SHALL HAVE RECEIVED AN OPINION OF ITS COUNSEL THAT REGISTRATION OF SUCH SECURITIES UNDER THE SECURITIES ACT AND UNDER THE PROVISIONS OF APPLICABLE STATE SECURITIES LAWS IS NOT REQUIRED.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legend may only be removed by the Transfer Agent in accordance with Section 3(i)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1100" w:hanging="444"/>
        <w:spacing w:after="0"/>
        <w:tabs>
          <w:tab w:leader="none" w:pos="11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CLOSING CONDITIONS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 of the parties to on the Closing Date shall be subject to the satisfaction or, where legally permissible, the waiver of each of the following conditions:</w:t>
      </w:r>
    </w:p>
    <w:p>
      <w:pPr>
        <w:spacing w:after="0" w:line="170" w:lineRule="exact"/>
        <w:rPr>
          <w:sz w:val="20"/>
          <w:szCs w:val="20"/>
          <w:color w:val="auto"/>
        </w:rPr>
      </w:pPr>
    </w:p>
    <w:p>
      <w:pPr>
        <w:ind w:left="1120" w:hanging="464"/>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Investor shall have executed each of the applicable Transaction Documents and delivered the same to the Company; and</w:t>
      </w:r>
    </w:p>
    <w:p>
      <w:pPr>
        <w:spacing w:after="0" w:line="225" w:lineRule="exact"/>
        <w:rPr>
          <w:rFonts w:ascii="Arial" w:cs="Arial" w:eastAsia="Arial" w:hAnsi="Arial"/>
          <w:sz w:val="18"/>
          <w:szCs w:val="18"/>
          <w:color w:val="auto"/>
        </w:rPr>
      </w:pPr>
    </w:p>
    <w:p>
      <w:pPr>
        <w:ind w:firstLine="656"/>
        <w:spacing w:after="0" w:line="277" w:lineRule="auto"/>
        <w:tabs>
          <w:tab w:leader="none" w:pos="11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representations and warranties of the Investor shall be true and correct in all material respects as of the date hereof and as of the Closing Date as though made at that time.</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have executed each of the applicable Transaction Documents and delivered the same to the Investor;</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shall be true and correct in all material respects (except to the extent that any of such representations and warranties is already qualified as to materiality in Section 4 above, in which case, the portion of such representations and warranties so qualified shall be true and correct without further qualification) as of the date hereof and as of the Closing Date as though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by the Transaction Documents to be performed, satisfied or complied with by the Company at or prior to the Closing Date.</w:t>
      </w:r>
    </w:p>
    <w:p>
      <w:pPr>
        <w:spacing w:after="0" w:line="193" w:lineRule="exact"/>
        <w:rPr>
          <w:rFonts w:ascii="Arial" w:cs="Arial" w:eastAsia="Arial" w:hAnsi="Arial"/>
          <w:sz w:val="18"/>
          <w:szCs w:val="18"/>
          <w:color w:val="auto"/>
        </w:rPr>
      </w:pPr>
    </w:p>
    <w:p>
      <w:pPr>
        <w:ind w:right="20" w:firstLine="656"/>
        <w:spacing w:after="0" w:line="277" w:lineRule="auto"/>
        <w:tabs>
          <w:tab w:leader="none" w:pos="11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Investor shall have received a certificate, executed by the CEO, President or CFO of the Company, dated as of the Closing Date, to the foregoing effect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77" w:lineRule="auto"/>
        <w:tabs>
          <w:tab w:leader="none" w:pos="1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the Investor a secretary's certificate executed by the Secretary of the Company, dated as of the Closing Date,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have issued the Irrevocable Transfer Instructions to the Transfer Agent;</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56"/>
        <w:spacing w:after="0" w:line="264" w:lineRule="auto"/>
        <w:tabs>
          <w:tab w:leader="none" w:pos="11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w:t>
      </w:r>
    </w:p>
    <w:p>
      <w:pPr>
        <w:spacing w:after="0" w:line="181" w:lineRule="exact"/>
        <w:rPr>
          <w:rFonts w:ascii="Arial" w:cs="Arial" w:eastAsia="Arial" w:hAnsi="Arial"/>
          <w:sz w:val="18"/>
          <w:szCs w:val="18"/>
          <w:color w:val="auto"/>
        </w:rPr>
      </w:pPr>
    </w:p>
    <w:p>
      <w:pPr>
        <w:jc w:val="both"/>
        <w:ind w:firstLine="656"/>
        <w:spacing w:after="0" w:line="302" w:lineRule="auto"/>
        <w:tabs>
          <w:tab w:leader="none" w:pos="1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w:t>
      </w:r>
    </w:p>
    <w:p>
      <w:pPr>
        <w:spacing w:after="0" w:line="154" w:lineRule="exact"/>
        <w:rPr>
          <w:rFonts w:ascii="Arial" w:cs="Arial" w:eastAsia="Arial" w:hAnsi="Arial"/>
          <w:sz w:val="16"/>
          <w:szCs w:val="16"/>
          <w:color w:val="auto"/>
        </w:rPr>
      </w:pPr>
    </w:p>
    <w:p>
      <w:pPr>
        <w:ind w:left="1140" w:hanging="48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Person shall have commenced a proceeding against the Company pursuant to or within the meaning of any Bankruptcy Law;</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pursuant to or within the meaning of any Bankruptcy Law, shall not have (i) commenced a voluntary case, (ii) consented to the entry of an order for relief against it in an involuntary case, (iii) consented to the appointment of a Custodian of it or for all or substantially all of its property, or (iv) made a general assignment for the benefit of its creditors or is generally unable to pay its debts as the same become due; and</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2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Subsidiary.</w:t>
      </w:r>
    </w:p>
    <w:p>
      <w:pPr>
        <w:spacing w:after="0" w:line="177" w:lineRule="exact"/>
        <w:rPr>
          <w:sz w:val="20"/>
          <w:szCs w:val="20"/>
          <w:color w:val="auto"/>
        </w:rPr>
      </w:pPr>
    </w:p>
    <w:p>
      <w:pPr>
        <w:ind w:left="1160" w:hanging="504"/>
        <w:spacing w:after="0"/>
        <w:tabs>
          <w:tab w:leader="none" w:pos="11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56"/>
        <w:spacing w:after="0" w:line="283" w:lineRule="auto"/>
        <w:tabs>
          <w:tab w:leader="none" w:pos="119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Illinois. Each party hereby irrevocably submits to the exclusive jurisdiction of the state court located in the State of New York in the Borough of Manhattan and federal court located in the Southern District of the State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the other Transaction Documents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 MAY HAVE, AND AGREES NOT TO REQUEST, A JURY TRIAL</w:t>
      </w:r>
    </w:p>
    <w:p>
      <w:pPr>
        <w:spacing w:after="0" w:line="3" w:lineRule="exact"/>
        <w:rPr>
          <w:rFonts w:ascii="Arial" w:cs="Arial" w:eastAsia="Arial" w:hAnsi="Arial"/>
          <w:sz w:val="16"/>
          <w:szCs w:val="16"/>
          <w:color w:val="auto"/>
        </w:rPr>
      </w:pPr>
    </w:p>
    <w:p>
      <w:pPr>
        <w:jc w:val="both"/>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FOR THE ADJUDICATION OF ANY DISPUTE HEREUNDER OR IN CONNECTION HEREWITH OR ARISING OUT OF THIS AGREEMENT OR ANY OF THE OTHER TRANSACTION DOCUMENTS OR ANY TRANSACTION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56"/>
        <w:spacing w:after="0" w:line="259" w:lineRule="auto"/>
        <w:tabs>
          <w:tab w:leader="none" w:pos="122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shall be considered due execution and shall be binding upon the signatory thereto with the same force and effect as if the signature were an original signature.</w:t>
      </w:r>
    </w:p>
    <w:p>
      <w:pPr>
        <w:spacing w:after="0" w:line="186" w:lineRule="exact"/>
        <w:rPr>
          <w:rFonts w:ascii="Arial" w:cs="Arial" w:eastAsia="Arial" w:hAnsi="Arial"/>
          <w:sz w:val="18"/>
          <w:szCs w:val="18"/>
          <w:color w:val="auto"/>
        </w:rPr>
      </w:pPr>
    </w:p>
    <w:p>
      <w:pPr>
        <w:ind w:left="1220" w:hanging="564"/>
        <w:spacing w:after="0"/>
        <w:tabs>
          <w:tab w:leader="none" w:pos="122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firstLine="656"/>
        <w:spacing w:after="0" w:line="264" w:lineRule="auto"/>
        <w:tabs>
          <w:tab w:leader="none" w:pos="114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199"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and the other Transaction Documents supersede all other prior oral or written agreements among the Investor, the Company, their respective affiliates and Persons acting on their behalf with respect to the subject matter 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 No provision of this Agreement or the other Transaction Documents may be amended other than by a written instrument signed by both parties hereto.</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14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Broadway, 3rd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332-3241</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320-6270</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npizzie@axsome.com</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Nick Pizzie, Chief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(973) 307-3004</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(973) 520-2551</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emilio.ragosa@dlapiper.com</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Emilio Ragosa, Esq.</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Investor: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Vice President, Corporate Development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Pfizer Inc.235 East 42nd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J. Muratore,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(212) 733-7965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andrew.j.muratore@pfizer.com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Transfer Agent: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Brooklyn, NY 11219</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Telephone:</w:t>
            </w:r>
          </w:p>
        </w:tc>
        <w:tc>
          <w:tcPr>
            <w:tcW w:w="1200" w:type="dxa"/>
            <w:vAlign w:val="bottom"/>
          </w:tcPr>
          <w:p>
            <w:pPr>
              <w:ind w:left="200"/>
              <w:spacing w:after="0"/>
              <w:rPr>
                <w:sz w:val="20"/>
                <w:szCs w:val="20"/>
                <w:color w:val="auto"/>
              </w:rPr>
            </w:pPr>
            <w:r>
              <w:rPr>
                <w:rFonts w:ascii="Arial" w:cs="Arial" w:eastAsia="Arial" w:hAnsi="Arial"/>
                <w:sz w:val="18"/>
                <w:szCs w:val="18"/>
                <w:color w:val="auto"/>
                <w:w w:val="88"/>
              </w:rPr>
              <w:t>718.921.8300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Facsimile:</w:t>
            </w:r>
          </w:p>
        </w:tc>
        <w:tc>
          <w:tcPr>
            <w:tcW w:w="1200" w:type="dxa"/>
            <w:vAlign w:val="bottom"/>
          </w:tcPr>
          <w:p>
            <w:pPr>
              <w:ind w:left="200"/>
              <w:spacing w:after="0"/>
              <w:rPr>
                <w:sz w:val="20"/>
                <w:szCs w:val="20"/>
                <w:color w:val="auto"/>
              </w:rPr>
            </w:pPr>
            <w:r>
              <w:rPr>
                <w:rFonts w:ascii="Arial" w:cs="Arial" w:eastAsia="Arial" w:hAnsi="Arial"/>
                <w:sz w:val="18"/>
                <w:szCs w:val="18"/>
                <w:color w:val="auto"/>
                <w:w w:val="88"/>
              </w:rPr>
              <w:t>718.765.8782</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Attention:</w:t>
            </w:r>
          </w:p>
        </w:tc>
        <w:tc>
          <w:tcPr>
            <w:tcW w:w="1200" w:type="dxa"/>
            <w:vAlign w:val="bottom"/>
          </w:tcPr>
          <w:p>
            <w:pPr>
              <w:ind w:left="200"/>
              <w:spacing w:after="0"/>
              <w:rPr>
                <w:sz w:val="20"/>
                <w:szCs w:val="20"/>
                <w:color w:val="auto"/>
              </w:rPr>
            </w:pPr>
            <w:r>
              <w:rPr>
                <w:rFonts w:ascii="Arial" w:cs="Arial" w:eastAsia="Arial" w:hAnsi="Arial"/>
                <w:sz w:val="18"/>
                <w:szCs w:val="18"/>
                <w:color w:val="auto"/>
                <w:w w:val="88"/>
              </w:rPr>
              <w:t>Jordan Hirsch</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or at such other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 of personal service, receipt by facsimile or email or receipt from a nationally recognized overnight delivery service in accordance with clause (i), (ii) or (iii) above,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1" w:name="page22"/>
    <w:bookmarkEnd w:id="21"/>
    <w:p>
      <w:pPr>
        <w:jc w:val="both"/>
        <w:ind w:firstLine="656"/>
        <w:spacing w:after="0" w:line="264"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any permitted successors and assigns of the Company. The Company shall not assign this Agreement or any rights or obligations hereunder without the prior written consent of the Investor, including by merger or consolidation. The Investor may not assign its rights or obligations under this Agreement.</w:t>
      </w:r>
    </w:p>
    <w:p>
      <w:pPr>
        <w:spacing w:after="0" w:line="181" w:lineRule="exact"/>
        <w:rPr>
          <w:rFonts w:ascii="Arial" w:cs="Arial" w:eastAsia="Arial" w:hAnsi="Arial"/>
          <w:sz w:val="18"/>
          <w:szCs w:val="18"/>
          <w:color w:val="auto"/>
        </w:rPr>
      </w:pPr>
    </w:p>
    <w:p>
      <w:pPr>
        <w:ind w:firstLine="656"/>
        <w:spacing w:after="0" w:line="277" w:lineRule="auto"/>
        <w:tabs>
          <w:tab w:leader="none" w:pos="117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any permitted successors and assigns of the Company and is not for the benefit of, nor may any provision hereof be enforced by, any other Person.</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3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The Company shall afford the Investor and its counsel with the opportunity to review and comment upon the form and substance of, and shall give reasonable consideration to all such comments from the Investor or its counsel on, the Current Report and the Company’s initial press release disclosing the Transaction Documents, if any, not less than one (1) business day prior to the issuance, filing or public disclosure thereof. The Company agrees and acknowledges that its failure to fully comply with this provision constitutes a Material Adverse Effect. Investor shall not issue a press release or any other public disclosure regarding this Agreement or the substance hereof without the prior written consent of the Company, which consent shall not be unreasonably withheld, conditioned or delayed.</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18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Financial Advisor, Placement Agent, Broker or Finder</w:t>
      </w:r>
      <w:r>
        <w:rPr>
          <w:rFonts w:ascii="Arial" w:cs="Arial" w:eastAsia="Arial" w:hAnsi="Arial"/>
          <w:sz w:val="17"/>
          <w:szCs w:val="17"/>
          <w:color w:val="auto"/>
        </w:rPr>
        <w:t>.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the Investor harmless against, any liability, loss or expense (including, without limitation, reasonable attorneys' fees and out of pocket expenses) arising in connection with any such claim.</w:t>
      </w:r>
    </w:p>
    <w:p>
      <w:pPr>
        <w:spacing w:after="0" w:line="178" w:lineRule="exact"/>
        <w:rPr>
          <w:rFonts w:ascii="Arial" w:cs="Arial" w:eastAsia="Arial" w:hAnsi="Arial"/>
          <w:sz w:val="17"/>
          <w:szCs w:val="17"/>
          <w:color w:val="auto"/>
        </w:rPr>
      </w:pPr>
    </w:p>
    <w:p>
      <w:pPr>
        <w:ind w:firstLine="656"/>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56"/>
        <w:spacing w:after="0" w:line="254" w:lineRule="auto"/>
        <w:tabs>
          <w:tab w:leader="none" w:pos="122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Remedies, Other Obligations, Breaches and Injunctive Relief</w:t>
      </w:r>
      <w:r>
        <w:rPr>
          <w:rFonts w:ascii="Arial" w:cs="Arial" w:eastAsia="Arial" w:hAnsi="Arial"/>
          <w:sz w:val="18"/>
          <w:szCs w:val="18"/>
          <w:color w:val="auto"/>
        </w:rPr>
        <w:t>. The Investor’s remedies provided in this Agreement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w:t>
      </w:r>
    </w:p>
    <w:p>
      <w:pPr>
        <w:spacing w:after="0" w:line="192" w:lineRule="exact"/>
        <w:rPr>
          <w:rFonts w:ascii="Arial" w:cs="Arial" w:eastAsia="Arial" w:hAnsi="Arial"/>
          <w:sz w:val="18"/>
          <w:szCs w:val="18"/>
          <w:color w:val="auto"/>
        </w:rPr>
      </w:pPr>
    </w:p>
    <w:p>
      <w:pPr>
        <w:jc w:val="both"/>
        <w:ind w:firstLine="656"/>
        <w:spacing w:after="0" w:line="254" w:lineRule="auto"/>
        <w:tabs>
          <w:tab w:leader="none" w:pos="118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Enforcement Costs</w:t>
      </w:r>
      <w:r>
        <w:rPr>
          <w:rFonts w:ascii="Arial" w:cs="Arial" w:eastAsia="Arial" w:hAnsi="Arial"/>
          <w:sz w:val="18"/>
          <w:szCs w:val="18"/>
          <w:color w:val="auto"/>
        </w:rPr>
        <w:t>.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an attorney is retained to represent the Investor in any other proceedings whatsoever in connection with this Agreement, then the Company shall pay to the Investor, as incurred by the Investor, all reasonable costs and expenses including reasonable attorneys' fees incurred in connection therewith, in addition to all other amounts due hereunder. If this Agreement is placed by the Company in the hands of an attorney for enforcement or is enforced by the Company through any legal proceeding, then the Investor shall pay to the Company, as incurred by the Company, all reasonable costs and expenses including reasonable attorneys’ fees incurred in connection therewith, in addition to all other amounts due hereunder.</w:t>
      </w:r>
    </w:p>
    <w:p>
      <w:pPr>
        <w:spacing w:after="0" w:line="192" w:lineRule="exact"/>
        <w:rPr>
          <w:rFonts w:ascii="Arial" w:cs="Arial" w:eastAsia="Arial" w:hAnsi="Arial"/>
          <w:sz w:val="18"/>
          <w:szCs w:val="18"/>
          <w:color w:val="auto"/>
        </w:rPr>
      </w:pPr>
    </w:p>
    <w:p>
      <w:pPr>
        <w:jc w:val="both"/>
        <w:ind w:firstLine="656"/>
        <w:spacing w:after="0" w:line="286" w:lineRule="auto"/>
        <w:tabs>
          <w:tab w:leader="none" w:pos="1187"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37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Investor and the Company have caused this Agreement to be duly executed as of the date first written above.</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Giordano</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Douglas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10080" w:type="dxa"/>
            <w:vAlign w:val="bottom"/>
          </w:tcPr>
          <w:p>
            <w:pPr>
              <w:ind w:left="620"/>
              <w:spacing w:after="0"/>
              <w:rPr>
                <w:sz w:val="20"/>
                <w:szCs w:val="20"/>
                <w:color w:val="auto"/>
              </w:rPr>
            </w:pPr>
            <w:r>
              <w:rPr>
                <w:rFonts w:ascii="Arial" w:cs="Arial" w:eastAsia="Arial" w:hAnsi="Arial"/>
                <w:sz w:val="18"/>
                <w:szCs w:val="18"/>
                <w:color w:val="auto"/>
              </w:rPr>
              <w:t>Form of Officer’s Certificate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B</w:t>
            </w:r>
          </w:p>
        </w:tc>
        <w:tc>
          <w:tcPr>
            <w:tcW w:w="10080" w:type="dxa"/>
            <w:vAlign w:val="bottom"/>
          </w:tcPr>
          <w:p>
            <w:pPr>
              <w:ind w:left="620"/>
              <w:spacing w:after="0"/>
              <w:rPr>
                <w:sz w:val="20"/>
                <w:szCs w:val="20"/>
                <w:color w:val="auto"/>
              </w:rPr>
            </w:pPr>
            <w:r>
              <w:rPr>
                <w:rFonts w:ascii="Arial" w:cs="Arial" w:eastAsia="Arial" w:hAnsi="Arial"/>
                <w:sz w:val="18"/>
                <w:szCs w:val="18"/>
                <w:color w:val="auto"/>
              </w:rPr>
              <w:t>Form of Secretary’s Certificate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C</w:t>
            </w:r>
          </w:p>
        </w:tc>
        <w:tc>
          <w:tcPr>
            <w:tcW w:w="10080" w:type="dxa"/>
            <w:vAlign w:val="bottom"/>
          </w:tcPr>
          <w:p>
            <w:pPr>
              <w:ind w:left="620"/>
              <w:spacing w:after="0"/>
              <w:rPr>
                <w:sz w:val="20"/>
                <w:szCs w:val="20"/>
                <w:color w:val="auto"/>
              </w:rPr>
            </w:pPr>
            <w:r>
              <w:rPr>
                <w:rFonts w:ascii="Arial" w:cs="Arial" w:eastAsia="Arial" w:hAnsi="Arial"/>
                <w:sz w:val="18"/>
                <w:szCs w:val="18"/>
                <w:color w:val="auto"/>
              </w:rPr>
              <w:t>Lock Up Provisions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Exhibit D</w:t>
            </w:r>
          </w:p>
        </w:tc>
        <w:tc>
          <w:tcPr>
            <w:tcW w:w="10080" w:type="dxa"/>
            <w:vAlign w:val="bottom"/>
          </w:tcPr>
          <w:p>
            <w:pPr>
              <w:ind w:left="620"/>
              <w:spacing w:after="0"/>
              <w:rPr>
                <w:sz w:val="20"/>
                <w:szCs w:val="20"/>
                <w:color w:val="auto"/>
              </w:rPr>
            </w:pPr>
            <w:r>
              <w:rPr>
                <w:rFonts w:ascii="Arial" w:cs="Arial" w:eastAsia="Arial" w:hAnsi="Arial"/>
                <w:sz w:val="18"/>
                <w:szCs w:val="18"/>
                <w:color w:val="auto"/>
              </w:rPr>
              <w:t>Opinion of DLA Piper LLP</w:t>
            </w:r>
          </w:p>
        </w:tc>
      </w:tr>
      <w:tr>
        <w:trPr>
          <w:trHeight w:val="432"/>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OFFICER’S CERTIFICATE</w:t>
      </w:r>
    </w:p>
    <w:p>
      <w:pPr>
        <w:spacing w:after="0" w:line="225" w:lineRule="exact"/>
        <w:rPr>
          <w:sz w:val="20"/>
          <w:szCs w:val="20"/>
          <w:color w:val="auto"/>
        </w:rPr>
      </w:pPr>
    </w:p>
    <w:p>
      <w:pPr>
        <w:jc w:val="both"/>
        <w:ind w:firstLine="907"/>
        <w:spacing w:after="0" w:line="266" w:lineRule="auto"/>
        <w:rPr>
          <w:sz w:val="20"/>
          <w:szCs w:val="20"/>
          <w:color w:val="auto"/>
        </w:rPr>
      </w:pPr>
      <w:r>
        <w:rPr>
          <w:rFonts w:ascii="Arial" w:cs="Arial" w:eastAsia="Arial" w:hAnsi="Arial"/>
          <w:sz w:val="18"/>
          <w:szCs w:val="18"/>
          <w:color w:val="auto"/>
        </w:rPr>
        <w:t>This Officer’s Certificate (“</w:t>
      </w:r>
      <w:r>
        <w:rPr>
          <w:rFonts w:ascii="Arial" w:cs="Arial" w:eastAsia="Arial" w:hAnsi="Arial"/>
          <w:sz w:val="18"/>
          <w:szCs w:val="18"/>
          <w:b w:val="1"/>
          <w:bCs w:val="1"/>
          <w:color w:val="auto"/>
        </w:rPr>
        <w:t>Certificate</w:t>
      </w:r>
      <w:r>
        <w:rPr>
          <w:rFonts w:ascii="Arial" w:cs="Arial" w:eastAsia="Arial" w:hAnsi="Arial"/>
          <w:sz w:val="18"/>
          <w:szCs w:val="18"/>
          <w:color w:val="auto"/>
        </w:rPr>
        <w:t>”) is being delivered pursuant to Section 7(e) of that certain Share Transfer Agreement dated as of January 10, 2020,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AXSOME THERAPEUTICS,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PFIZER INC. (</w:t>
      </w:r>
      <w:r>
        <w:rPr>
          <w:rFonts w:ascii="Arial" w:cs="Arial" w:eastAsia="Arial" w:hAnsi="Arial"/>
          <w:sz w:val="18"/>
          <w:szCs w:val="18"/>
          <w:color w:val="auto"/>
        </w:rPr>
        <w:t>the “</w:t>
      </w:r>
      <w:r>
        <w:rPr>
          <w:rFonts w:ascii="Arial" w:cs="Arial" w:eastAsia="Arial" w:hAnsi="Arial"/>
          <w:sz w:val="18"/>
          <w:szCs w:val="18"/>
          <w:b w:val="1"/>
          <w:bCs w:val="1"/>
          <w:color w:val="auto"/>
        </w:rPr>
        <w:t>Investor</w:t>
      </w:r>
      <w:r>
        <w:rPr>
          <w:rFonts w:ascii="Arial" w:cs="Arial" w:eastAsia="Arial" w:hAnsi="Arial"/>
          <w:sz w:val="18"/>
          <w:szCs w:val="18"/>
          <w:color w:val="auto"/>
        </w:rPr>
        <w:t>”). Terms used herein and not otherwise defined shall have the meanings ascribed to them in the Agreement.</w:t>
      </w:r>
    </w:p>
    <w:p>
      <w:pPr>
        <w:spacing w:after="0" w:line="180"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The undersigned, Nick Pizzie, Chief Financial Officer of the Company, hereby certifies, on behalf of the Company and not in his individual capacity, as follows:</w:t>
      </w:r>
    </w:p>
    <w:p>
      <w:pPr>
        <w:spacing w:after="0" w:line="170" w:lineRule="exact"/>
        <w:rPr>
          <w:sz w:val="20"/>
          <w:szCs w:val="20"/>
          <w:color w:val="auto"/>
        </w:rPr>
      </w:pPr>
    </w:p>
    <w:p>
      <w:pPr>
        <w:ind w:left="1100" w:hanging="444"/>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am the Chief Financial Officer of the Company and make the statements contained in this Certificate;</w:t>
      </w:r>
    </w:p>
    <w:p>
      <w:pPr>
        <w:spacing w:after="0" w:line="225" w:lineRule="exact"/>
        <w:rPr>
          <w:rFonts w:ascii="Arial" w:cs="Arial" w:eastAsia="Arial" w:hAnsi="Arial"/>
          <w:sz w:val="18"/>
          <w:szCs w:val="18"/>
          <w:color w:val="auto"/>
        </w:rPr>
      </w:pPr>
    </w:p>
    <w:p>
      <w:pPr>
        <w:jc w:val="both"/>
        <w:ind w:firstLine="656"/>
        <w:spacing w:after="0" w:line="302" w:lineRule="auto"/>
        <w:tabs>
          <w:tab w:leader="none" w:pos="1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are true and correct in all material respects (except to the extent that any of such representations and warranties is already qualified as to materiality in Section 4 of the Purchase Agreement, in which case, such representations and warranties are true and correct without further qualification) as of the date when made and as of the Closing Date as though made at that time (except for representations and warranties that speak as of a specific date, in which case such representations and warranties are true and correct as of such date);</w:t>
      </w:r>
    </w:p>
    <w:p>
      <w:pPr>
        <w:spacing w:after="0" w:line="154" w:lineRule="exact"/>
        <w:rPr>
          <w:rFonts w:ascii="Arial" w:cs="Arial" w:eastAsia="Arial" w:hAnsi="Arial"/>
          <w:sz w:val="16"/>
          <w:szCs w:val="16"/>
          <w:color w:val="auto"/>
        </w:rPr>
      </w:pPr>
    </w:p>
    <w:p>
      <w:pPr>
        <w:ind w:firstLine="656"/>
        <w:spacing w:after="0" w:line="277" w:lineRule="auto"/>
        <w:tabs>
          <w:tab w:leader="none" w:pos="1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performed, satisfied and complied in all material respects with covenants, agreements and conditions required by the Transaction Documents to be performed, satisfied or complied with by the Company at or prior to the Closing Date.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1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signed my name on this ____ day of ________ __, 2020.</w:t>
      </w: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 xml:space="preserve">The undersigned as Secretary of </w:t>
      </w:r>
      <w:r>
        <w:rPr>
          <w:rFonts w:ascii="Arial" w:cs="Arial" w:eastAsia="Arial" w:hAnsi="Arial"/>
          <w:sz w:val="17"/>
          <w:szCs w:val="17"/>
          <w:b w:val="1"/>
          <w:bCs w:val="1"/>
          <w:color w:val="auto"/>
        </w:rPr>
        <w:t>AXSOME THERAPEUTICS, INC.</w:t>
      </w:r>
      <w:r>
        <w:rPr>
          <w:rFonts w:ascii="Arial" w:cs="Arial" w:eastAsia="Arial" w:hAnsi="Arial"/>
          <w:sz w:val="17"/>
          <w:szCs w:val="17"/>
          <w:color w:val="auto"/>
        </w:rPr>
        <w:t>, a Delaware corporation, hereby certifies that Nick Pizzie is the duly elected, appointed, qualified and acting Chief Financial Officer of the Company and that the signature appearing above is his genuine signature.</w:t>
      </w:r>
    </w:p>
    <w:p>
      <w:pPr>
        <w:spacing w:after="0" w:line="3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SECRETARY’S CERTIFICATE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Secretary’s Certificate (“Certificate”) is being delivered pursuant to Section 7(e) of that certain Share Transfer Agreement dated as of January 10, 2020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AXSOME THERAPEUTICS,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PFIZER INC. (</w:t>
      </w:r>
      <w:r>
        <w:rPr>
          <w:rFonts w:ascii="Arial" w:cs="Arial" w:eastAsia="Arial" w:hAnsi="Arial"/>
          <w:sz w:val="17"/>
          <w:szCs w:val="17"/>
          <w:color w:val="auto"/>
        </w:rPr>
        <w:t>the “</w:t>
      </w:r>
      <w:r>
        <w:rPr>
          <w:rFonts w:ascii="Arial" w:cs="Arial" w:eastAsia="Arial" w:hAnsi="Arial"/>
          <w:sz w:val="17"/>
          <w:szCs w:val="17"/>
          <w:b w:val="1"/>
          <w:bCs w:val="1"/>
          <w:color w:val="auto"/>
        </w:rPr>
        <w:t>Investor</w:t>
      </w:r>
      <w:r>
        <w:rPr>
          <w:rFonts w:ascii="Arial" w:cs="Arial" w:eastAsia="Arial" w:hAnsi="Arial"/>
          <w:sz w:val="17"/>
          <w:szCs w:val="17"/>
          <w:color w:val="auto"/>
        </w:rPr>
        <w:t>”), pursuant to which the Company will issue to the Investor 82,019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Company's common stock, $0.0001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Terms used herein and not otherwise defined shall have the meanings ascribed to them in the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_____________, Secretary of the Company, hereby certifies, on behalf of the Company and not in his individual capacity,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100" w:hanging="444"/>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am the Secretary of the Company and make the statements contained in this Secretary’s Certificate.</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92"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are true, correct and complete copies of the Company’s bylaws (“Bylaws”) and Certificate of Incorporation (“Charter”), in each case, as amended or restated through the date hereof, and no action has been taken by the Company, its directors, officers or stockholders, in contemplation of the filing of any further amendment relating to or affecting the Bylaws or Charter.</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1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are true, correct and complete copies of the resolutions duly adopted by the Board of Directors of the Company (or a duly authorized committee thereof) by unanimous written consent on January 4, 2020. Such resolutions have not been materially amended, modified or rescinded and remain in full force and effect and such resolutions are the only resolutions adopted by the Company’s Board of Directors (or a duly authorized committee thereof) or the stockholders of the Company relating to or affecting (i) the entering into and performance of the Purchase Agreement, or the issuance, offering and sale of the Shares and (ii) and the performance of the Company of its obligation under the Transaction Documents as contemplated therein.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hereunder signed my name on this ___ day of ____________.</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0" w:lineRule="exact"/>
        <w:rPr>
          <w:sz w:val="20"/>
          <w:szCs w:val="20"/>
          <w:color w:val="auto"/>
        </w:rPr>
      </w:pPr>
    </w:p>
    <w:p>
      <w:pPr>
        <w:spacing w:after="0" w:line="223"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 xml:space="preserve">The undersigned as Chief Financial Officer of </w:t>
      </w:r>
      <w:r>
        <w:rPr>
          <w:rFonts w:ascii="Arial" w:cs="Arial" w:eastAsia="Arial" w:hAnsi="Arial"/>
          <w:sz w:val="17"/>
          <w:szCs w:val="17"/>
          <w:b w:val="1"/>
          <w:bCs w:val="1"/>
          <w:color w:val="auto"/>
        </w:rPr>
        <w:t>AXSOME THERAPEUTICS, INC.</w:t>
      </w:r>
      <w:r>
        <w:rPr>
          <w:rFonts w:ascii="Arial" w:cs="Arial" w:eastAsia="Arial" w:hAnsi="Arial"/>
          <w:sz w:val="17"/>
          <w:szCs w:val="17"/>
          <w:color w:val="auto"/>
        </w:rPr>
        <w:t>, a Delaware corporation, hereby certifies that Mark Jacobson is the duly elected, appointed, qualified and acting Secretary of the Company and that the signature appearing above is his genuine signature.</w:t>
      </w:r>
    </w:p>
    <w:p>
      <w:pPr>
        <w:spacing w:after="0" w:line="3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 UP PROVISIONS</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recognition of the benefits conferred upon the undersigned, and for good and valuable consideration, the receipt and sufficiency of which are hereby acknowledged, Pfizer Inc. (the “Investor”), in connection with that certain Share Transfer Agreement, dated as of January 4, 2020 (the “Agreement”), by and between the Investor and Axsome Therapeutics, Inc., a Delaware corporation (the “Company”), hereby agrees that from the Closing Date of the Agreement and until 12 months thereafter (the “Lock Up Period”), the Investor will not offer, sell, contract to sell, pledge or otherwise dispose of, directly or indirectly, any Shares acquired pursuant to the Agreement (the “Lock Up Shares”). Notwithstanding the foregoing, the Lock Up Period shall expire upon the consummation of a Change in Control transaction (as defined below). Except for the Lock Up Shares, any shares of Common Stock or other securities convertible into or exchangeable or exercisable for any shares of Common Stock acquired by the undersigned after the Closing Date in the open market or otherwise will not be subject to these provisions. All terms not otherwise defined herein shall have the meaning accorded to them in the Agreement.</w:t>
      </w:r>
    </w:p>
    <w:p>
      <w:pPr>
        <w:spacing w:after="0" w:line="166" w:lineRule="exact"/>
        <w:rPr>
          <w:sz w:val="20"/>
          <w:szCs w:val="20"/>
          <w:color w:val="auto"/>
        </w:rPr>
      </w:pPr>
    </w:p>
    <w:p>
      <w:pPr>
        <w:jc w:val="both"/>
        <w:ind w:firstLine="418"/>
        <w:spacing w:after="0" w:line="257" w:lineRule="auto"/>
        <w:rPr>
          <w:sz w:val="20"/>
          <w:szCs w:val="20"/>
          <w:color w:val="auto"/>
        </w:rPr>
      </w:pPr>
      <w:r>
        <w:rPr>
          <w:rFonts w:ascii="Arial" w:cs="Arial" w:eastAsia="Arial" w:hAnsi="Arial"/>
          <w:sz w:val="18"/>
          <w:szCs w:val="18"/>
          <w:color w:val="auto"/>
        </w:rPr>
        <w:t>Nothing in these provisions shall prohibit (i) the transfer of Lock Up Shares to any Affiliate (as defined below) of the Investor, provided that such transferee agrees to be bound by the Agreement (including these provisions); or (ii) the Investor from engaging in any hedging transactions or from otherwise hedging directly or indirectly its economic exposure with respect to any portion or all of the Lock Up Shares. As used herein, “Affiliate” means any Person that directly or indirectly controls, is controlled by, or is under common control with, the Investor. For the purpose hereof the term “control” means the holding of shares in excess of fifty (50%) of the voting securities of a corporate entity.</w:t>
      </w:r>
    </w:p>
    <w:p>
      <w:pPr>
        <w:spacing w:after="0" w:line="188" w:lineRule="exact"/>
        <w:rPr>
          <w:sz w:val="20"/>
          <w:szCs w:val="20"/>
          <w:color w:val="auto"/>
        </w:rPr>
      </w:pPr>
    </w:p>
    <w:p>
      <w:pPr>
        <w:jc w:val="both"/>
        <w:ind w:firstLine="418"/>
        <w:spacing w:after="0" w:line="264"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Lock Up Shares if such transfer would constitute a violation or breach of these provisions. Notwithstanding the foregoing, the Company may, at the request of the undersigned upon ten (10) days written notice to the Company, waive the Lock Up Period.</w:t>
      </w:r>
    </w:p>
    <w:p>
      <w:pPr>
        <w:spacing w:after="0" w:line="181" w:lineRule="exact"/>
        <w:rPr>
          <w:sz w:val="20"/>
          <w:szCs w:val="20"/>
          <w:color w:val="auto"/>
        </w:rPr>
      </w:pPr>
    </w:p>
    <w:p>
      <w:pPr>
        <w:jc w:val="both"/>
        <w:ind w:firstLine="418"/>
        <w:spacing w:after="0" w:line="279" w:lineRule="auto"/>
        <w:rPr>
          <w:sz w:val="20"/>
          <w:szCs w:val="20"/>
          <w:color w:val="auto"/>
        </w:rPr>
      </w:pPr>
      <w:r>
        <w:rPr>
          <w:rFonts w:ascii="Arial" w:cs="Arial" w:eastAsia="Arial" w:hAnsi="Arial"/>
          <w:sz w:val="17"/>
          <w:szCs w:val="17"/>
          <w:color w:val="auto"/>
        </w:rPr>
        <w:t>As used herein, “Change in Control” shall mean the occurrence of either of the following events to which the Company is a party: (i) a merger or consolidation in which securities possessing more than fifty percent (50%) of the total combined voting power of the Company’s outstanding securities are transferred to a person or persons different from the persons holding those securities immediately prior to such transaction; or (ii) the sale, transfer or other disposition of all or substantially all of the Company’s assets in complete liquidation or dissolution of the Company.</w:t>
      </w:r>
    </w:p>
    <w:p>
      <w:pPr>
        <w:spacing w:after="0" w:line="171"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8"/>
          <w:szCs w:val="18"/>
          <w:color w:val="auto"/>
        </w:rPr>
        <w:t>All authority herein conferred or agreed to be conferred and any obligations of the Investor shall be binding upon the successors, assigns, heirs or personal representatives of the Investor.</w:t>
      </w:r>
    </w:p>
    <w:p>
      <w:pPr>
        <w:spacing w:after="0" w:line="170" w:lineRule="exact"/>
        <w:rPr>
          <w:sz w:val="20"/>
          <w:szCs w:val="20"/>
          <w:color w:val="auto"/>
        </w:rPr>
      </w:pPr>
    </w:p>
    <w:p>
      <w:pPr>
        <w:jc w:val="both"/>
        <w:ind w:right="20" w:firstLine="418"/>
        <w:spacing w:after="0" w:line="277" w:lineRule="auto"/>
        <w:rPr>
          <w:sz w:val="20"/>
          <w:szCs w:val="20"/>
          <w:color w:val="auto"/>
        </w:rPr>
      </w:pPr>
      <w:r>
        <w:rPr>
          <w:rFonts w:ascii="Arial" w:cs="Arial" w:eastAsia="Arial" w:hAnsi="Arial"/>
          <w:sz w:val="18"/>
          <w:szCs w:val="18"/>
          <w:color w:val="auto"/>
        </w:rPr>
        <w:t>The investor understands that the Company is entering into the Purchase Agreement and intends to enter into the License Agreement in reliance upon these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ind w:right="-1200"/>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color w:val="auto"/>
        </w:rPr>
        <w:t>OPINION OF DLA PIPER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9" w:name="page30"/>
    <w:bookmarkEnd w:id="29"/>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58293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Axsome Therapeutics Enters into Exclusive License Agreement with Pfizer Inc. for Pfizer’s Reboxetine Clinical and Nonclinical Data and for New Phase 3 Esreboxetine Product Candidate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accelerates ongoing clinical development of AXS-12 (reboxetine) in narcolepsy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Expands Axsome’s pipeline with new Phase 3-stage esreboxetine product candidate for fibromyalgia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Esreboxetine met primary endpoints in completed Pfizer Phase 3 and Phase 2 placebo-controlled clinical trials in fibromyalgia (p&lt;0.001, and p&lt;0.001)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Pfizer to receive $11 million in Axsome stock and upfront cash, and up to $323 million in regulatory and sales milestones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8:30 AM ET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NEW YORK, Jan. 13, 2020 (GLOBE NEWSWIRE) -- Axsome Therapeutics, Inc. (NASDAQ: AXSM), a clinical-stage biopharmaceutical company developing novel therapies for the management of central nervous system (CNS) disorders, has entered into an agreement with Pfizer Inc. (NYSE: PFE)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agreement, Axsome will receive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Axsome will have the exclusive right and sole responsibility of developing AXS-14 (esreboxetine) in the U.S. for the treatment of fibromyalgia and for other indications.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Pfizer will receive shares of Axsome common stock having a value of $8 million, based on the average closing price of Axsome’s common stock for the 10 prior trading days, in consideration for the license and rights. Pfizer will also receive an upfront cash payment of $3 million, up to $323 million in regulatory and sales milestones, and tiered mid-single to low double-digit royalties on future sales. Pfizer will also have a right of first negotiation on any potential future strategic transactions involving AXS-12 and AXS-14.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Axsome recently completed and announced positive results for a Phase 2 trial of AXS-12 in the treatment of narcolepsy and is preparing to advance AXS-12 into Phase 3 trials for the treatment of narcolepsy in 2020, as previously disclosed.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very pleased to announce this agreement with Pfizer to help advance the development of AXS-12 for the treatment of narcolepsy and of AXS-14 for the treatment of fibromyalgia, two serious CNS disorders which currently have limited treatment options,” said Herriot Tabuteau, MD, Chief Executive Officer of Axsome. “The valuable clinical and nonclinical data under this exclusive license will enable us to potentially significantly accelerate our AXS-12 clinical program while reducing development risk and costs. Furthermore, through this agreement, we are able to expand our CNS pipeline with AXS-14, which has demonstrated efficacy in completed Phase 3 and Phase 2 trials in fibromyalgia. With the recently announced Phase 2 success of AXS-12 resulting in its planned advancement to Phase 3 this year, and with the addition of AXS-14, our pipeline will now contain four differentiated Phase 3-stage product candidates with the potential to positively affect many of the millions of people living with distressing CNS disorders.”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Reboxetine (AXS-12)</w:t>
      </w:r>
    </w:p>
    <w:p>
      <w:pPr>
        <w:spacing w:after="0" w:line="225" w:lineRule="exact"/>
        <w:rPr>
          <w:sz w:val="20"/>
          <w:szCs w:val="20"/>
          <w:color w:val="auto"/>
        </w:rPr>
      </w:pPr>
    </w:p>
    <w:p>
      <w:pPr>
        <w:jc w:val="both"/>
        <w:ind w:left="380" w:right="20" w:hanging="115"/>
        <w:spacing w:after="0" w:line="256"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Axsome will receive from Pfizer an exclusive U.S. license to data from a full range of nonclinical studies with reboxetine, to data from numerous short-term and long-term clinical trials of patients treated with reboxetine, and to other reboxetine intellectual property. Reboxetine is not approved in the U.S. for any indication and is marketed by Pfizer outside of the U.S. for the treatment of depression.</w:t>
      </w:r>
    </w:p>
    <w:p>
      <w:pPr>
        <w:jc w:val="both"/>
        <w:ind w:left="380" w:hanging="115"/>
        <w:spacing w:after="0" w:line="250"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Reboxetine is the active pharmaceutical ingredient in AXS-12 which is being developed for the treatment of narcolepsy. Axsome recently completed and announced positive results for a Phase 2 trial of AXS-12 in the treatment of narcolepsy, demonstrating statistically significant improvements in cataplexy, excessive daytime sleepiness, as well as cognitive function compared to placebo. Axsome is preparing to initiate Phase 3 trials of AXS-12 in the treatment of narcolepsy in 2020, as previously disclosed.</w:t>
      </w:r>
    </w:p>
    <w:p>
      <w:pPr>
        <w:spacing w:after="0" w:line="1" w:lineRule="exact"/>
        <w:rPr>
          <w:rFonts w:ascii="Arial" w:cs="Arial" w:eastAsia="Arial" w:hAnsi="Arial"/>
          <w:sz w:val="18"/>
          <w:szCs w:val="18"/>
          <w:color w:val="auto"/>
        </w:rPr>
      </w:pPr>
    </w:p>
    <w:p>
      <w:pPr>
        <w:ind w:left="380" w:hanging="115"/>
        <w:spacing w:after="0" w:line="265"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licensed nonclinical and clinical data are expected to reduce or eliminate the need for Axsome to conduct certain studies thereby mitigating risk and associated costs, and potentially significantly accelerating the clinical development and commercialization timelines of AXS-12.</w:t>
      </w:r>
    </w:p>
    <w:p>
      <w:pPr>
        <w:ind w:left="380" w:hanging="11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Axsome has Orphan Drug Designation for AXS-12 in the treatment of narcolepsy, and 2 pending U.S. patents covering AXS-12.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Esreboxetine (AXS-14)</w:t>
      </w:r>
    </w:p>
    <w:p>
      <w:pPr>
        <w:spacing w:after="0" w:line="225" w:lineRule="exact"/>
        <w:rPr>
          <w:sz w:val="20"/>
          <w:szCs w:val="20"/>
          <w:color w:val="auto"/>
        </w:rPr>
      </w:pPr>
    </w:p>
    <w:p>
      <w:pPr>
        <w:jc w:val="both"/>
        <w:ind w:left="380" w:hanging="115"/>
        <w:spacing w:after="0" w:line="256"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Axsome will receive from Pfizer an exclusive license to develop and commercialize esreboxetine, now referred to as AXS-14, in the U.S. for fibromyalgia and all other indications. The license encompasses nonclinical and clinical data for esreboxetine including results from a positive Phase 3 and a positive Phase 2 trial of esreboxetine in the treatment of fibromyalgia conducted by Pfizer.</w:t>
      </w:r>
    </w:p>
    <w:p>
      <w:pPr>
        <w:jc w:val="both"/>
        <w:ind w:left="380" w:hanging="115"/>
        <w:spacing w:after="0" w:line="273"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Esreboxetine, the SS-enantiomer of racemic reboxetine, is the more selective and potent enantiomer, which has been evaluated for the treatment of fibromyalgia. Fibromyalgia is a chronic disorder characterized by widespread pain, fatigue, disturbed sleep, depression, and cognitive impairment. The condition affects approximately 5 million Americans of whom approximately 90% are women. It is considered to be mediated mainly in the CNS. Treatment options for fibromyalgia are limited with only three pharmacologic treatments currently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861" w:gutter="0" w:footer="0" w:header="0"/>
        </w:sectPr>
      </w:pPr>
    </w:p>
    <w:bookmarkStart w:id="30" w:name="page31"/>
    <w:bookmarkEnd w:id="30"/>
    <w:p>
      <w:pPr>
        <w:jc w:val="both"/>
        <w:ind w:left="380" w:hanging="115"/>
        <w:spacing w:after="0" w:line="26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 Phase 3 trial conducted by Pfizer in 1,122 patients with fibromyalgia treated with esreboxetine or placebo for 14 weeks, the study met the two primary endpoints demonstrating statistically significant improvements compared to placebo in the weekly mean pain score (p&lt;0.001, p&lt;0.001, and p=0.025, for 4 mg, 8 mg and 10 mg daily doses, respectively), and the Fibromyalgia Impact Questionnaire (FIQ) total score (p&lt;0.001, p&lt;0.001, and p=0.023, for 4 mg, 8 mg and 10 mg doses, respectively). Esreboxetine also resulted in statistically significant improvements as compared to placebo on the Patient’s Global Impression of Change (PGI-C) scale (p=0.002, p=0.001, and p=0.007, for 4 mg, 8 mg and 10 mg doses, respectively), and in fatigue as measured using the Global Fatigue Index (p=0.001 and p=0.001, for 4 mg and 8 mg daily doses, respectively).</w:t>
      </w:r>
      <w:r>
        <w:rPr>
          <w:rFonts w:ascii="Arial" w:cs="Arial" w:eastAsia="Arial" w:hAnsi="Arial"/>
          <w:sz w:val="26"/>
          <w:szCs w:val="26"/>
          <w:color w:val="auto"/>
          <w:vertAlign w:val="superscript"/>
        </w:rPr>
        <w:t>1</w:t>
      </w:r>
    </w:p>
    <w:p>
      <w:pPr>
        <w:spacing w:after="0" w:line="2" w:lineRule="exact"/>
        <w:rPr>
          <w:rFonts w:ascii="Arial" w:cs="Arial" w:eastAsia="Arial" w:hAnsi="Arial"/>
          <w:sz w:val="16"/>
          <w:szCs w:val="16"/>
          <w:color w:val="auto"/>
        </w:rPr>
      </w:pPr>
    </w:p>
    <w:p>
      <w:pPr>
        <w:jc w:val="both"/>
        <w:ind w:left="380" w:hanging="115"/>
        <w:spacing w:after="0" w:line="239"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 Phase 2 trial conducted by Pfizer in 267 patients with fibromyalgia treated with esreboxetine (dose escalated to 8 mg/day) or placebo for 8 weeks, the study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r>
        <w:rPr>
          <w:rFonts w:ascii="Arial" w:cs="Arial" w:eastAsia="Arial" w:hAnsi="Arial"/>
          <w:sz w:val="28"/>
          <w:szCs w:val="28"/>
          <w:color w:val="auto"/>
          <w:vertAlign w:val="superscript"/>
        </w:rPr>
        <w:t>2</w:t>
      </w:r>
    </w:p>
    <w:p>
      <w:pPr>
        <w:ind w:left="380" w:hanging="115"/>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AXS-14 expands Axsome’s late-stage pipeline of product candidates for difficult-to-treat CNS disorders.</w:t>
      </w:r>
    </w:p>
    <w:p>
      <w:pPr>
        <w:spacing w:after="0" w:line="7" w:lineRule="exact"/>
        <w:rPr>
          <w:rFonts w:ascii="Arial" w:cs="Arial" w:eastAsia="Arial" w:hAnsi="Arial"/>
          <w:sz w:val="18"/>
          <w:szCs w:val="18"/>
          <w:color w:val="auto"/>
        </w:rPr>
      </w:pPr>
    </w:p>
    <w:p>
      <w:pPr>
        <w:ind w:left="380" w:hanging="115"/>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Axsome has 3 pending U.S. patents covering AXS-14.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225" w:lineRule="exact"/>
        <w:rPr>
          <w:sz w:val="20"/>
          <w:szCs w:val="20"/>
          <w:color w:val="auto"/>
        </w:rPr>
      </w:pPr>
    </w:p>
    <w:p>
      <w:pPr>
        <w:ind w:left="380" w:hanging="115"/>
        <w:spacing w:after="0" w:line="258"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Pfizer will receive shares of Axsome common stock having a value of $8 million, based on the average closing price of Axsome’s common stock for the 10 prior trading days. Pfizer will also receive an upfront cash payment of $3 million.</w:t>
      </w:r>
    </w:p>
    <w:p>
      <w:pPr>
        <w:spacing w:after="0" w:line="1" w:lineRule="exact"/>
        <w:rPr>
          <w:rFonts w:ascii="Arial" w:cs="Arial" w:eastAsia="Arial" w:hAnsi="Arial"/>
          <w:sz w:val="18"/>
          <w:szCs w:val="18"/>
          <w:color w:val="auto"/>
        </w:rPr>
      </w:pPr>
    </w:p>
    <w:p>
      <w:pPr>
        <w:ind w:left="380" w:hanging="115"/>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Pfizer will receive up to $323 million in regulatory and sales milestones, and tiered mid-single to low double-digit royalties on future sales.</w:t>
      </w:r>
    </w:p>
    <w:p>
      <w:pPr>
        <w:spacing w:after="0" w:line="9" w:lineRule="exact"/>
        <w:rPr>
          <w:rFonts w:ascii="Arial" w:cs="Arial" w:eastAsia="Arial" w:hAnsi="Arial"/>
          <w:sz w:val="18"/>
          <w:szCs w:val="18"/>
          <w:color w:val="auto"/>
        </w:rPr>
      </w:pPr>
    </w:p>
    <w:p>
      <w:pPr>
        <w:ind w:left="380" w:hanging="115"/>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Pfizer will have a right of first negotiation on any potential future strategic transactions involving AXS-12 or AXS-14.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Axsome will host a conference call and webcast with slides today at 8:30 AM Eastern to discuss the agreement with Pfizer. To participate in the live conference call, please dial (844) 698-4029 (toll-free domestic) or (647) 253-8660 (international), and use the passcode 4656867. The live webcast can be accessed on the “Webcasts &amp; Presentations” page of the “Investors” section of the Company’s website at axsome.com. A replay of the webcast will be available for approximately 30 days following the live event.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Narcolepsy can be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 Depression is reported in up to 57% of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Fibromyalgia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Fibromyalgia is a chronic disorder often characterized by widespread pain, fatigue, disturbed sleep, depression, and cognitive impairment. Other symptoms of this disorder can include tingling in the hands and feet and headaches.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AXS-12 (reboxetine) is a highly selective and potent norepinephrine reuptake inhibitor for the treatment of narcolepsy. AXS-12 modulates noradrenergic activity to promote wakefulness, maintain muscle tone and enhance cognition. AXS-12 has been granted Orphan Drug Designation by the U.S. FDA for the treatment of narcolepsy. AXS-12 is an investigational drug product not approved by the FDA.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AXS-14</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AXS-14 (esreboxetine) is a highly selective and potent norepinephrine reuptake inhibitor for the treatment of fibromyalgia and other conditions. Esreboxetine, the SS-enantiomer of reboxetine, is more potent and selective than racemic reboxetine. AXS-14 is an investigational drug product not approved by the FDA.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a Phase 3 trial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including the potential for the clinical and nonclinical data available under the Company’s exclusive license agreement with Pfizer to significantly accelerate development of AXS-12 for the treatment of narcolepsy while reducing development risk and costs, and the potential future development or commercialization of AXS-14 for the treatment of fibromyalgia and other indications; the acceptance by the market of the Company’s product candidates, if approved; the Company’s anticipated capital requirements, including the Company’s anticipated cash runway;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 Axsome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Therapeutics, Inc.</w:t>
      </w:r>
    </w:p>
    <w:p>
      <w:pPr>
        <w:spacing w:after="0" w:line="186" w:lineRule="auto"/>
        <w:rPr>
          <w:sz w:val="20"/>
          <w:szCs w:val="20"/>
          <w:color w:val="auto"/>
        </w:rPr>
      </w:pPr>
      <w:r>
        <w:rPr>
          <w:rFonts w:ascii="Arial" w:cs="Arial" w:eastAsia="Arial" w:hAnsi="Arial"/>
          <w:sz w:val="18"/>
          <w:szCs w:val="18"/>
          <w:color w:val="auto"/>
        </w:rPr>
        <w:t>200 Broadway,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New York, NY</w:t>
      </w:r>
    </w:p>
    <w:p>
      <w:pPr>
        <w:spacing w:after="0"/>
        <w:rPr>
          <w:sz w:val="20"/>
          <w:szCs w:val="20"/>
          <w:color w:val="auto"/>
        </w:rPr>
      </w:pPr>
      <w:r>
        <w:rPr>
          <w:rFonts w:ascii="Arial" w:cs="Arial" w:eastAsia="Arial" w:hAnsi="Arial"/>
          <w:sz w:val="18"/>
          <w:szCs w:val="18"/>
          <w:color w:val="auto"/>
        </w:rPr>
        <w:t>10038 Tel: 212-332-3243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www.axsome.com</w:t>
      </w:r>
    </w:p>
    <w:p>
      <w:pPr>
        <w:spacing w:after="0" w:line="137"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Arnold et al., Arthritis Rheum. 2012 Jul;64(7):2387-97</w:t>
      </w:r>
    </w:p>
    <w:p>
      <w:pPr>
        <w:spacing w:after="0" w:line="42"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Arnold et al., Clin Ther. 2010 Aug;32(9):1618-32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89165" cy="5917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34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6511925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175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5"/>
    </w:lvl>
  </w:abstractNum>
  <w:abstractNum w:abstractNumId="4">
    <w:nsid w:val="333AB105"/>
    <w:multiLevelType w:val="hybridMultilevel"/>
    <w:lvl w:ilvl="0">
      <w:lvlJc w:val="left"/>
      <w:lvlText w:val="(%1)"/>
      <w:numFmt w:val="lowerLetter"/>
      <w:start w:val="10"/>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lowerLetter"/>
      <w:start w:val="1"/>
    </w:lvl>
    <w:lvl w:ilvl="1">
      <w:lvlJc w:val="left"/>
      <w:lvlText w:val="(%2)"/>
      <w:numFmt w:val="lowerRoman"/>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4"/>
    </w:lvl>
  </w:abstractNum>
  <w:abstractNum w:abstractNumId="10">
    <w:nsid w:val="8EDBDAB"/>
    <w:multiLevelType w:val="hybridMultilevel"/>
    <w:lvl w:ilvl="0">
      <w:lvlJc w:val="left"/>
      <w:lvlText w:val="%1."/>
      <w:numFmt w:val="decimal"/>
      <w:start w:val="4"/>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4"/>
    </w:lvl>
  </w:abstractNum>
  <w:abstractNum w:abstractNumId="13">
    <w:nsid w:val="B03E0C6"/>
    <w:multiLevelType w:val="hybridMultilevel"/>
    <w:lvl w:ilvl="0">
      <w:lvlJc w:val="left"/>
      <w:lvlText w:val="(%1)"/>
      <w:numFmt w:val="lowerLetter"/>
      <w:start w:val="6"/>
    </w:lvl>
  </w:abstractNum>
  <w:abstractNum w:abstractNumId="14">
    <w:nsid w:val="189A769B"/>
    <w:multiLevelType w:val="hybridMultilevel"/>
    <w:lvl w:ilvl="0">
      <w:lvlJc w:val="left"/>
      <w:lvlText w:val="(%1)"/>
      <w:numFmt w:val="lowerLetter"/>
      <w:start w:val="8"/>
    </w:lvl>
  </w:abstractNum>
  <w:abstractNum w:abstractNumId="15">
    <w:nsid w:val="54E49EB4"/>
    <w:multiLevelType w:val="hybridMultilevel"/>
    <w:lvl w:ilvl="0">
      <w:lvlJc w:val="left"/>
      <w:lvlText w:val="(%1)"/>
      <w:numFmt w:val="lowerLetter"/>
      <w:start w:val="12"/>
    </w:lvl>
  </w:abstractNum>
  <w:abstractNum w:abstractNumId="16">
    <w:nsid w:val="71F32454"/>
    <w:multiLevelType w:val="hybridMultilevel"/>
    <w:lvl w:ilvl="0">
      <w:lvlJc w:val="left"/>
      <w:lvlText w:val="(%1)"/>
      <w:numFmt w:val="lowerLetter"/>
      <w:start w:val="17"/>
    </w:lvl>
  </w:abstractNum>
  <w:abstractNum w:abstractNumId="17">
    <w:nsid w:val="2CA88611"/>
    <w:multiLevelType w:val="hybridMultilevel"/>
    <w:lvl w:ilvl="0">
      <w:lvlJc w:val="left"/>
      <w:lvlText w:val="(%1)"/>
      <w:numFmt w:val="lowerLetter"/>
      <w:start w:val="21"/>
    </w:lvl>
  </w:abstractNum>
  <w:abstractNum w:abstractNumId="18">
    <w:nsid w:val="836C40E"/>
    <w:multiLevelType w:val="hybridMultilevel"/>
    <w:lvl w:ilvl="0">
      <w:lvlJc w:val="left"/>
      <w:lvlText w:val="(%1)"/>
      <w:numFmt w:val="lowerLetter"/>
      <w:start w:val="27"/>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decimal"/>
      <w:start w:val="6"/>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decimal"/>
      <w:start w:val="7"/>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9"/>
    </w:lvl>
  </w:abstractNum>
  <w:abstractNum w:abstractNumId="26">
    <w:nsid w:val="22221A70"/>
    <w:multiLevelType w:val="hybridMultilevel"/>
    <w:lvl w:ilvl="0">
      <w:lvlJc w:val="left"/>
      <w:lvlText w:val="%1."/>
      <w:numFmt w:val="decimal"/>
      <w:start w:val="8"/>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lowerLetter"/>
      <w:start w:val="7"/>
    </w:lvl>
  </w:abstractNum>
  <w:abstractNum w:abstractNumId="30">
    <w:nsid w:val="419AC241"/>
    <w:multiLevelType w:val="hybridMultilevel"/>
    <w:lvl w:ilvl="0">
      <w:lvlJc w:val="left"/>
      <w:lvlText w:val="(%1)"/>
      <w:numFmt w:val="lowerLetter"/>
      <w:start w:val="13"/>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2020-01-13T07:42:39Z</dcterms:created>
  <dcterms:modified xsi:type="dcterms:W3CDTF">2020-01-13T07:42:39Z</dcterms:modified>
</cp:coreProperties>
</file>