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March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20" w:type="dxa"/>
        <w:tblCellMar>
          <w:top w:w="0" w:type="dxa"/>
          <w:left w:w="0" w:type="dxa"/>
          <w:bottom w:w="0" w:type="dxa"/>
          <w:right w:w="0" w:type="dxa"/>
        </w:tblCellMar>
      </w:tblPr>
      <w:tr>
        <w:trPr>
          <w:trHeight w:val="176"/>
        </w:trPr>
        <w:tc>
          <w:tcPr>
            <w:tcW w:w="3380" w:type="dxa"/>
            <w:vAlign w:val="bottom"/>
          </w:tcPr>
          <w:p>
            <w:pPr>
              <w:jc w:val="center"/>
              <w:ind w:right="90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001-37635</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45-4241907</w:t>
            </w:r>
          </w:p>
        </w:tc>
      </w:tr>
      <w:tr>
        <w:trPr>
          <w:trHeight w:val="135"/>
        </w:trPr>
        <w:tc>
          <w:tcPr>
            <w:tcW w:w="3380" w:type="dxa"/>
            <w:vAlign w:val="bottom"/>
          </w:tcPr>
          <w:p>
            <w:pPr>
              <w:jc w:val="center"/>
              <w:ind w:right="90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80" w:type="dxa"/>
            <w:vAlign w:val="bottom"/>
          </w:tcPr>
          <w:p>
            <w:pPr>
              <w:jc w:val="center"/>
              <w:ind w:right="921"/>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80" w:type="dxa"/>
            <w:vAlign w:val="bottom"/>
          </w:tcPr>
          <w:p>
            <w:pPr>
              <w:jc w:val="center"/>
              <w:ind w:right="921"/>
              <w:spacing w:after="0" w:line="195" w:lineRule="exact"/>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10007</w:t>
            </w:r>
          </w:p>
        </w:tc>
      </w:tr>
      <w:tr>
        <w:trPr>
          <w:trHeight w:val="174"/>
        </w:trPr>
        <w:tc>
          <w:tcPr>
            <w:tcW w:w="3380" w:type="dxa"/>
            <w:vAlign w:val="bottom"/>
          </w:tcPr>
          <w:p>
            <w:pPr>
              <w:jc w:val="center"/>
              <w:ind w:right="9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right="140" w:firstLine="749"/>
        <w:spacing w:after="0" w:line="279" w:lineRule="auto"/>
        <w:rPr>
          <w:sz w:val="20"/>
          <w:szCs w:val="20"/>
          <w:color w:val="auto"/>
        </w:rPr>
      </w:pPr>
      <w:r>
        <w:rPr>
          <w:rFonts w:ascii="Arial" w:cs="Arial" w:eastAsia="Arial" w:hAnsi="Arial"/>
          <w:sz w:val="18"/>
          <w:szCs w:val="18"/>
          <w:color w:val="auto"/>
        </w:rPr>
        <w:t>On March 1, 2022, Axsome Therapeutics, Inc. (the “Company”) issued a press release announcing its financial results for the three months and fiscal year ended December 31, 2021 and provided an update on the Company’s operations. The Company is furnishing a copy of the press release, which is attached hereto as Exhibit 99.1.</w:t>
      </w:r>
    </w:p>
    <w:p>
      <w:pPr>
        <w:spacing w:after="0" w:line="156"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March 1, 2022.</w:t>
              </w:r>
            </w:hyperlink>
          </w:p>
        </w:tc>
        <w:tc>
          <w:tcPr>
            <w:tcW w:w="20" w:type="dxa"/>
            <w:vAlign w:val="bottom"/>
            <w:tcBorders>
              <w:bottom w:val="single" w:sz="8" w:color="0000EE"/>
            </w:tcBorders>
          </w:tcPr>
          <w:p>
            <w:pPr>
              <w:spacing w:after="0"/>
              <w:rPr>
                <w:sz w:val="19"/>
                <w:szCs w:val="19"/>
                <w:color w:val="auto"/>
              </w:rPr>
            </w:pPr>
          </w:p>
        </w:tc>
        <w:tc>
          <w:tcPr>
            <w:tcW w:w="7620" w:type="dxa"/>
            <w:vAlign w:val="bottom"/>
          </w:tcPr>
          <w:p>
            <w:pPr>
              <w:spacing w:after="0"/>
              <w:rPr>
                <w:sz w:val="19"/>
                <w:szCs w:val="19"/>
                <w:color w:val="auto"/>
              </w:rPr>
            </w:pPr>
          </w:p>
        </w:tc>
      </w:tr>
      <w:tr>
        <w:trPr>
          <w:trHeight w:val="224"/>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98"/>
              </w:rPr>
              <w:t>Cover Page Interactive Data File</w:t>
            </w:r>
          </w:p>
        </w:tc>
        <w:tc>
          <w:tcPr>
            <w:tcW w:w="7620" w:type="dxa"/>
            <w:vAlign w:val="bottom"/>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06"/>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49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March 1, 2022</w:t>
            </w: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600" w:type="dxa"/>
            <w:vAlign w:val="bottom"/>
          </w:tcPr>
          <w:p>
            <w:pPr>
              <w:ind w:left="1960"/>
              <w:spacing w:after="0" w:line="156"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156" w:lineRule="exact"/>
              <w:rPr>
                <w:sz w:val="20"/>
                <w:szCs w:val="20"/>
                <w:color w:val="auto"/>
              </w:rPr>
            </w:pPr>
            <w:r>
              <w:rPr>
                <w:rFonts w:ascii="Arial" w:cs="Arial" w:eastAsia="Arial" w:hAnsi="Arial"/>
                <w:sz w:val="18"/>
                <w:szCs w:val="18"/>
                <w:color w:val="auto"/>
              </w:rPr>
              <w:t>Herriot Tabuteau, M.D.</w:t>
            </w:r>
          </w:p>
        </w:tc>
      </w:tr>
      <w:tr>
        <w:trPr>
          <w:trHeight w:val="230"/>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65"/>
        </w:trPr>
        <w:tc>
          <w:tcPr>
            <w:tcW w:w="5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-107950</wp:posOffset>
            </wp:positionV>
            <wp:extent cx="1354455" cy="762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line="474" w:lineRule="auto"/>
        <w:rPr>
          <w:sz w:val="20"/>
          <w:szCs w:val="20"/>
          <w:color w:val="auto"/>
        </w:rPr>
      </w:pPr>
      <w:r>
        <w:rPr>
          <w:rFonts w:ascii="Arial" w:cs="Arial" w:eastAsia="Arial" w:hAnsi="Arial"/>
          <w:sz w:val="18"/>
          <w:szCs w:val="18"/>
          <w:b w:val="1"/>
          <w:bCs w:val="1"/>
          <w:color w:val="auto"/>
        </w:rPr>
        <w:t xml:space="preserve">Axsome Therapeutics Reports Fourth Quarter and Full Year 2021 Financial Results and Provides Business Update </w:t>
      </w:r>
      <w:r>
        <w:rPr>
          <w:rFonts w:ascii="Arial" w:cs="Arial" w:eastAsia="Arial" w:hAnsi="Arial"/>
          <w:sz w:val="18"/>
          <w:szCs w:val="18"/>
          <w:i w:val="1"/>
          <w:iCs w:val="1"/>
          <w:color w:val="auto"/>
        </w:rPr>
        <w:t>Company to host conference call today at 8:00 AM Eastern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 YORK, March 01, 2022 (GLOBE NEWSWIRE) – Axsome Therapeutics, Inc. (NASDAQ: AXSM), a biopharmaceutical company developing novel therapies for the management of central nervous system (CNS) disorders, today reported financial results for the fourth quarter and year ended December 31, 2021.</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“2021 was a year of continued progress which has put us in a position to potentially launch two new investigational medicines for patients living with depression and migraine,” said Herriot Tabuteau, MD, Chief Executive Officer of Axsome. “Specifically, FDA review of our NDA for AXS-05 in depression is progressing, and the April 30 PDUFA date for our NDA for AXS-07 in the acute treatment of migraine is approaching. In addition, we continue to advance the rest of our industry-leading late-stage CNS pipeline, with an NDA for AXS-14 in fibromyalgia, and topline results from our Phase 3 trials of AXS-12 in narcolepsy and AXS-05 in Alzheimer’s disease agitation, all anticipated in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Axsome is committed to developing medicines that meaningfully improve the lives of patients living with CNS disorders. The Company is advancing a portfolio of differentiated, patent-protected, CNS product candidates with four in active clinical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73" w:lineRule="exact"/>
        <w:rPr>
          <w:sz w:val="20"/>
          <w:szCs w:val="20"/>
          <w:color w:val="auto"/>
        </w:rPr>
      </w:pPr>
    </w:p>
    <w:p>
      <w:pPr>
        <w:jc w:val="both"/>
        <w:ind w:left="1020" w:hanging="503"/>
        <w:spacing w:after="0" w:line="24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under review by the FDA. The Company has provided a response to the FDA addressing the two, previously disclosed, deficiencies related to analytical methods in the Chemistry, Manufacturing, and Controls (CMC) section of the NDA. The FDA has acknowledged receipt of the Company’s response. At this time, Axsome has not been made aware of any other deficiencies related to the NDA by the FDA.</w:t>
      </w:r>
    </w:p>
    <w:p>
      <w:pPr>
        <w:spacing w:after="0" w:line="68"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 is conducting the ACCORD study, a Phase 3,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withdrawal trial to evaluate the efficacy and safety of AXS-05 in the treatment of Alzheimer’s disease (AD) agitation. Currently, blinded relapse events are below projections implying potentially greater than projected overall durability of effect. In light of these observations, the Company is evaluating the design of the study and will provide an update following consultation with the FDA.</w:t>
      </w:r>
    </w:p>
    <w:p>
      <w:pPr>
        <w:spacing w:after="0" w:line="68" w:lineRule="exact"/>
        <w:rPr>
          <w:rFonts w:ascii="Arial" w:cs="Arial" w:eastAsia="Arial" w:hAnsi="Arial"/>
          <w:sz w:val="18"/>
          <w:szCs w:val="18"/>
          <w:color w:val="auto"/>
        </w:rPr>
      </w:pPr>
    </w:p>
    <w:p>
      <w:pPr>
        <w:jc w:val="both"/>
        <w:ind w:left="1020" w:hanging="503"/>
        <w:spacing w:after="0" w:line="24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previously received from the FDA positive Pre-Investigational New Drug Application (Pre-IND)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written guidance on a proposed clinical developmental plan for dextromethorphan-bupropion as an aid to smoking cessation. Based on this feedback, Axsome plans to proceed to a pivotal Phase 2/3 trial in this indication. The Company intends to provide information on the timing of initiation of this study in 2022.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AXS-07</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67" w:lineRule="exact"/>
        <w:rPr>
          <w:sz w:val="20"/>
          <w:szCs w:val="20"/>
          <w:color w:val="auto"/>
        </w:rPr>
      </w:pPr>
    </w:p>
    <w:p>
      <w:pPr>
        <w:jc w:val="both"/>
        <w:ind w:left="1020" w:hanging="503"/>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Axsome’s NDA for AXS-07 for the acute treatment of migraine is currently under review by the FDA with a PDUFA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action date for the NDA of April 30, 2022. The FDA previously notified the Company that, due to COVID-19 pandemic-related travel restrictions, they may be unable to complete a required inspection of a contract manufacturing facility, located in the United States, prior to the PDUFA date. Axsome has since been informed by the FDA that it does not anticipate any issues with completing this facility inspection prior to the AXS-07 PDUFA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22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 AXS-12 has been granted FDA Orphan Drug designation for the treatment of narcolepsy</w:t>
      </w:r>
    </w:p>
    <w:p>
      <w:pPr>
        <w:spacing w:after="0" w:line="67" w:lineRule="exact"/>
        <w:rPr>
          <w:sz w:val="20"/>
          <w:szCs w:val="20"/>
          <w:color w:val="auto"/>
        </w:rPr>
      </w:pPr>
    </w:p>
    <w:p>
      <w:pPr>
        <w:jc w:val="both"/>
        <w:ind w:left="1020" w:right="20" w:hanging="503"/>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 parallel-group trial of AXS-12 in the treatment of narcolepsy. Enrollment in the trial is progressing and topline results are anticipated in the first half of 2023.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management of fibromyalgia. Esreboxetine, the SS-enantiomer of reboxetine, is more potent and selective than racemic reboxetine.</w:t>
      </w:r>
    </w:p>
    <w:p>
      <w:pPr>
        <w:spacing w:after="0" w:line="67" w:lineRule="exact"/>
        <w:rPr>
          <w:sz w:val="20"/>
          <w:szCs w:val="20"/>
          <w:color w:val="auto"/>
        </w:rPr>
      </w:pPr>
    </w:p>
    <w:p>
      <w:pPr>
        <w:jc w:val="both"/>
        <w:ind w:left="1020" w:hanging="503"/>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fibromyalgia are ongoing. The Company expects to submit the NDA in 2023. AXS-14 has previously met the primary endpoints and demonstrated positive and statistically significant results in a Phase 3 and in a Phase 2 trial for the management of fibromyalgia.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Launch-Readiness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Axsome is prepared for a commercial launch of AXS-05 for the treatment of MDD, if approved, and is finalizing preparations for a launch of</w:t>
      </w:r>
    </w:p>
    <w:p>
      <w:pPr>
        <w:spacing w:after="0"/>
        <w:rPr>
          <w:sz w:val="20"/>
          <w:szCs w:val="20"/>
          <w:color w:val="auto"/>
        </w:rPr>
      </w:pPr>
      <w:r>
        <w:rPr>
          <w:rFonts w:ascii="Arial" w:cs="Arial" w:eastAsia="Arial" w:hAnsi="Arial"/>
          <w:sz w:val="18"/>
          <w:szCs w:val="18"/>
          <w:color w:val="auto"/>
        </w:rPr>
        <w:t>AXS-07 for the acute treatment of migraine, if approved:</w:t>
      </w:r>
    </w:p>
    <w:p>
      <w:pPr>
        <w:spacing w:after="0" w:line="104" w:lineRule="exact"/>
        <w:rPr>
          <w:sz w:val="20"/>
          <w:szCs w:val="20"/>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Axsome’s first-in-class Digital Centric Commercialization™ (DCC) platform architectural design and technology implementation are complete. To ensure a smooth execution at launch, the platform has been extensively tested and is ready to go live.</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AXS-05 field force team build is essentially complete with all signed offers contingent upon approval. The AXS-07 field force team build has commenced. The Company anticipates having all field representatives for the two product candidates on-board by launch.</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access team continues to engage in permitted ongoing discussions with payers, ensuring awareness of Axsome and of the product profiles of both AXS-05 and AXS-07.</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agreements and patient support services for both AXS-05 and AXS-07 have been finalized.</w:t>
      </w:r>
    </w:p>
    <w:p>
      <w:pPr>
        <w:spacing w:after="0" w:line="103"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materials creation and tactical planning are complete and ready for finalization and execution on AXS-05, pending label approval. Corresponding preparations in anticipation of a potential approval for AXS-07 are actively ongoing.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Regulatory and Commercial:</w:t>
      </w:r>
    </w:p>
    <w:p>
      <w:pPr>
        <w:spacing w:after="0" w:line="11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AXS-05 for MDD, FDA action on NDA</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AXS-07 for migraine, FDA action on NDA (PDUFA date April 30, 2022)</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AXS-05 for MDD, commercial launch, if approved</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AXS-07 for acute migraine, commercial launch, if approved (2022)</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AXS-14 for fibromyalgia, NDA submission (2023)</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11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Phase 3 SYMPHONY trial of AXS-12 in narcolepsy, topline data (1H 2023)</w:t>
      </w:r>
    </w:p>
    <w:p>
      <w:pPr>
        <w:spacing w:after="0" w:line="10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Phase 3 ACCORD trial of AXS-05 for Alzheimer’s disease agitation, topline data (1H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2021 Financial Results</w:t>
      </w:r>
    </w:p>
    <w:p>
      <w:pPr>
        <w:spacing w:after="0" w:line="104" w:lineRule="exact"/>
        <w:rPr>
          <w:sz w:val="20"/>
          <w:szCs w:val="20"/>
          <w:color w:val="auto"/>
        </w:rPr>
      </w:pPr>
    </w:p>
    <w:p>
      <w:pPr>
        <w:jc w:val="both"/>
        <w:ind w:left="1020" w:hanging="503"/>
        <w:spacing w:after="0" w:line="24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$13.8 million for the three months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$17.4 million for the comparable period in 2020. The decrease was due to the conclusion of several clinical trials, which were ongoing in the prior comparable period. R&amp;D expenses for the year ended December 31, 2021 were $58.1 million, compared to $70.2 million for the comparable period in 2020. R&amp;D expense during the 2020 fiscal year included a one-time charge of $10.2 million for the Pfizer license agreement.</w:t>
      </w:r>
    </w:p>
    <w:p>
      <w:pPr>
        <w:spacing w:after="0" w:line="68"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$18.8 million for the three months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$10.4 million for the comparable period in 2020. The increase was primarily due to greater stock compensation expense, along with the build-out of the commercial function. G&amp;A expenses for the year ended December 31, 2021 were $66.6 million, compared to $28.9 million for the comparable period in 2020. The increase was primarily due to increased stock compensation expense, along with the build-out of the commercial function.</w:t>
      </w:r>
    </w:p>
    <w:p>
      <w:pPr>
        <w:spacing w:after="0" w:line="68" w:lineRule="exact"/>
        <w:rPr>
          <w:rFonts w:ascii="Arial" w:cs="Arial" w:eastAsia="Arial" w:hAnsi="Arial"/>
          <w:sz w:val="18"/>
          <w:szCs w:val="18"/>
          <w:color w:val="auto"/>
        </w:rPr>
      </w:pPr>
    </w:p>
    <w:p>
      <w:pPr>
        <w:jc w:val="both"/>
        <w:ind w:left="1020" w:hanging="503"/>
        <w:spacing w:after="0" w:line="244"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$34.0 million, or $(0.90) per share, for the three months ended December 31, 2021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$29.2 million, or $(0.78) per share, for the comparable period in 2020. Net loss for year ended December 31, 2021 was $130.4 million, or $(3.47) per share, of which $20.8 million were non-cash charges for stock compensation expense. Net loss for the year ended December 31, 2020 was $102.9 million, or $(2.77) per share, of which $22.3 million were non-cash charges which included stock compensation expense and the Pfizer license transaction.</w:t>
      </w:r>
    </w:p>
    <w:p>
      <w:pPr>
        <w:spacing w:after="0" w:line="68" w:lineRule="exact"/>
        <w:rPr>
          <w:rFonts w:ascii="Arial" w:cs="Arial" w:eastAsia="Arial" w:hAnsi="Arial"/>
          <w:sz w:val="18"/>
          <w:szCs w:val="18"/>
          <w:color w:val="auto"/>
        </w:rPr>
      </w:pPr>
    </w:p>
    <w:p>
      <w:pPr>
        <w:jc w:val="both"/>
        <w:ind w:left="1020" w:right="20" w:hanging="503"/>
        <w:spacing w:after="0" w:line="25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December 31, 2021, Axsome had $86.5 million of cash compared to $183.9 million at December 31, 2020.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2022, the Company accessed its at-the-market (ATM) equity facility for $20 million in gross proceeds, resulting in a proforma year-end 2021 cash balance of $105.9 million.</w:t>
      </w:r>
    </w:p>
    <w:p>
      <w:pPr>
        <w:spacing w:after="0" w:line="60"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December 31, 2021, Axsome had 37,816,794 shares of common stock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26" w:lineRule="exact"/>
        <w:rPr>
          <w:sz w:val="20"/>
          <w:szCs w:val="20"/>
          <w:color w:val="auto"/>
        </w:rPr>
      </w:pPr>
    </w:p>
    <w:p>
      <w:pPr>
        <w:jc w:val="both"/>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Axsome believes that its current cash, along with the remaining committed capital from the $300 million term loan facility, is sufficient to fund anticipated operations, based on the current operating plan, which includes costs for the potential commercial launch of AXS-05 in MDD and AXS-07 in migraine, into 2024.</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Axsome expects that its operating expenses will increase year over year as it continues to build out the commercial function and further advance its pipeline.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will host a conference call and webcast today at 8:00 AM Eastern to discuss fourth quarter and full year 2021 financial results as well as to provide a corporate update. To participate in the live conference call, please dial (844) 200-6205 (toll-free domestic) or (929) 526-1599 (international) and use the conference ID 147872. The live webcast can be accessed on the "Webcasts &amp; Presentations" page of the "Investors" section of the Company’s website at axsome.com. A replay of the webcast will be available for approximately 30 days following the live event.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r>
              <w:rPr>
                <w:rFonts w:ascii="Arial" w:cs="Arial" w:eastAsia="Arial" w:hAnsi="Arial"/>
                <w:sz w:val="18"/>
                <w:szCs w:val="18"/>
                <w:b w:val="1"/>
                <w:bCs w:val="1"/>
                <w:color w:val="auto"/>
              </w:rPr>
              <w:t>Statements of Operations Information:</w:t>
            </w:r>
          </w:p>
        </w:tc>
        <w:tc>
          <w:tcPr>
            <w:tcW w:w="220" w:type="dxa"/>
            <w:vAlign w:val="bottom"/>
          </w:tcPr>
          <w:p>
            <w:pPr>
              <w:spacing w:after="0"/>
              <w:rPr>
                <w:sz w:val="20"/>
                <w:szCs w:val="20"/>
                <w:color w:val="auto"/>
              </w:rPr>
            </w:pPr>
          </w:p>
        </w:tc>
        <w:tc>
          <w:tcPr>
            <w:tcW w:w="2660" w:type="dxa"/>
            <w:vAlign w:val="bottom"/>
            <w:gridSpan w:val="6"/>
            <w:vMerge w:val="restart"/>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00" w:type="dxa"/>
            <w:vAlign w:val="bottom"/>
            <w:gridSpan w:val="7"/>
            <w:vMerge w:val="restart"/>
          </w:tcPr>
          <w:p>
            <w:pPr>
              <w:jc w:val="right"/>
              <w:ind w:right="61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6"/>
          </w:tcPr>
          <w:p>
            <w:pPr>
              <w:jc w:val="right"/>
              <w:ind w:right="93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9"/>
                <w:szCs w:val="19"/>
                <w:color w:val="auto"/>
              </w:rPr>
            </w:pPr>
          </w:p>
        </w:tc>
        <w:tc>
          <w:tcPr>
            <w:tcW w:w="2800" w:type="dxa"/>
            <w:vAlign w:val="bottom"/>
            <w:gridSpan w:val="7"/>
          </w:tcPr>
          <w:p>
            <w:pPr>
              <w:jc w:val="right"/>
              <w:ind w:right="9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13,781,453</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17,384,729</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58,060,725</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70,244,579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18,826,588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10,359,507</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66,646,205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28,896,749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32,608,041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27,744,236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124,706,930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99,141,328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(32,608,041</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(27,744,236</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(124,706,930</w:t>
            </w:r>
          </w:p>
        </w:tc>
        <w:tc>
          <w:tcPr>
            <w:tcW w:w="220" w:type="dxa"/>
            <w:vAlign w:val="bottom"/>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(99,141,328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Interest and amortization of debt discount (expense)</w:t>
            </w:r>
          </w:p>
        </w:tc>
        <w:tc>
          <w:tcPr>
            <w:tcW w:w="220" w:type="dxa"/>
            <w:vAlign w:val="bottom"/>
          </w:tcPr>
          <w:p>
            <w:pPr>
              <w:spacing w:after="0"/>
              <w:rPr>
                <w:sz w:val="17"/>
                <w:szCs w:val="17"/>
                <w:color w:val="auto"/>
              </w:rPr>
            </w:pPr>
          </w:p>
        </w:tc>
        <w:tc>
          <w:tcPr>
            <w:tcW w:w="12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(1,368,095 )</w:t>
            </w:r>
          </w:p>
        </w:tc>
        <w:tc>
          <w:tcPr>
            <w:tcW w:w="220" w:type="dxa"/>
            <w:vAlign w:val="bottom"/>
          </w:tcPr>
          <w:p>
            <w:pPr>
              <w:spacing w:after="0"/>
              <w:rPr>
                <w:sz w:val="17"/>
                <w:szCs w:val="17"/>
                <w:color w:val="auto"/>
              </w:rPr>
            </w:pPr>
          </w:p>
        </w:tc>
        <w:tc>
          <w:tcPr>
            <w:tcW w:w="12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(1,473,989 )</w:t>
            </w:r>
          </w:p>
        </w:tc>
        <w:tc>
          <w:tcPr>
            <w:tcW w:w="160" w:type="dxa"/>
            <w:vAlign w:val="bottom"/>
          </w:tcPr>
          <w:p>
            <w:pPr>
              <w:spacing w:after="0"/>
              <w:rPr>
                <w:sz w:val="17"/>
                <w:szCs w:val="17"/>
                <w:color w:val="auto"/>
              </w:rPr>
            </w:pPr>
          </w:p>
        </w:tc>
        <w:tc>
          <w:tcPr>
            <w:tcW w:w="1380" w:type="dxa"/>
            <w:vAlign w:val="bottom"/>
            <w:gridSpan w:val="4"/>
          </w:tcPr>
          <w:p>
            <w:pPr>
              <w:jc w:val="right"/>
              <w:ind w:right="57"/>
              <w:spacing w:after="0" w:line="202" w:lineRule="exact"/>
              <w:rPr>
                <w:sz w:val="20"/>
                <w:szCs w:val="20"/>
                <w:color w:val="auto"/>
              </w:rPr>
            </w:pPr>
            <w:r>
              <w:rPr>
                <w:rFonts w:ascii="Arial" w:cs="Arial" w:eastAsia="Arial" w:hAnsi="Arial"/>
                <w:sz w:val="18"/>
                <w:szCs w:val="18"/>
                <w:color w:val="auto"/>
              </w:rPr>
              <w:t>(5,696,062 )</w:t>
            </w:r>
          </w:p>
        </w:tc>
        <w:tc>
          <w:tcPr>
            <w:tcW w:w="2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(2,565,838 )</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 Credit</w:t>
            </w:r>
          </w:p>
        </w:tc>
        <w:tc>
          <w:tcPr>
            <w:tcW w:w="2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53,578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7"/>
                <w:szCs w:val="17"/>
                <w:color w:val="auto"/>
              </w:rPr>
            </w:pP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(1,247,012 )</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(33,976,136</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(29,164,647</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(130,402,992</w:t>
            </w:r>
          </w:p>
        </w:tc>
        <w:tc>
          <w:tcPr>
            <w:tcW w:w="220" w:type="dxa"/>
            <w:vAlign w:val="bottom"/>
            <w:tcBorders>
              <w:bottom w:val="single" w:sz="8" w:color="CFF0FC"/>
            </w:tcBorders>
            <w:shd w:val="clear" w:color="auto" w:fill="CFF0FC"/>
          </w:tcPr>
          <w:p>
            <w:pPr>
              <w:jc w:val="right"/>
              <w:ind w:right="57"/>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(102,900,600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 basic and diluted</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
              <w:spacing w:after="0" w:line="183" w:lineRule="exact"/>
              <w:rPr>
                <w:sz w:val="20"/>
                <w:szCs w:val="20"/>
                <w:color w:val="auto"/>
              </w:rPr>
            </w:pPr>
            <w:r>
              <w:rPr>
                <w:rFonts w:ascii="Arial" w:cs="Arial" w:eastAsia="Arial" w:hAnsi="Arial"/>
                <w:sz w:val="18"/>
                <w:szCs w:val="18"/>
                <w:color w:val="auto"/>
              </w:rPr>
              <w:t>(0.90 )</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50"/>
              <w:spacing w:after="0" w:line="183" w:lineRule="exact"/>
              <w:rPr>
                <w:sz w:val="20"/>
                <w:szCs w:val="20"/>
                <w:color w:val="auto"/>
              </w:rPr>
            </w:pPr>
            <w:r>
              <w:rPr>
                <w:rFonts w:ascii="Arial" w:cs="Arial" w:eastAsia="Arial" w:hAnsi="Arial"/>
                <w:sz w:val="18"/>
                <w:szCs w:val="18"/>
                <w:color w:val="auto"/>
              </w:rPr>
              <w:t>(0.78 )</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380" w:type="dxa"/>
            <w:vAlign w:val="bottom"/>
            <w:gridSpan w:val="4"/>
          </w:tcPr>
          <w:p>
            <w:pPr>
              <w:jc w:val="right"/>
              <w:ind w:right="57"/>
              <w:spacing w:after="0" w:line="183" w:lineRule="exact"/>
              <w:rPr>
                <w:sz w:val="20"/>
                <w:szCs w:val="20"/>
                <w:color w:val="auto"/>
              </w:rPr>
            </w:pPr>
            <w:r>
              <w:rPr>
                <w:rFonts w:ascii="Arial" w:cs="Arial" w:eastAsia="Arial" w:hAnsi="Arial"/>
                <w:sz w:val="18"/>
                <w:szCs w:val="18"/>
                <w:color w:val="auto"/>
              </w:rPr>
              <w:t>(3.47 )</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 average common shares outstanding, basic and</w:t>
            </w: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37,764,545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37,351,117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37,618,599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37,206,928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gridSpan w:val="3"/>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 Sheet Information:</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6"/>
            <w:vMerge w:val="restart"/>
          </w:tcPr>
          <w:p>
            <w:pPr>
              <w:jc w:val="right"/>
              <w:ind w:right="360"/>
              <w:spacing w:after="0"/>
              <w:rPr>
                <w:sz w:val="20"/>
                <w:szCs w:val="20"/>
                <w:color w:val="auto"/>
              </w:rPr>
            </w:pPr>
            <w:r>
              <w:rPr>
                <w:rFonts w:ascii="Arial" w:cs="Arial" w:eastAsia="Arial" w:hAnsi="Arial"/>
                <w:sz w:val="18"/>
                <w:szCs w:val="18"/>
                <w:b w:val="1"/>
                <w:bCs w:val="1"/>
                <w:color w:val="auto"/>
                <w:w w:val="92"/>
              </w:rPr>
              <w:t>December 31, 2021</w:t>
            </w:r>
          </w:p>
        </w:tc>
        <w:tc>
          <w:tcPr>
            <w:tcW w:w="164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80" w:type="dxa"/>
            <w:vAlign w:val="bottom"/>
            <w:gridSpan w:val="6"/>
            <w:vMerge w:val="continue"/>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86,472,854</w:t>
            </w:r>
          </w:p>
        </w:tc>
        <w:tc>
          <w:tcPr>
            <w:tcW w:w="2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183,876,453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3"/>
              </w:rPr>
              <w:t>87,785,058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186,134,323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Loan payable, current and long-term</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49,089,522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48,321,848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w w:val="92"/>
              </w:rPr>
              <w:t>(409,199,085 )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(278,796,093 )</w:t>
            </w:r>
          </w:p>
        </w:tc>
        <w:tc>
          <w:tcPr>
            <w:tcW w:w="0" w:type="dxa"/>
            <w:vAlign w:val="bottom"/>
          </w:tcPr>
          <w:p>
            <w:pPr>
              <w:spacing w:after="0"/>
              <w:rPr>
                <w:sz w:val="1"/>
                <w:szCs w:val="1"/>
                <w:color w:val="auto"/>
              </w:rPr>
            </w:pPr>
          </w:p>
        </w:tc>
      </w:tr>
      <w:tr>
        <w:trPr>
          <w:trHeight w:val="203"/>
        </w:trPr>
        <w:tc>
          <w:tcPr>
            <w:tcW w:w="5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15,630,352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113,792,909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-2362200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-2362200</wp:posOffset>
            </wp:positionV>
            <wp:extent cx="6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-2362200</wp:posOffset>
            </wp:positionV>
            <wp:extent cx="603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-2362200</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-1567815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-1550670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-1550670</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-1567815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-1550670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-1567815</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-1550670</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-1173480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-1156335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-1173480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-1156335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-1173480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-1156335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-1173480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-1156335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4"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2022-03-01T11:50:29Z</dcterms:created>
  <dcterms:modified xsi:type="dcterms:W3CDTF">2022-03-01T11:50:29Z</dcterms:modified>
</cp:coreProperties>
</file>