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149225</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163830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December 07,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195580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Axsome Therapeutics,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065" w:type="dxa"/>
        <w:tblCellMar>
          <w:top w:w="0" w:type="dxa"/>
          <w:left w:w="0" w:type="dxa"/>
          <w:bottom w:w="0" w:type="dxa"/>
          <w:right w:w="0" w:type="dxa"/>
        </w:tblCellMar>
      </w:tblPr>
      <w:tr>
        <w:trPr>
          <w:trHeight w:val="207"/>
        </w:trPr>
        <w:tc>
          <w:tcPr>
            <w:tcW w:w="3180" w:type="dxa"/>
            <w:vAlign w:val="bottom"/>
          </w:tcPr>
          <w:p>
            <w:pPr>
              <w:jc w:val="center"/>
              <w:ind w:right="63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1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001-37635</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45-4241907</w:t>
            </w:r>
          </w:p>
        </w:tc>
      </w:tr>
      <w:tr>
        <w:trPr>
          <w:trHeight w:val="130"/>
        </w:trPr>
        <w:tc>
          <w:tcPr>
            <w:tcW w:w="3180" w:type="dxa"/>
            <w:vAlign w:val="bottom"/>
          </w:tcPr>
          <w:p>
            <w:pPr>
              <w:jc w:val="center"/>
              <w:ind w:right="63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160" w:type="dxa"/>
            <w:vAlign w:val="bottom"/>
          </w:tcPr>
          <w:p>
            <w:pPr>
              <w:jc w:val="center"/>
              <w:ind w:right="3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3180" w:type="dxa"/>
            <w:vAlign w:val="bottom"/>
          </w:tcPr>
          <w:p>
            <w:pPr>
              <w:jc w:val="center"/>
              <w:ind w:right="63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1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83"/>
        </w:trPr>
        <w:tc>
          <w:tcPr>
            <w:tcW w:w="3180" w:type="dxa"/>
            <w:vAlign w:val="bottom"/>
          </w:tcPr>
          <w:p>
            <w:pPr>
              <w:jc w:val="center"/>
              <w:ind w:right="611"/>
              <w:spacing w:after="0"/>
              <w:rPr>
                <w:sz w:val="20"/>
                <w:szCs w:val="20"/>
                <w:color w:val="auto"/>
              </w:rPr>
            </w:pPr>
            <w:r>
              <w:rPr>
                <w:rFonts w:ascii="Times New Roman" w:cs="Times New Roman" w:eastAsia="Times New Roman" w:hAnsi="Times New Roman"/>
                <w:sz w:val="16"/>
                <w:szCs w:val="16"/>
                <w:b w:val="1"/>
                <w:bCs w:val="1"/>
                <w:color w:val="auto"/>
                <w:w w:val="97"/>
              </w:rPr>
              <w:t>One World Trade Center, 22nd Floor</w:t>
            </w:r>
          </w:p>
        </w:tc>
        <w:tc>
          <w:tcPr>
            <w:tcW w:w="31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7"/>
        </w:trPr>
        <w:tc>
          <w:tcPr>
            <w:tcW w:w="3180" w:type="dxa"/>
            <w:vAlign w:val="bottom"/>
          </w:tcPr>
          <w:p>
            <w:pPr>
              <w:jc w:val="center"/>
              <w:ind w:right="611"/>
              <w:spacing w:after="0"/>
              <w:rPr>
                <w:sz w:val="20"/>
                <w:szCs w:val="20"/>
                <w:color w:val="auto"/>
              </w:rPr>
            </w:pPr>
            <w:r>
              <w:rPr>
                <w:rFonts w:ascii="Times New Roman" w:cs="Times New Roman" w:eastAsia="Times New Roman" w:hAnsi="Times New Roman"/>
                <w:sz w:val="16"/>
                <w:szCs w:val="16"/>
                <w:b w:val="1"/>
                <w:bCs w:val="1"/>
                <w:color w:val="auto"/>
                <w:w w:val="96"/>
              </w:rPr>
              <w:t>New York, New York</w:t>
            </w:r>
          </w:p>
        </w:tc>
        <w:tc>
          <w:tcPr>
            <w:tcW w:w="3160" w:type="dxa"/>
            <w:vAlign w:val="bottom"/>
          </w:tcPr>
          <w:p>
            <w:pPr>
              <w:spacing w:after="0"/>
              <w:rPr>
                <w:sz w:val="17"/>
                <w:szCs w:val="17"/>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10007</w:t>
            </w:r>
          </w:p>
        </w:tc>
      </w:tr>
      <w:tr>
        <w:trPr>
          <w:trHeight w:val="155"/>
        </w:trPr>
        <w:tc>
          <w:tcPr>
            <w:tcW w:w="3180" w:type="dxa"/>
            <w:vAlign w:val="bottom"/>
          </w:tcPr>
          <w:p>
            <w:pPr>
              <w:jc w:val="center"/>
              <w:ind w:right="61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1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71"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(212) 332-3241</w:t>
      </w:r>
    </w:p>
    <w:p>
      <w:pPr>
        <w:spacing w:after="0" w:line="200" w:lineRule="exact"/>
        <w:rPr>
          <w:sz w:val="24"/>
          <w:szCs w:val="24"/>
          <w:color w:val="auto"/>
        </w:rPr>
      </w:pPr>
    </w:p>
    <w:p>
      <w:pPr>
        <w:spacing w:after="0" w:line="35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7"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47" w:lineRule="exact"/>
        <w:rPr>
          <w:sz w:val="24"/>
          <w:szCs w:val="24"/>
          <w:color w:val="auto"/>
        </w:rPr>
      </w:pPr>
    </w:p>
    <w:tbl>
      <w:tblPr>
        <w:tblLayout w:type="fixed"/>
        <w:tblInd w:w="5"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Trading</w:t>
            </w:r>
          </w:p>
        </w:tc>
        <w:tc>
          <w:tcPr>
            <w:tcW w:w="120" w:type="dxa"/>
            <w:vAlign w:val="bottom"/>
          </w:tcPr>
          <w:p>
            <w:pPr>
              <w:spacing w:after="0"/>
              <w:rPr>
                <w:sz w:val="16"/>
                <w:szCs w:val="16"/>
                <w:color w:val="auto"/>
              </w:rPr>
            </w:pPr>
          </w:p>
        </w:tc>
        <w:tc>
          <w:tcPr>
            <w:tcW w:w="5060" w:type="dxa"/>
            <w:vAlign w:val="bottom"/>
          </w:tcPr>
          <w:p>
            <w:pPr>
              <w:spacing w:after="0"/>
              <w:rPr>
                <w:sz w:val="16"/>
                <w:szCs w:val="16"/>
                <w:color w:val="auto"/>
              </w:rPr>
            </w:pPr>
          </w:p>
        </w:tc>
      </w:tr>
      <w:tr>
        <w:trPr>
          <w:trHeight w:val="21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206"/>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Common Stock, Par Value $0.0001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AXSM</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 Global Market</w:t>
            </w:r>
          </w:p>
        </w:tc>
      </w:tr>
    </w:tbl>
    <w:p>
      <w:pPr>
        <w:spacing w:after="0" w:line="167"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2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175260</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511"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291" w:lineRule="exact"/>
        <w:rPr>
          <w:sz w:val="20"/>
          <w:szCs w:val="20"/>
          <w:color w:val="auto"/>
        </w:rPr>
      </w:pPr>
    </w:p>
    <w:p>
      <w:pPr>
        <w:ind w:right="80" w:firstLine="751"/>
        <w:spacing w:after="0" w:line="261" w:lineRule="auto"/>
        <w:rPr>
          <w:sz w:val="20"/>
          <w:szCs w:val="20"/>
          <w:color w:val="auto"/>
        </w:rPr>
      </w:pPr>
      <w:r>
        <w:rPr>
          <w:rFonts w:ascii="Times New Roman" w:cs="Times New Roman" w:eastAsia="Times New Roman" w:hAnsi="Times New Roman"/>
          <w:sz w:val="16"/>
          <w:szCs w:val="16"/>
          <w:color w:val="auto"/>
        </w:rPr>
        <w:t>On December 7, 2023, Axsome Therapeutics, Inc. (the “Company”) held its “Solriamfetol Investor Day Event.” A copy of the press release dated December 7, 2023 announcing this event is filed as Exhibit 99.1 hereto and a copy of the materials used in connection with this event are filed as Exhibit 99.2 hereto, and both are incorporated by reference herein.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80" w:type="dxa"/>
            <w:vAlign w:val="bottom"/>
          </w:tcPr>
          <w:p>
            <w:pPr>
              <w:spacing w:after="0"/>
              <w:rPr>
                <w:sz w:val="17"/>
                <w:szCs w:val="17"/>
                <w:color w:val="auto"/>
              </w:rPr>
            </w:pPr>
          </w:p>
        </w:tc>
        <w:tc>
          <w:tcPr>
            <w:tcW w:w="105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(d) Exhibits</w:t>
            </w:r>
          </w:p>
        </w:tc>
      </w:tr>
      <w:tr>
        <w:trPr>
          <w:trHeight w:val="461"/>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4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754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217"/>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99.1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Press Release dated December 7, 2023.</w:t>
            </w:r>
          </w:p>
        </w:tc>
      </w:tr>
      <w:tr>
        <w:trPr>
          <w:trHeight w:val="20"/>
        </w:trPr>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r>
        <w:trPr>
          <w:trHeight w:val="193"/>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99.2</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Corporate Presentation.</w:t>
            </w:r>
          </w:p>
        </w:tc>
      </w:tr>
      <w:tr>
        <w:trPr>
          <w:trHeight w:val="20"/>
        </w:trPr>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00" w:type="dxa"/>
            <w:vAlign w:val="bottom"/>
            <w:tcBorders>
              <w:right w:val="single" w:sz="8" w:color="0000EE"/>
            </w:tcBorders>
            <w:shd w:val="clear" w:color="auto" w:fill="0000FF"/>
          </w:tcPr>
          <w:p>
            <w:pPr>
              <w:spacing w:after="0" w:line="20" w:lineRule="exact"/>
              <w:rPr>
                <w:sz w:val="1"/>
                <w:szCs w:val="1"/>
                <w:color w:val="auto"/>
              </w:rPr>
            </w:pPr>
          </w:p>
        </w:tc>
        <w:tc>
          <w:tcPr>
            <w:tcW w:w="8500" w:type="dxa"/>
            <w:vAlign w:val="bottom"/>
            <w:gridSpan w:val="2"/>
          </w:tcPr>
          <w:p>
            <w:pPr>
              <w:spacing w:after="0" w:line="20" w:lineRule="exact"/>
              <w:rPr>
                <w:sz w:val="1"/>
                <w:szCs w:val="1"/>
                <w:color w:val="auto"/>
              </w:rPr>
            </w:pPr>
          </w:p>
        </w:tc>
      </w:tr>
      <w:tr>
        <w:trPr>
          <w:trHeight w:val="229"/>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299"/>
        </w:trPr>
        <w:tc>
          <w:tcPr>
            <w:tcW w:w="6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405"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ind w:right="54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7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Axsome Therapeutics, Inc.</w:t>
            </w:r>
          </w:p>
        </w:tc>
      </w:tr>
      <w:tr>
        <w:trPr>
          <w:trHeight w:val="535"/>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Date:   December 7, 2023</w:t>
            </w:r>
          </w:p>
        </w:tc>
        <w:tc>
          <w:tcPr>
            <w:tcW w:w="2720" w:type="dxa"/>
            <w:vAlign w:val="bottom"/>
          </w:tcPr>
          <w:p>
            <w:pPr>
              <w:ind w:left="1940"/>
              <w:spacing w:after="0"/>
              <w:rPr>
                <w:sz w:val="20"/>
                <w:szCs w:val="20"/>
                <w:color w:val="auto"/>
              </w:rPr>
            </w:pPr>
            <w:r>
              <w:rPr>
                <w:rFonts w:ascii="Times New Roman" w:cs="Times New Roman" w:eastAsia="Times New Roman" w:hAnsi="Times New Roman"/>
                <w:sz w:val="16"/>
                <w:szCs w:val="16"/>
                <w:color w:val="auto"/>
              </w:rPr>
              <w:t>By:</w:t>
            </w:r>
          </w:p>
        </w:tc>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Herriot Tabuteau, M.D.</w:t>
            </w:r>
          </w:p>
        </w:tc>
      </w:tr>
      <w:tr>
        <w:trPr>
          <w:trHeight w:val="173"/>
        </w:trPr>
        <w:tc>
          <w:tcPr>
            <w:tcW w:w="3700" w:type="dxa"/>
            <w:vAlign w:val="bottom"/>
          </w:tcPr>
          <w:p>
            <w:pPr>
              <w:spacing w:after="0"/>
              <w:rPr>
                <w:sz w:val="15"/>
                <w:szCs w:val="15"/>
                <w:color w:val="auto"/>
              </w:rPr>
            </w:pPr>
          </w:p>
        </w:tc>
        <w:tc>
          <w:tcPr>
            <w:tcW w:w="2720" w:type="dxa"/>
            <w:vAlign w:val="bottom"/>
          </w:tcPr>
          <w:p>
            <w:pPr>
              <w:ind w:left="1940"/>
              <w:spacing w:after="0" w:line="173" w:lineRule="exact"/>
              <w:rPr>
                <w:sz w:val="20"/>
                <w:szCs w:val="20"/>
                <w:color w:val="auto"/>
              </w:rPr>
            </w:pPr>
            <w:r>
              <w:rPr>
                <w:rFonts w:ascii="Times New Roman" w:cs="Times New Roman" w:eastAsia="Times New Roman" w:hAnsi="Times New Roman"/>
                <w:sz w:val="16"/>
                <w:szCs w:val="16"/>
                <w:color w:val="auto"/>
              </w:rPr>
              <w:t>Name:</w:t>
            </w:r>
          </w:p>
        </w:tc>
        <w:tc>
          <w:tcPr>
            <w:tcW w:w="484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Herriot Tabuteau, M.D.</w:t>
            </w:r>
          </w:p>
        </w:tc>
      </w:tr>
      <w:tr>
        <w:trPr>
          <w:trHeight w:val="218"/>
        </w:trPr>
        <w:tc>
          <w:tcPr>
            <w:tcW w:w="3700" w:type="dxa"/>
            <w:vAlign w:val="bottom"/>
          </w:tcPr>
          <w:p>
            <w:pPr>
              <w:spacing w:after="0"/>
              <w:rPr>
                <w:sz w:val="18"/>
                <w:szCs w:val="18"/>
                <w:color w:val="auto"/>
              </w:rPr>
            </w:pPr>
          </w:p>
        </w:tc>
        <w:tc>
          <w:tcPr>
            <w:tcW w:w="2720" w:type="dxa"/>
            <w:vAlign w:val="bottom"/>
          </w:tcPr>
          <w:p>
            <w:pPr>
              <w:ind w:left="1940"/>
              <w:spacing w:after="0"/>
              <w:rPr>
                <w:sz w:val="20"/>
                <w:szCs w:val="20"/>
                <w:color w:val="auto"/>
              </w:rPr>
            </w:pPr>
            <w:r>
              <w:rPr>
                <w:rFonts w:ascii="Times New Roman" w:cs="Times New Roman" w:eastAsia="Times New Roman" w:hAnsi="Times New Roman"/>
                <w:sz w:val="16"/>
                <w:szCs w:val="16"/>
                <w:color w:val="auto"/>
              </w:rPr>
              <w:t>Title:</w:t>
            </w:r>
          </w:p>
        </w:tc>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441"/>
        </w:trPr>
        <w:tc>
          <w:tcPr>
            <w:tcW w:w="37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1111250" cy="6235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111250" cy="623570"/>
                    </a:xfrm>
                    <a:prstGeom prst="rect">
                      <a:avLst/>
                    </a:prstGeom>
                    <a:noFill/>
                  </pic:spPr>
                </pic:pic>
              </a:graphicData>
            </a:graphic>
          </wp:anchor>
        </w:drawing>
        <w:t>Axsome Therapeutics Hosts Solriamfetol Virtual Investor Event with Expert Thought Leaders Today</w:t>
      </w:r>
    </w:p>
    <w:p>
      <w:pPr>
        <w:spacing w:after="0" w:line="185"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NEW YORK, Dec. 7, 2023 (Globe Newswire) – Axsome Therapeutics, Inc. (NASDAQ: AXSM), a biopharmaceutical company developing and delivering novel therapies for the management of central nervous system (CNS) disorders, is hosting a virtual investor event and conference call today from 8 a.m. – 10 a.m. Eastern Time to provide an update on solriamfetol, a dual-acting dopamine and norepinephrine reuptake inhibitor (DNRI) and trace amine-associated receptor 1 (TAAR1) agonist.</w:t>
      </w:r>
    </w:p>
    <w:p>
      <w:pPr>
        <w:spacing w:after="0" w:line="12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At the event, invited physician thought leaders will discuss current and potential future indications. The Axsome senior leadership team will provide an overview of clinical development plans. The presenters will be available to answer questions at the end of the presentations. To access the event, please click here.</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Expert thought leaders presenting at the event include:</w:t>
      </w:r>
    </w:p>
    <w:p>
      <w:pPr>
        <w:spacing w:after="0" w:line="145" w:lineRule="exact"/>
        <w:rPr>
          <w:sz w:val="20"/>
          <w:szCs w:val="20"/>
          <w:color w:val="auto"/>
        </w:rPr>
      </w:pPr>
    </w:p>
    <w:p>
      <w:pPr>
        <w:ind w:left="740" w:hanging="370"/>
        <w:spacing w:after="0" w:line="262" w:lineRule="auto"/>
        <w:tabs>
          <w:tab w:leader="none" w:pos="740"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Craig Chepke, MD</w:t>
      </w:r>
      <w:r>
        <w:rPr>
          <w:rFonts w:ascii="Arial" w:cs="Arial" w:eastAsia="Arial" w:hAnsi="Arial"/>
          <w:sz w:val="16"/>
          <w:szCs w:val="16"/>
          <w:color w:val="auto"/>
        </w:rPr>
        <w:t>, Medical Director of Excel Psychiatric Associates in Huntersville, N.C. and Adjunct Associate Professor of Psychiatry for Atrium</w:t>
      </w:r>
      <w:r>
        <w:rPr>
          <w:rFonts w:ascii="Arial" w:cs="Arial" w:eastAsia="Arial" w:hAnsi="Arial"/>
          <w:sz w:val="16"/>
          <w:szCs w:val="16"/>
          <w:b w:val="1"/>
          <w:bCs w:val="1"/>
          <w:color w:val="auto"/>
        </w:rPr>
        <w:t xml:space="preserve"> </w:t>
      </w:r>
      <w:r>
        <w:rPr>
          <w:rFonts w:ascii="Arial" w:cs="Arial" w:eastAsia="Arial" w:hAnsi="Arial"/>
          <w:sz w:val="16"/>
          <w:szCs w:val="16"/>
          <w:color w:val="auto"/>
        </w:rPr>
        <w:t>Health. Dr. Chepke will provide an overview of TAAR1 signaling and major depressive disorder (MDD).</w:t>
      </w:r>
    </w:p>
    <w:p>
      <w:pPr>
        <w:spacing w:after="0" w:line="46" w:lineRule="exact"/>
        <w:rPr>
          <w:rFonts w:ascii="Times New Roman" w:cs="Times New Roman" w:eastAsia="Times New Roman" w:hAnsi="Times New Roman"/>
          <w:sz w:val="16"/>
          <w:szCs w:val="16"/>
          <w:color w:val="auto"/>
        </w:rPr>
      </w:pPr>
    </w:p>
    <w:p>
      <w:pPr>
        <w:ind w:left="740" w:right="20" w:hanging="370"/>
        <w:spacing w:after="0" w:line="262" w:lineRule="auto"/>
        <w:tabs>
          <w:tab w:leader="none" w:pos="740"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Andrew Cutler, MD, </w:t>
      </w:r>
      <w:r>
        <w:rPr>
          <w:rFonts w:ascii="Arial" w:cs="Arial" w:eastAsia="Arial" w:hAnsi="Arial"/>
          <w:sz w:val="16"/>
          <w:szCs w:val="16"/>
          <w:color w:val="auto"/>
        </w:rPr>
        <w:t>Clinical Associate Professor of Psychiatry SUNY Upstate Medical University. Dr. Cutler will provide an overview of attention</w:t>
      </w:r>
      <w:r>
        <w:rPr>
          <w:rFonts w:ascii="Arial" w:cs="Arial" w:eastAsia="Arial" w:hAnsi="Arial"/>
          <w:sz w:val="16"/>
          <w:szCs w:val="16"/>
          <w:b w:val="1"/>
          <w:bCs w:val="1"/>
          <w:color w:val="auto"/>
        </w:rPr>
        <w:t xml:space="preserve"> </w:t>
      </w:r>
      <w:r>
        <w:rPr>
          <w:rFonts w:ascii="Arial" w:cs="Arial" w:eastAsia="Arial" w:hAnsi="Arial"/>
          <w:sz w:val="16"/>
          <w:szCs w:val="16"/>
          <w:color w:val="auto"/>
        </w:rPr>
        <w:t>deficit hyperactivity disorder (ADHD).</w:t>
      </w:r>
    </w:p>
    <w:p>
      <w:pPr>
        <w:spacing w:after="0" w:line="46" w:lineRule="exact"/>
        <w:rPr>
          <w:rFonts w:ascii="Times New Roman" w:cs="Times New Roman" w:eastAsia="Times New Roman" w:hAnsi="Times New Roman"/>
          <w:sz w:val="16"/>
          <w:szCs w:val="16"/>
          <w:color w:val="auto"/>
        </w:rPr>
      </w:pPr>
    </w:p>
    <w:p>
      <w:pPr>
        <w:ind w:left="740" w:right="20" w:hanging="370"/>
        <w:spacing w:after="0" w:line="262" w:lineRule="auto"/>
        <w:tabs>
          <w:tab w:leader="none" w:pos="740"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Susan McElroy, MD, </w:t>
      </w:r>
      <w:r>
        <w:rPr>
          <w:rFonts w:ascii="Arial" w:cs="Arial" w:eastAsia="Arial" w:hAnsi="Arial"/>
          <w:sz w:val="16"/>
          <w:szCs w:val="16"/>
          <w:color w:val="auto"/>
        </w:rPr>
        <w:t>Chief Research Officer and Director of Psychopharmacology Research at the Lindner Center of HOPE at the University of</w:t>
      </w:r>
      <w:r>
        <w:rPr>
          <w:rFonts w:ascii="Arial" w:cs="Arial" w:eastAsia="Arial" w:hAnsi="Arial"/>
          <w:sz w:val="16"/>
          <w:szCs w:val="16"/>
          <w:b w:val="1"/>
          <w:bCs w:val="1"/>
          <w:color w:val="auto"/>
        </w:rPr>
        <w:t xml:space="preserve"> </w:t>
      </w:r>
      <w:r>
        <w:rPr>
          <w:rFonts w:ascii="Arial" w:cs="Arial" w:eastAsia="Arial" w:hAnsi="Arial"/>
          <w:sz w:val="16"/>
          <w:szCs w:val="16"/>
          <w:color w:val="auto"/>
        </w:rPr>
        <w:t>Cincinnati. Dr. McElroy will provide an overview of binge eating disorder (BED).</w:t>
      </w:r>
    </w:p>
    <w:p>
      <w:pPr>
        <w:spacing w:after="0" w:line="46" w:lineRule="exact"/>
        <w:rPr>
          <w:rFonts w:ascii="Times New Roman" w:cs="Times New Roman" w:eastAsia="Times New Roman" w:hAnsi="Times New Roman"/>
          <w:sz w:val="16"/>
          <w:szCs w:val="16"/>
          <w:color w:val="auto"/>
        </w:rPr>
      </w:pPr>
    </w:p>
    <w:p>
      <w:pPr>
        <w:jc w:val="both"/>
        <w:ind w:left="740" w:right="20" w:hanging="370"/>
        <w:spacing w:after="0" w:line="247" w:lineRule="auto"/>
        <w:tabs>
          <w:tab w:leader="none" w:pos="740"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Richard Bogan, MD, </w:t>
      </w:r>
      <w:r>
        <w:rPr>
          <w:rFonts w:ascii="Arial" w:cs="Arial" w:eastAsia="Arial" w:hAnsi="Arial"/>
          <w:sz w:val="16"/>
          <w:szCs w:val="16"/>
          <w:color w:val="auto"/>
        </w:rPr>
        <w:t>Associate Clinical Professor at the University of South Carolina School of Medicine and at the Medical University of South</w:t>
      </w:r>
      <w:r>
        <w:rPr>
          <w:rFonts w:ascii="Arial" w:cs="Arial" w:eastAsia="Arial" w:hAnsi="Arial"/>
          <w:sz w:val="16"/>
          <w:szCs w:val="16"/>
          <w:b w:val="1"/>
          <w:bCs w:val="1"/>
          <w:color w:val="auto"/>
        </w:rPr>
        <w:t xml:space="preserve"> </w:t>
      </w:r>
      <w:r>
        <w:rPr>
          <w:rFonts w:ascii="Arial" w:cs="Arial" w:eastAsia="Arial" w:hAnsi="Arial"/>
          <w:sz w:val="16"/>
          <w:szCs w:val="16"/>
          <w:color w:val="auto"/>
        </w:rPr>
        <w:t>Carolina in Charleston, S.C., and is Principal of Bogan Sleep Consultants. Dr. Bogan will provide an overview of the SHARP study of solriamfetol in patients with excessive daytime sleepiness (EDS) associated with obstructive sleep apnea (OSA), and impaired cognitive function.</w:t>
      </w:r>
    </w:p>
    <w:p>
      <w:pPr>
        <w:spacing w:after="0" w:line="58" w:lineRule="exact"/>
        <w:rPr>
          <w:rFonts w:ascii="Times New Roman" w:cs="Times New Roman" w:eastAsia="Times New Roman" w:hAnsi="Times New Roman"/>
          <w:sz w:val="16"/>
          <w:szCs w:val="16"/>
          <w:color w:val="auto"/>
        </w:rPr>
      </w:pPr>
    </w:p>
    <w:p>
      <w:pPr>
        <w:jc w:val="both"/>
        <w:ind w:left="740" w:right="20" w:hanging="370"/>
        <w:spacing w:after="0" w:line="247" w:lineRule="auto"/>
        <w:tabs>
          <w:tab w:leader="none" w:pos="740"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Charles Czeisler, MD, PhD, </w:t>
      </w:r>
      <w:r>
        <w:rPr>
          <w:rFonts w:ascii="Arial" w:cs="Arial" w:eastAsia="Arial" w:hAnsi="Arial"/>
          <w:sz w:val="16"/>
          <w:szCs w:val="16"/>
          <w:color w:val="auto"/>
        </w:rPr>
        <w:t>Baldino Professor of Sleep Medicine, Director of the Division of Sleep Medicine at Harvard Medical School and Chief of</w:t>
      </w:r>
      <w:r>
        <w:rPr>
          <w:rFonts w:ascii="Arial" w:cs="Arial" w:eastAsia="Arial" w:hAnsi="Arial"/>
          <w:sz w:val="16"/>
          <w:szCs w:val="16"/>
          <w:b w:val="1"/>
          <w:bCs w:val="1"/>
          <w:color w:val="auto"/>
        </w:rPr>
        <w:t xml:space="preserve"> </w:t>
      </w:r>
      <w:r>
        <w:rPr>
          <w:rFonts w:ascii="Arial" w:cs="Arial" w:eastAsia="Arial" w:hAnsi="Arial"/>
          <w:sz w:val="16"/>
          <w:szCs w:val="16"/>
          <w:color w:val="auto"/>
        </w:rPr>
        <w:t>the Division of Sleep Medicine in the Department of Medicine at Brigham and Women’s Hospital in Boston. Dr. Czeisler will provide an overview of shift work disorder (SWD).</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Webcast and Conference Call Information</w:t>
      </w:r>
    </w:p>
    <w:p>
      <w:pPr>
        <w:spacing w:after="0" w:line="90"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A live webcast of the event can be accessed on the “Webcasts &amp; Presentations” page of the “Investors” section of the Company’s website at www.axsome.com. To participate in the live conference call, please dial (877) 405-1239 (toll-free domestic). A replay of the webcast will be available for approximately 30 days following the live event.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Solriamfetol</w:t>
      </w:r>
    </w:p>
    <w:p>
      <w:pPr>
        <w:spacing w:after="0" w:line="9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Solriamfetol is a dual-acting dopamine and norepinephrine reuptake inhibitor and trace amine-associated receptor 1 (TAAR1) agonist. Solriamfetol is protected by a robust patent estate with expiries out to 2042.</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Axsome Therapeutics, Inc.</w:t>
      </w:r>
    </w:p>
    <w:p>
      <w:pPr>
        <w:spacing w:after="0" w:line="90"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Axsome Therapeutics, Inc. is a biopharmaceutical company developing and delivering novel therapies for central nervous system (CNS) conditions that have limited treatment options. Through development of therapeutic options with novel mechanisms of action, we are transforming the approach to treating CNS conditions. At Axsome, we are committed to developing products that meaningfully improve the lives of patients and provide new therapeutic options for physicians. For more information, please visit the Company’s website at axsome.com. The Company may occasionally disseminate material, nonpublic information on the company website.</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178435</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29" w:right="31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Forward Looking Statements</w:t>
      </w:r>
    </w:p>
    <w:p>
      <w:pPr>
        <w:spacing w:after="0" w:line="90"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continued commercial success of our Sunosi® and Auvelity® products and the success of our efforts to obtain any additional indication(s) with respect to solriamfetol and/or AXS-05;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revenues or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whether issues identified by FDA in the complete response letter may impact the potential approvability of the Company’s NDA for AXS-07 for the acute treatment of migraine in adults with or without aura, pursuant to our special protocol assessment for the MOMENTUM clinical trial;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products and product candidates, if approved; the Company’s anticipated capital requirements, including the amount of capital required for the continued commercialization of Sunosi and Auvelity and for the Company’s commercial launch of its other product candidates, if approved, and the potential impact on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Axsome Contacts: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Investors: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Mark Jacobson</w:t>
      </w:r>
    </w:p>
    <w:p>
      <w:pPr>
        <w:spacing w:after="0" w:line="231" w:lineRule="auto"/>
        <w:rPr>
          <w:sz w:val="20"/>
          <w:szCs w:val="20"/>
          <w:color w:val="auto"/>
        </w:rPr>
      </w:pPr>
      <w:r>
        <w:rPr>
          <w:rFonts w:ascii="Arial" w:cs="Arial" w:eastAsia="Arial" w:hAnsi="Arial"/>
          <w:sz w:val="16"/>
          <w:szCs w:val="16"/>
          <w:color w:val="auto"/>
        </w:rPr>
        <w:t>Chief Operating Officer</w:t>
      </w:r>
    </w:p>
    <w:p>
      <w:pPr>
        <w:spacing w:after="0" w:line="231" w:lineRule="auto"/>
        <w:rPr>
          <w:sz w:val="20"/>
          <w:szCs w:val="20"/>
          <w:color w:val="auto"/>
        </w:rPr>
      </w:pPr>
      <w:r>
        <w:rPr>
          <w:rFonts w:ascii="Arial" w:cs="Arial" w:eastAsia="Arial" w:hAnsi="Arial"/>
          <w:sz w:val="16"/>
          <w:szCs w:val="16"/>
          <w:color w:val="auto"/>
        </w:rPr>
        <w:t>Axsome Therapeutics, Inc.</w:t>
      </w:r>
    </w:p>
    <w:p>
      <w:pPr>
        <w:spacing w:after="0" w:line="232" w:lineRule="auto"/>
        <w:rPr>
          <w:sz w:val="20"/>
          <w:szCs w:val="20"/>
          <w:color w:val="auto"/>
        </w:rPr>
      </w:pPr>
      <w:r>
        <w:rPr>
          <w:rFonts w:ascii="Arial" w:cs="Arial" w:eastAsia="Arial" w:hAnsi="Arial"/>
          <w:sz w:val="16"/>
          <w:szCs w:val="16"/>
          <w:color w:val="auto"/>
        </w:rPr>
        <w:t>One World Trade Center, 22nd Floor</w:t>
      </w:r>
    </w:p>
    <w:p>
      <w:pPr>
        <w:spacing w:after="0" w:line="231" w:lineRule="auto"/>
        <w:rPr>
          <w:sz w:val="20"/>
          <w:szCs w:val="20"/>
          <w:color w:val="auto"/>
        </w:rPr>
      </w:pPr>
      <w:r>
        <w:rPr>
          <w:rFonts w:ascii="Arial" w:cs="Arial" w:eastAsia="Arial" w:hAnsi="Arial"/>
          <w:sz w:val="16"/>
          <w:szCs w:val="16"/>
          <w:color w:val="auto"/>
        </w:rPr>
        <w:t>New York, NY 10007</w:t>
      </w:r>
    </w:p>
    <w:p>
      <w:pPr>
        <w:spacing w:after="0" w:line="232" w:lineRule="auto"/>
        <w:rPr>
          <w:sz w:val="20"/>
          <w:szCs w:val="20"/>
          <w:color w:val="auto"/>
        </w:rPr>
      </w:pPr>
      <w:r>
        <w:rPr>
          <w:rFonts w:ascii="Arial" w:cs="Arial" w:eastAsia="Arial" w:hAnsi="Arial"/>
          <w:sz w:val="16"/>
          <w:szCs w:val="16"/>
          <w:color w:val="auto"/>
        </w:rPr>
        <w:t>Tel: 212-332-3243</w:t>
      </w:r>
    </w:p>
    <w:p>
      <w:pPr>
        <w:spacing w:after="0" w:line="231" w:lineRule="auto"/>
        <w:rPr>
          <w:sz w:val="20"/>
          <w:szCs w:val="20"/>
          <w:color w:val="auto"/>
        </w:rPr>
      </w:pPr>
      <w:r>
        <w:rPr>
          <w:rFonts w:ascii="Arial" w:cs="Arial" w:eastAsia="Arial" w:hAnsi="Arial"/>
          <w:sz w:val="16"/>
          <w:szCs w:val="16"/>
          <w:color w:val="auto"/>
        </w:rPr>
        <w:t>Email: mjacobson@axsome.com</w:t>
      </w:r>
    </w:p>
    <w:p>
      <w:pPr>
        <w:spacing w:after="0"/>
        <w:rPr>
          <w:sz w:val="20"/>
          <w:szCs w:val="20"/>
          <w:color w:val="auto"/>
        </w:rPr>
      </w:pPr>
      <w:r>
        <w:rPr>
          <w:rFonts w:ascii="Arial" w:cs="Arial" w:eastAsia="Arial" w:hAnsi="Arial"/>
          <w:sz w:val="16"/>
          <w:szCs w:val="16"/>
          <w:color w:val="auto"/>
        </w:rPr>
        <w:t>www.axsome.com</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Media: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Darren Opland</w:t>
      </w:r>
    </w:p>
    <w:p>
      <w:pPr>
        <w:spacing w:after="0" w:line="231" w:lineRule="auto"/>
        <w:rPr>
          <w:sz w:val="20"/>
          <w:szCs w:val="20"/>
          <w:color w:val="auto"/>
        </w:rPr>
      </w:pPr>
      <w:r>
        <w:rPr>
          <w:rFonts w:ascii="Arial" w:cs="Arial" w:eastAsia="Arial" w:hAnsi="Arial"/>
          <w:sz w:val="16"/>
          <w:szCs w:val="16"/>
          <w:color w:val="auto"/>
        </w:rPr>
        <w:t>Director, Corporate Communications</w:t>
      </w:r>
    </w:p>
    <w:p>
      <w:pPr>
        <w:spacing w:after="0" w:line="231" w:lineRule="auto"/>
        <w:rPr>
          <w:sz w:val="20"/>
          <w:szCs w:val="20"/>
          <w:color w:val="auto"/>
        </w:rPr>
      </w:pPr>
      <w:r>
        <w:rPr>
          <w:rFonts w:ascii="Arial" w:cs="Arial" w:eastAsia="Arial" w:hAnsi="Arial"/>
          <w:sz w:val="16"/>
          <w:szCs w:val="16"/>
          <w:color w:val="auto"/>
        </w:rPr>
        <w:t>Axsome Therapeutics, Inc.</w:t>
      </w:r>
    </w:p>
    <w:p>
      <w:pPr>
        <w:spacing w:after="0" w:line="232" w:lineRule="auto"/>
        <w:rPr>
          <w:sz w:val="20"/>
          <w:szCs w:val="20"/>
          <w:color w:val="auto"/>
        </w:rPr>
      </w:pPr>
      <w:r>
        <w:rPr>
          <w:rFonts w:ascii="Arial" w:cs="Arial" w:eastAsia="Arial" w:hAnsi="Arial"/>
          <w:sz w:val="16"/>
          <w:szCs w:val="16"/>
          <w:color w:val="auto"/>
        </w:rPr>
        <w:t>One World Trade Center, 22nd Floor</w:t>
      </w:r>
    </w:p>
    <w:p>
      <w:pPr>
        <w:spacing w:after="0" w:line="231" w:lineRule="auto"/>
        <w:rPr>
          <w:sz w:val="20"/>
          <w:szCs w:val="20"/>
          <w:color w:val="auto"/>
        </w:rPr>
      </w:pPr>
      <w:r>
        <w:rPr>
          <w:rFonts w:ascii="Arial" w:cs="Arial" w:eastAsia="Arial" w:hAnsi="Arial"/>
          <w:sz w:val="16"/>
          <w:szCs w:val="16"/>
          <w:color w:val="auto"/>
        </w:rPr>
        <w:t>New York, NY 10007</w:t>
      </w:r>
    </w:p>
    <w:p>
      <w:pPr>
        <w:spacing w:after="0" w:line="232" w:lineRule="auto"/>
        <w:rPr>
          <w:sz w:val="20"/>
          <w:szCs w:val="20"/>
          <w:color w:val="auto"/>
        </w:rPr>
      </w:pPr>
      <w:r>
        <w:rPr>
          <w:rFonts w:ascii="Arial" w:cs="Arial" w:eastAsia="Arial" w:hAnsi="Arial"/>
          <w:sz w:val="16"/>
          <w:szCs w:val="16"/>
          <w:color w:val="auto"/>
        </w:rPr>
        <w:t>Tel: 929-837-1065</w:t>
      </w:r>
    </w:p>
    <w:p>
      <w:pPr>
        <w:spacing w:after="0" w:line="231" w:lineRule="auto"/>
        <w:rPr>
          <w:sz w:val="20"/>
          <w:szCs w:val="20"/>
          <w:color w:val="auto"/>
        </w:rPr>
      </w:pPr>
      <w:r>
        <w:rPr>
          <w:rFonts w:ascii="Arial" w:cs="Arial" w:eastAsia="Arial" w:hAnsi="Arial"/>
          <w:sz w:val="16"/>
          <w:szCs w:val="16"/>
          <w:color w:val="auto"/>
        </w:rPr>
        <w:t>Email: dopland@axsome.com</w:t>
      </w:r>
    </w:p>
    <w:p>
      <w:pPr>
        <w:spacing w:after="0"/>
        <w:rPr>
          <w:sz w:val="20"/>
          <w:szCs w:val="20"/>
          <w:color w:val="auto"/>
        </w:rPr>
      </w:pPr>
      <w:r>
        <w:rPr>
          <w:rFonts w:ascii="Arial" w:cs="Arial" w:eastAsia="Arial" w:hAnsi="Arial"/>
          <w:sz w:val="16"/>
          <w:szCs w:val="16"/>
          <w:color w:val="auto"/>
        </w:rPr>
        <w:t>www.axsome.com</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58420</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4499610</wp:posOffset>
            </wp:positionV>
            <wp:extent cx="717486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4499610</wp:posOffset>
            </wp:positionV>
            <wp:extent cx="717486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4499610</wp:posOffset>
            </wp:positionV>
            <wp:extent cx="7174865"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4499610</wp:posOffset>
            </wp:positionV>
            <wp:extent cx="7174865"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2023-12-07T15:23:54Z</dcterms:created>
  <dcterms:modified xsi:type="dcterms:W3CDTF">2023-12-07T15:23:54Z</dcterms:modified>
</cp:coreProperties>
</file>