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00"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97" w:lineRule="exact"/>
        <w:rPr>
          <w:rFonts w:ascii="MS PGothic" w:cs="MS PGothic" w:eastAsia="MS PGothic" w:hAnsi="MS PGothic"/>
          <w:sz w:val="16"/>
          <w:szCs w:val="16"/>
          <w:color w:val="auto"/>
        </w:rPr>
      </w:pPr>
    </w:p>
    <w:p>
      <w:pPr>
        <w:ind w:left="800" w:hanging="792"/>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88"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Definitive Proxy Statement</w:t>
      </w:r>
    </w:p>
    <w:p>
      <w:pPr>
        <w:spacing w:after="0" w:line="81"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800" w:hanging="792"/>
        <w:spacing w:after="0"/>
        <w:tabs>
          <w:tab w:leader="none" w:pos="8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right"/>
        <w:ind w:right="47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 Payment of Filing Fee (Check the appropriate box):</w:t>
      </w:r>
    </w:p>
    <w:p>
      <w:pPr>
        <w:spacing w:after="0" w:line="167" w:lineRule="exact"/>
        <w:rPr>
          <w:sz w:val="24"/>
          <w:szCs w:val="24"/>
          <w:color w:val="auto"/>
        </w:rPr>
      </w:pPr>
    </w:p>
    <w:p>
      <w:pPr>
        <w:ind w:left="800" w:hanging="792"/>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No fee required.</w:t>
      </w:r>
    </w:p>
    <w:p>
      <w:pPr>
        <w:spacing w:after="0" w:line="81" w:lineRule="exact"/>
        <w:rPr>
          <w:sz w:val="24"/>
          <w:szCs w:val="24"/>
          <w:color w:val="auto"/>
        </w:rPr>
      </w:pPr>
    </w:p>
    <w:p>
      <w:pPr>
        <w:ind w:left="800" w:hanging="792"/>
        <w:spacing w:after="0"/>
        <w:tabs>
          <w:tab w:leader="none" w:pos="8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800" w:hanging="792"/>
        <w:spacing w:after="0"/>
        <w:tabs>
          <w:tab w:leader="none" w:pos="8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757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April 24, 2026</w:t>
      </w:r>
    </w:p>
    <w:p>
      <w:pPr>
        <w:spacing w:after="0" w:line="127"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You are cordially invited to attend the 2026 Annual Meeting of Stockholders of Axsome Therapeutics, Inc. (the “Annual Meeting”) that will be held on Friday, June 5, 2026 at 9:00 a.m., EDT. The Annual Meeting will be held virtually via means of remote communication.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spacing w:after="0" w:line="78"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In accordance with the Securities and Exchange Commission rules allowing companies to furnish proxy materials to their stockholders over the Internet, we have sent stockholders of record at the close of business on April 14, 2026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Attached to this letter are a Notice of Annual Meeting of Stockholders and Proxy statement, which describe the business to be conducted at the meeting.</w:t>
      </w:r>
    </w:p>
    <w:p>
      <w:pPr>
        <w:spacing w:after="0" w:line="12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Thank you for your ongoing support of Axsome.</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HERRIOT TABUTEAU, M.D.</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60" w:type="dxa"/>
            <w:vAlign w:val="bottom"/>
            <w:gridSpan w:val="4"/>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0" w:type="dxa"/>
            <w:vAlign w:val="bottom"/>
          </w:tcPr>
          <w:p>
            <w:pPr>
              <w:spacing w:after="0"/>
              <w:rPr>
                <w:sz w:val="1"/>
                <w:szCs w:val="1"/>
                <w:color w:val="auto"/>
              </w:rPr>
            </w:pPr>
          </w:p>
        </w:tc>
      </w:tr>
      <w:tr>
        <w:trPr>
          <w:trHeight w:val="288"/>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 New York, New York 10007</w:t>
            </w:r>
          </w:p>
        </w:tc>
        <w:tc>
          <w:tcPr>
            <w:tcW w:w="0" w:type="dxa"/>
            <w:vAlign w:val="bottom"/>
          </w:tcPr>
          <w:p>
            <w:pPr>
              <w:spacing w:after="0"/>
              <w:rPr>
                <w:sz w:val="1"/>
                <w:szCs w:val="1"/>
                <w:color w:val="auto"/>
              </w:rPr>
            </w:pPr>
          </w:p>
        </w:tc>
      </w:tr>
      <w:tr>
        <w:trPr>
          <w:trHeight w:val="455"/>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NOTICE OF</w:t>
            </w: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gridSpan w:val="4"/>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2026 ANNUAL MEETING OF STOCKHOLDERS</w:t>
            </w:r>
          </w:p>
        </w:tc>
        <w:tc>
          <w:tcPr>
            <w:tcW w:w="0" w:type="dxa"/>
            <w:vAlign w:val="bottom"/>
          </w:tcPr>
          <w:p>
            <w:pPr>
              <w:spacing w:after="0"/>
              <w:rPr>
                <w:sz w:val="1"/>
                <w:szCs w:val="1"/>
                <w:color w:val="auto"/>
              </w:rPr>
            </w:pPr>
          </w:p>
        </w:tc>
      </w:tr>
      <w:tr>
        <w:trPr>
          <w:trHeight w:val="141"/>
        </w:trPr>
        <w:tc>
          <w:tcPr>
            <w:tcW w:w="7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Time and Date:</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Friday, June 5, 2026 at 9:00 a.m., EDT.</w:t>
            </w:r>
          </w:p>
        </w:tc>
        <w:tc>
          <w:tcPr>
            <w:tcW w:w="0" w:type="dxa"/>
            <w:vAlign w:val="bottom"/>
          </w:tcPr>
          <w:p>
            <w:pPr>
              <w:spacing w:after="0"/>
              <w:rPr>
                <w:sz w:val="1"/>
                <w:szCs w:val="1"/>
                <w:color w:val="auto"/>
              </w:rPr>
            </w:pPr>
          </w:p>
        </w:tc>
      </w:tr>
      <w:tr>
        <w:trPr>
          <w:trHeight w:val="3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Place:</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The Annual Meeting will be completely virtual. You may attend the virtual meeting, submit questions, and vote your shares electronically</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60" w:type="dxa"/>
            <w:vAlign w:val="bottom"/>
            <w:gridSpan w:val="4"/>
          </w:tcPr>
          <w:p>
            <w:pPr>
              <w:ind w:left="460"/>
              <w:spacing w:after="0" w:line="176" w:lineRule="exact"/>
              <w:rPr>
                <w:sz w:val="20"/>
                <w:szCs w:val="20"/>
                <w:color w:val="auto"/>
              </w:rPr>
            </w:pPr>
            <w:r>
              <w:rPr>
                <w:rFonts w:ascii="Times New Roman" w:cs="Times New Roman" w:eastAsia="Times New Roman" w:hAnsi="Times New Roman"/>
                <w:sz w:val="16"/>
                <w:szCs w:val="16"/>
                <w:color w:val="auto"/>
              </w:rPr>
              <w:t>during the meeting via live webcast by visiting https://www.virtualshareholdermeeting.com/AXSM2026.</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Items of Business:</w:t>
            </w:r>
          </w:p>
        </w:tc>
        <w:tc>
          <w:tcPr>
            <w:tcW w:w="354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780" w:type="dxa"/>
            <w:vAlign w:val="bottom"/>
            <w:gridSpan w:val="2"/>
            <w:vMerge w:val="continue"/>
          </w:tcPr>
          <w:p>
            <w:pPr>
              <w:spacing w:after="0"/>
              <w:rPr>
                <w:sz w:val="24"/>
                <w:szCs w:val="24"/>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(1)  To elect the directors named in the proxy statement accompanying this notice to serve as a Class II directors until the annual meeting</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held in 2029 and until their successors are duly elected and qualified.</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(2)  To ratify the appointment of Deloitte &amp; Touche LLP as the Company’s independent registered public accounting firm for the year</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ending December 31, 2026.</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(3)  To approve, by non-binding advisory vote, the compensation of our named executive officers.</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(4)  To transact such other business as may properly come before the Annual Meeting or any adjournment or postponement thereof.</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tc>
        <w:tc>
          <w:tcPr>
            <w:tcW w:w="0" w:type="dxa"/>
            <w:vAlign w:val="bottom"/>
          </w:tcPr>
          <w:p>
            <w:pPr>
              <w:spacing w:after="0"/>
              <w:rPr>
                <w:sz w:val="1"/>
                <w:szCs w:val="1"/>
                <w:color w:val="auto"/>
              </w:rPr>
            </w:pPr>
          </w:p>
        </w:tc>
      </w:tr>
      <w:tr>
        <w:trPr>
          <w:trHeight w:val="42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Adjournments and</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Any action on the items of business described above may be considered at the annual meeting at the time and on the date specified above</w:t>
            </w:r>
          </w:p>
        </w:tc>
        <w:tc>
          <w:tcPr>
            <w:tcW w:w="0" w:type="dxa"/>
            <w:vAlign w:val="bottom"/>
          </w:tcPr>
          <w:p>
            <w:pPr>
              <w:spacing w:after="0"/>
              <w:rPr>
                <w:sz w:val="1"/>
                <w:szCs w:val="1"/>
                <w:color w:val="auto"/>
              </w:rPr>
            </w:pPr>
          </w:p>
        </w:tc>
      </w:tr>
      <w:tr>
        <w:trPr>
          <w:trHeight w:val="21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Postponements:</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or at any time and date to which the annual meeting may be properly adjourned or postponed.</w:t>
            </w:r>
          </w:p>
        </w:tc>
        <w:tc>
          <w:tcPr>
            <w:tcW w:w="0" w:type="dxa"/>
            <w:vAlign w:val="bottom"/>
          </w:tcPr>
          <w:p>
            <w:pPr>
              <w:spacing w:after="0"/>
              <w:rPr>
                <w:sz w:val="1"/>
                <w:szCs w:val="1"/>
                <w:color w:val="auto"/>
              </w:rPr>
            </w:pPr>
          </w:p>
        </w:tc>
      </w:tr>
      <w:tr>
        <w:trPr>
          <w:trHeight w:val="310"/>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You are entitled to vote if you were a stockholder of record as of the close of business on April 14, 2026.</w:t>
            </w:r>
          </w:p>
        </w:tc>
        <w:tc>
          <w:tcPr>
            <w:tcW w:w="0" w:type="dxa"/>
            <w:vAlign w:val="bottom"/>
          </w:tcPr>
          <w:p>
            <w:pPr>
              <w:spacing w:after="0"/>
              <w:rPr>
                <w:sz w:val="1"/>
                <w:szCs w:val="1"/>
                <w:color w:val="auto"/>
              </w:rPr>
            </w:pPr>
          </w:p>
        </w:tc>
      </w:tr>
      <w:tr>
        <w:trPr>
          <w:trHeight w:val="3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Your vote is very important. Whether or not you plan to attend the annual meeting, we encourage you to read the proxy statement and vote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on the Internet or by telephone or submit your proxy card, if you have requested one, as soon as possible. For specific instructions on how</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to vote your shares, please refer to the section herein entitled “Questions and Answers About Procedural Matters.”</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9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By order of the Board of Directors,</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HUNTER MURDOCK</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Hunter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i w:val="1"/>
          <w:iCs w:val="1"/>
          <w:color w:val="auto"/>
        </w:rPr>
        <w:t>Secretary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Notice of Annual Meeting and Proxy Statement are first being distributed or made available, as the case may be, on or about April 24, 2026.</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Important Notice Regarding the Availability of Proxy Materials for the Stockholder Meeting: This Proxy Statement and our Annual Report are available free of charge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QUESTIONS AND ANSWERS ABOUT PROCEDURAL MATTERS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40" w:type="dxa"/>
            <w:vAlign w:val="bottom"/>
            <w:tcBorders>
              <w:top w:val="single" w:sz="8" w:color="0000FF"/>
            </w:tcBorders>
            <w:gridSpan w:val="41"/>
          </w:tcPr>
          <w:p>
            <w:pPr>
              <w:ind w:left="480"/>
              <w:spacing w:after="0" w:line="176" w:lineRule="exact"/>
              <w:rPr>
                <w:sz w:val="20"/>
                <w:szCs w:val="20"/>
                <w:color w:val="auto"/>
              </w:rPr>
            </w:pPr>
            <w:r>
              <w:rPr>
                <w:rFonts w:ascii="Times New Roman" w:cs="Times New Roman" w:eastAsia="Times New Roman" w:hAnsi="Times New Roman"/>
                <w:sz w:val="18"/>
                <w:szCs w:val="18"/>
                <w:color w:val="0000FF"/>
              </w:rPr>
              <w:t>Annual Meeting</w:t>
            </w:r>
          </w:p>
        </w:tc>
        <w:tc>
          <w:tcPr>
            <w:tcW w:w="5360" w:type="dxa"/>
            <w:vAlign w:val="bottom"/>
            <w:tcBorders>
              <w:top w:val="single" w:sz="8" w:color="CFF0FC"/>
            </w:tcBorders>
            <w:gridSpan w:val="3"/>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Stock Ownership</w:t>
            </w:r>
          </w:p>
        </w:tc>
        <w:tc>
          <w:tcPr>
            <w:tcW w:w="8760" w:type="dxa"/>
            <w:vAlign w:val="bottom"/>
            <w:tcBorders>
              <w:bottom w:val="single" w:sz="8" w:color="CFF0FC"/>
            </w:tcBorders>
            <w:gridSpan w:val="38"/>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Quorum and Voting</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shd w:val="clear" w:color="auto" w:fill="CFF0FC"/>
          </w:tcPr>
          <w:p>
            <w:pPr>
              <w:spacing w:after="0"/>
              <w:rPr>
                <w:sz w:val="15"/>
                <w:szCs w:val="15"/>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Stockholder Proposals and Director Nominations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rPr>
                <w:sz w:val="15"/>
                <w:szCs w:val="15"/>
                <w:color w:val="auto"/>
              </w:rPr>
            </w:pPr>
          </w:p>
        </w:tc>
        <w:tc>
          <w:tcPr>
            <w:tcW w:w="1002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FF"/>
              </w:rPr>
              <w:t>Additional Information about the Proxy Materials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ONE—ELECTION OF DIRECTORS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20" w:type="dxa"/>
            <w:vAlign w:val="bottom"/>
            <w:tcBorders>
              <w:top w:val="single" w:sz="8" w:color="0000FF"/>
            </w:tcBorders>
            <w:gridSpan w:val="32"/>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6780" w:type="dxa"/>
            <w:vAlign w:val="bottom"/>
            <w:tcBorders>
              <w:top w:val="single" w:sz="8" w:color="CFF0FC"/>
            </w:tcBorders>
            <w:gridSpan w:val="12"/>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4180" w:type="dxa"/>
            <w:vAlign w:val="bottom"/>
            <w:tcBorders>
              <w:bottom w:val="single" w:sz="8" w:color="0000FF"/>
            </w:tcBorders>
            <w:gridSpan w:val="3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Information Regarding the Nominees and Other Directors</w:t>
            </w:r>
          </w:p>
        </w:tc>
        <w:tc>
          <w:tcPr>
            <w:tcW w:w="5840" w:type="dxa"/>
            <w:vAlign w:val="bottom"/>
            <w:tcBorders>
              <w:bottom w:val="single" w:sz="8" w:color="CFF0FC"/>
            </w:tcBorders>
            <w:gridSpan w:val="5"/>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Diversity Matrix</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TWO—RATIFICATION OF THE APPOINTMENT OF INDEPENDENT REGISTERED PUBLIC ACCOUNTING FIRM</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20" w:type="dxa"/>
            <w:vAlign w:val="bottom"/>
            <w:tcBorders>
              <w:top w:val="single" w:sz="8" w:color="0000FF"/>
            </w:tcBorders>
            <w:gridSpan w:val="43"/>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58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880" w:type="dxa"/>
            <w:vAlign w:val="bottom"/>
            <w:tcBorders>
              <w:bottom w:val="single" w:sz="8" w:color="0000FF"/>
            </w:tcBorders>
            <w:gridSpan w:val="2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Principal Accounting Fees and Services</w:t>
            </w:r>
          </w:p>
        </w:tc>
        <w:tc>
          <w:tcPr>
            <w:tcW w:w="7140" w:type="dxa"/>
            <w:vAlign w:val="bottom"/>
            <w:tcBorders>
              <w:bottom w:val="single" w:sz="8" w:color="CFF0FC"/>
            </w:tcBorders>
            <w:gridSpan w:val="16"/>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Pre-Approval of Audit and Non-Audit Services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THREE—ADVISORY VOTE ON THE COMPENSATION OF OUR NAMED EXECUTIVE OFFICERS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0000FF"/>
            </w:tcBorders>
            <w:gridSpan w:val="42"/>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1820" w:type="dxa"/>
            <w:vAlign w:val="bottom"/>
            <w:tcBorders>
              <w:top w:val="single" w:sz="8" w:color="CFF0FC"/>
            </w:tcBorders>
            <w:gridSpan w:val="2"/>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CORPORATE GOVERNANCE</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shd w:val="clear" w:color="auto" w:fill="CFF0FC"/>
          </w:tcPr>
          <w:p>
            <w:pPr>
              <w:spacing w:after="0"/>
              <w:rPr>
                <w:sz w:val="15"/>
                <w:szCs w:val="15"/>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Board Composition</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1002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FF"/>
              </w:rPr>
              <w:t>Director Independence</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0000FF"/>
            </w:tcBorders>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Board Leadership Structure</w:t>
            </w:r>
          </w:p>
        </w:tc>
        <w:tc>
          <w:tcPr>
            <w:tcW w:w="8020" w:type="dxa"/>
            <w:vAlign w:val="bottom"/>
            <w:tcBorders>
              <w:bottom w:val="single" w:sz="8" w:color="CFF0FC"/>
            </w:tcBorders>
            <w:gridSpan w:val="26"/>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Committees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Borders>
              <w:top w:val="single" w:sz="8" w:color="CFF0FC"/>
            </w:tcBorders>
          </w:tcPr>
          <w:p>
            <w:pPr>
              <w:spacing w:after="0"/>
              <w:rPr>
                <w:sz w:val="15"/>
                <w:szCs w:val="15"/>
                <w:color w:val="auto"/>
              </w:rPr>
            </w:pPr>
          </w:p>
        </w:tc>
        <w:tc>
          <w:tcPr>
            <w:tcW w:w="4460" w:type="dxa"/>
            <w:vAlign w:val="bottom"/>
            <w:tcBorders>
              <w:top w:val="single" w:sz="8" w:color="0000FF"/>
            </w:tcBorders>
            <w:gridSpan w:val="39"/>
          </w:tcPr>
          <w:p>
            <w:pPr>
              <w:spacing w:after="0" w:line="176" w:lineRule="exact"/>
              <w:rPr>
                <w:sz w:val="20"/>
                <w:szCs w:val="20"/>
                <w:color w:val="auto"/>
              </w:rPr>
            </w:pPr>
            <w:r>
              <w:rPr>
                <w:rFonts w:ascii="Times New Roman" w:cs="Times New Roman" w:eastAsia="Times New Roman" w:hAnsi="Times New Roman"/>
                <w:sz w:val="18"/>
                <w:szCs w:val="18"/>
                <w:color w:val="0000FF"/>
              </w:rPr>
              <w:t>Meetings of the Board of Directors</w:t>
            </w:r>
          </w:p>
        </w:tc>
        <w:tc>
          <w:tcPr>
            <w:tcW w:w="5560" w:type="dxa"/>
            <w:vAlign w:val="bottom"/>
            <w:tcBorders>
              <w:top w:val="single" w:sz="8" w:color="CFF0FC"/>
            </w:tcBorders>
            <w:gridSpan w:val="4"/>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0000FF"/>
            </w:tcBorders>
            <w:gridSpan w:val="1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Board Oversight of Risk</w:t>
            </w:r>
          </w:p>
        </w:tc>
        <w:tc>
          <w:tcPr>
            <w:tcW w:w="8240" w:type="dxa"/>
            <w:vAlign w:val="bottom"/>
            <w:tcBorders>
              <w:bottom w:val="single" w:sz="8" w:color="CFF0FC"/>
            </w:tcBorders>
            <w:gridSpan w:val="30"/>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Commitment to Corporate Responsibility</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Director Nomination Process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Borders>
              <w:top w:val="single" w:sz="8" w:color="CFF0FC"/>
            </w:tcBorders>
          </w:tcPr>
          <w:p>
            <w:pPr>
              <w:spacing w:after="0"/>
              <w:rPr>
                <w:sz w:val="15"/>
                <w:szCs w:val="15"/>
                <w:color w:val="auto"/>
              </w:rPr>
            </w:pPr>
          </w:p>
        </w:tc>
        <w:tc>
          <w:tcPr>
            <w:tcW w:w="2100" w:type="dxa"/>
            <w:vAlign w:val="bottom"/>
            <w:tcBorders>
              <w:top w:val="single" w:sz="8" w:color="0000FF"/>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Director Compensation</w:t>
            </w:r>
          </w:p>
        </w:tc>
        <w:tc>
          <w:tcPr>
            <w:tcW w:w="7920" w:type="dxa"/>
            <w:vAlign w:val="bottom"/>
            <w:tcBorders>
              <w:top w:val="single" w:sz="8" w:color="CFF0FC"/>
            </w:tcBorders>
            <w:gridSpan w:val="25"/>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Limitation of Liability and Indemnification Arrangements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Borders>
              <w:top w:val="single" w:sz="8" w:color="CFF0FC"/>
            </w:tcBorders>
          </w:tcPr>
          <w:p>
            <w:pPr>
              <w:spacing w:after="0"/>
              <w:rPr>
                <w:sz w:val="15"/>
                <w:szCs w:val="15"/>
                <w:color w:val="auto"/>
              </w:rPr>
            </w:pPr>
          </w:p>
        </w:tc>
        <w:tc>
          <w:tcPr>
            <w:tcW w:w="4180" w:type="dxa"/>
            <w:vAlign w:val="bottom"/>
            <w:tcBorders>
              <w:top w:val="single" w:sz="8" w:color="0000FF"/>
              <w:bottom w:val="single" w:sz="8" w:color="0000FF"/>
            </w:tcBorders>
            <w:gridSpan w:val="38"/>
          </w:tcPr>
          <w:p>
            <w:pPr>
              <w:spacing w:after="0" w:line="176" w:lineRule="exact"/>
              <w:rPr>
                <w:sz w:val="20"/>
                <w:szCs w:val="20"/>
                <w:color w:val="auto"/>
              </w:rPr>
            </w:pPr>
            <w:r>
              <w:rPr>
                <w:rFonts w:ascii="Times New Roman" w:cs="Times New Roman" w:eastAsia="Times New Roman" w:hAnsi="Times New Roman"/>
                <w:sz w:val="18"/>
                <w:szCs w:val="18"/>
                <w:color w:val="0000FF"/>
                <w:w w:val="99"/>
              </w:rPr>
              <w:t>Stockholder Communications with the Board of Directors</w:t>
            </w:r>
          </w:p>
        </w:tc>
        <w:tc>
          <w:tcPr>
            <w:tcW w:w="5840" w:type="dxa"/>
            <w:vAlign w:val="bottom"/>
            <w:tcBorders>
              <w:top w:val="single" w:sz="8" w:color="CFF0FC"/>
            </w:tcBorders>
            <w:gridSpan w:val="5"/>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4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EXECUTIVE OFFICERS</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44"/>
          </w:tcPr>
          <w:p>
            <w:pPr>
              <w:spacing w:after="0" w:line="17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shd w:val="clear" w:color="auto" w:fill="CFF0FC"/>
          </w:tcPr>
          <w:p>
            <w:pPr>
              <w:spacing w:after="0"/>
              <w:rPr>
                <w:sz w:val="15"/>
                <w:szCs w:val="15"/>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Overview of Executive Compensation Program</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1002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FF"/>
              </w:rPr>
              <w:t>Compensation Policies and Practices at a Glance</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Compensation Objectives and Philosophy</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Borders>
              <w:top w:val="single" w:sz="8" w:color="CFF0FC"/>
            </w:tcBorders>
          </w:tcPr>
          <w:p>
            <w:pPr>
              <w:spacing w:after="0"/>
              <w:rPr>
                <w:sz w:val="15"/>
                <w:szCs w:val="15"/>
                <w:color w:val="auto"/>
              </w:rPr>
            </w:pPr>
          </w:p>
        </w:tc>
        <w:tc>
          <w:tcPr>
            <w:tcW w:w="3020" w:type="dxa"/>
            <w:vAlign w:val="bottom"/>
            <w:tcBorders>
              <w:top w:val="single" w:sz="8" w:color="0000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2025 Say-on-Pay Vote</w:t>
            </w:r>
          </w:p>
        </w:tc>
        <w:tc>
          <w:tcPr>
            <w:tcW w:w="7000" w:type="dxa"/>
            <w:vAlign w:val="bottom"/>
            <w:tcBorders>
              <w:top w:val="single" w:sz="8" w:color="CFF0FC"/>
            </w:tcBorders>
            <w:gridSpan w:val="14"/>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0000FF"/>
            </w:tcBorders>
            <w:gridSpan w:val="1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Roles and Responsibilities</w:t>
            </w:r>
          </w:p>
        </w:tc>
        <w:tc>
          <w:tcPr>
            <w:tcW w:w="8100" w:type="dxa"/>
            <w:vAlign w:val="bottom"/>
            <w:tcBorders>
              <w:bottom w:val="single" w:sz="8" w:color="CFF0FC"/>
            </w:tcBorders>
            <w:gridSpan w:val="27"/>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Peer and Industry Data</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0000FF"/>
            </w:tcBorders>
            <w:gridSpan w:val="2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Elements of NEO Compensation</w:t>
            </w:r>
          </w:p>
        </w:tc>
        <w:tc>
          <w:tcPr>
            <w:tcW w:w="7640" w:type="dxa"/>
            <w:vAlign w:val="bottom"/>
            <w:tcBorders>
              <w:bottom w:val="single" w:sz="8" w:color="CFF0FC"/>
            </w:tcBorders>
            <w:gridSpan w:val="21"/>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Base Salary</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320" w:type="dxa"/>
            <w:vAlign w:val="bottom"/>
            <w:tcBorders>
              <w:bottom w:val="single" w:sz="8" w:color="0000FF"/>
            </w:tcBorders>
            <w:gridSpan w:val="2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Annual Cash Incentive Bonuses</w:t>
            </w:r>
          </w:p>
        </w:tc>
        <w:tc>
          <w:tcPr>
            <w:tcW w:w="7700" w:type="dxa"/>
            <w:vAlign w:val="bottom"/>
            <w:tcBorders>
              <w:bottom w:val="single" w:sz="8" w:color="CFF0FC"/>
            </w:tcBorders>
            <w:gridSpan w:val="22"/>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Equity Incentive Compensation</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Other Aspects of Our Compensation Program</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Borders>
              <w:top w:val="single" w:sz="8" w:color="CFF0FC"/>
            </w:tcBorders>
          </w:tcPr>
          <w:p>
            <w:pPr>
              <w:spacing w:after="0"/>
              <w:rPr>
                <w:sz w:val="15"/>
                <w:szCs w:val="15"/>
                <w:color w:val="auto"/>
              </w:rPr>
            </w:pPr>
          </w:p>
        </w:tc>
        <w:tc>
          <w:tcPr>
            <w:tcW w:w="3300" w:type="dxa"/>
            <w:vAlign w:val="bottom"/>
            <w:tcBorders>
              <w:top w:val="single" w:sz="8" w:color="0000FF"/>
            </w:tcBorders>
            <w:gridSpan w:val="32"/>
          </w:tcPr>
          <w:p>
            <w:pPr>
              <w:spacing w:after="0" w:line="176" w:lineRule="exact"/>
              <w:rPr>
                <w:sz w:val="20"/>
                <w:szCs w:val="20"/>
                <w:color w:val="auto"/>
              </w:rPr>
            </w:pPr>
            <w:r>
              <w:rPr>
                <w:rFonts w:ascii="Times New Roman" w:cs="Times New Roman" w:eastAsia="Times New Roman" w:hAnsi="Times New Roman"/>
                <w:sz w:val="18"/>
                <w:szCs w:val="18"/>
                <w:color w:val="0000FF"/>
              </w:rPr>
              <w:t>Insider Trading Policy</w:t>
            </w:r>
          </w:p>
        </w:tc>
        <w:tc>
          <w:tcPr>
            <w:tcW w:w="6720" w:type="dxa"/>
            <w:vAlign w:val="bottom"/>
            <w:tcBorders>
              <w:top w:val="single" w:sz="8" w:color="CFF0FC"/>
            </w:tcBorders>
            <w:gridSpan w:val="11"/>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0000FF"/>
            </w:tcBorders>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Clawback and Forfeiture</w:t>
            </w:r>
          </w:p>
        </w:tc>
        <w:tc>
          <w:tcPr>
            <w:tcW w:w="8220" w:type="dxa"/>
            <w:vAlign w:val="bottom"/>
            <w:tcBorders>
              <w:bottom w:val="single" w:sz="8" w:color="CFF0FC"/>
            </w:tcBorders>
            <w:gridSpan w:val="29"/>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44"/>
          </w:tcPr>
          <w:p>
            <w:pPr>
              <w:ind w:left="480"/>
              <w:spacing w:after="0" w:line="176" w:lineRule="exact"/>
              <w:rPr>
                <w:sz w:val="20"/>
                <w:szCs w:val="20"/>
                <w:color w:val="auto"/>
              </w:rPr>
            </w:pPr>
            <w:r>
              <w:rPr>
                <w:rFonts w:ascii="Times New Roman" w:cs="Times New Roman" w:eastAsia="Times New Roman" w:hAnsi="Times New Roman"/>
                <w:sz w:val="18"/>
                <w:szCs w:val="18"/>
                <w:color w:val="0000FF"/>
              </w:rPr>
              <w:t>Risk Analysis of Our Compensation Plans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10020" w:type="dxa"/>
            <w:vAlign w:val="bottom"/>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Borders>
              <w:top w:val="single" w:sz="8" w:color="CFF0FC"/>
            </w:tcBorders>
          </w:tcPr>
          <w:p>
            <w:pPr>
              <w:spacing w:after="0"/>
              <w:rPr>
                <w:sz w:val="15"/>
                <w:szCs w:val="15"/>
                <w:color w:val="auto"/>
              </w:rPr>
            </w:pPr>
          </w:p>
        </w:tc>
        <w:tc>
          <w:tcPr>
            <w:tcW w:w="4460" w:type="dxa"/>
            <w:vAlign w:val="bottom"/>
            <w:tcBorders>
              <w:top w:val="single" w:sz="8" w:color="0000FF"/>
            </w:tcBorders>
            <w:gridSpan w:val="39"/>
          </w:tcPr>
          <w:p>
            <w:pPr>
              <w:spacing w:after="0" w:line="17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5560" w:type="dxa"/>
            <w:vAlign w:val="bottom"/>
            <w:tcBorders>
              <w:top w:val="single" w:sz="8" w:color="CFF0FC"/>
            </w:tcBorders>
            <w:gridSpan w:val="4"/>
          </w:tcPr>
          <w:p>
            <w:pPr>
              <w:spacing w:after="0"/>
              <w:rPr>
                <w:sz w:val="15"/>
                <w:szCs w:val="15"/>
                <w:color w:val="auto"/>
              </w:rPr>
            </w:pPr>
          </w:p>
        </w:tc>
        <w:tc>
          <w:tcPr>
            <w:tcW w:w="7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0000FF"/>
            </w:tcBorders>
            <w:gridSpan w:val="1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Summary Compensation Table</w:t>
            </w:r>
          </w:p>
        </w:tc>
        <w:tc>
          <w:tcPr>
            <w:tcW w:w="7760" w:type="dxa"/>
            <w:vAlign w:val="bottom"/>
            <w:tcBorders>
              <w:bottom w:val="single" w:sz="8" w:color="CFF0FC"/>
            </w:tcBorders>
            <w:gridSpan w:val="24"/>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42"/>
          </w:tcPr>
          <w:p>
            <w:pPr>
              <w:spacing w:after="0" w:line="176" w:lineRule="exact"/>
              <w:rPr>
                <w:sz w:val="20"/>
                <w:szCs w:val="20"/>
                <w:color w:val="auto"/>
              </w:rPr>
            </w:pPr>
            <w:r>
              <w:rPr>
                <w:rFonts w:ascii="Times New Roman" w:cs="Times New Roman" w:eastAsia="Times New Roman" w:hAnsi="Times New Roman"/>
                <w:sz w:val="18"/>
                <w:szCs w:val="18"/>
                <w:color w:val="0000FF"/>
              </w:rPr>
              <w:t>2025 Grants of Plan-Based Awards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0" w:type="dxa"/>
            <w:vAlign w:val="bottom"/>
            <w:gridSpan w:val="4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Outstanding Equity Awards as of December 31, 2025</w:t>
            </w:r>
          </w:p>
        </w:tc>
        <w:tc>
          <w:tcPr>
            <w:tcW w:w="7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1"/>
        </w:trPr>
        <w:tc>
          <w:tcPr>
            <w:tcW w:w="4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3540" w:type="dxa"/>
            <w:vAlign w:val="bottom"/>
            <w:tcBorders>
              <w:top w:val="single" w:sz="8" w:color="CFF0FC"/>
              <w:bottom w:val="single" w:sz="8" w:color="9A9A9A"/>
            </w:tcBorders>
          </w:tcPr>
          <w:p>
            <w:pPr>
              <w:spacing w:after="0"/>
              <w:rPr>
                <w:sz w:val="24"/>
                <w:szCs w:val="24"/>
                <w:color w:val="auto"/>
              </w:rPr>
            </w:pPr>
          </w:p>
        </w:tc>
        <w:tc>
          <w:tcPr>
            <w:tcW w:w="124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CFF0FC"/>
              <w:bottom w:val="single" w:sz="8" w:color="9A9A9A"/>
            </w:tcBorders>
          </w:tcPr>
          <w:p>
            <w:pPr>
              <w:spacing w:after="0"/>
              <w:rPr>
                <w:sz w:val="24"/>
                <w:szCs w:val="24"/>
                <w:color w:val="auto"/>
              </w:rPr>
            </w:pPr>
          </w:p>
        </w:tc>
        <w:tc>
          <w:tcPr>
            <w:tcW w:w="740" w:type="dxa"/>
            <w:vAlign w:val="bottom"/>
            <w:tcBorders>
              <w:top w:val="single" w:sz="8" w:color="CFF0FC"/>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2025 Option Exercises and Stock Vested</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20" w:type="dxa"/>
            <w:vAlign w:val="bottom"/>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Potential Payments Upon Termination/Change of Control and Employment Agreements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6340" w:type="dxa"/>
            <w:vAlign w:val="bottom"/>
            <w:tcBorders>
              <w:top w:val="single" w:sz="8" w:color="0000FF"/>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FF"/>
              </w:rPr>
              <w:t>Chief Executive Officer Pay Ratio</w:t>
            </w:r>
          </w:p>
        </w:tc>
        <w:tc>
          <w:tcPr>
            <w:tcW w:w="2480" w:type="dxa"/>
            <w:vAlign w:val="bottom"/>
            <w:tcBorders>
              <w:top w:val="single" w:sz="8" w:color="CFF0FC"/>
            </w:tcBorders>
          </w:tcPr>
          <w:p>
            <w:pPr>
              <w:spacing w:after="0"/>
              <w:rPr>
                <w:sz w:val="15"/>
                <w:szCs w:val="15"/>
                <w:color w:val="auto"/>
              </w:rPr>
            </w:pP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20" w:type="dxa"/>
            <w:vAlign w:val="bottom"/>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Policies and Practices Related to the Grant of Certain Equity Awards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960" w:type="dxa"/>
            <w:vAlign w:val="bottom"/>
            <w:tcBorders>
              <w:top w:val="single" w:sz="8" w:color="0000FF"/>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Pay Versus Performance</w:t>
            </w:r>
          </w:p>
        </w:tc>
        <w:tc>
          <w:tcPr>
            <w:tcW w:w="3860" w:type="dxa"/>
            <w:vAlign w:val="bottom"/>
            <w:tcBorders>
              <w:top w:val="single" w:sz="8" w:color="CFF0FC"/>
            </w:tcBorders>
            <w:gridSpan w:val="6"/>
          </w:tcPr>
          <w:p>
            <w:pPr>
              <w:spacing w:after="0"/>
              <w:rPr>
                <w:sz w:val="15"/>
                <w:szCs w:val="15"/>
                <w:color w:val="auto"/>
              </w:rPr>
            </w:pP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820" w:type="dxa"/>
            <w:vAlign w:val="bottom"/>
            <w:tcBorders>
              <w:bottom w:val="single" w:sz="8" w:color="0000EE"/>
            </w:tcBorders>
            <w:gridSpan w:val="1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Description of Relationship Between NEO Compensation Actually Paid and Company Total Shareholder Return (“TSR”)</w:t>
            </w:r>
          </w:p>
        </w:tc>
        <w:tc>
          <w:tcPr>
            <w:tcW w:w="19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20" w:type="dxa"/>
            <w:vAlign w:val="bottom"/>
            <w:tcBorders>
              <w:top w:val="single" w:sz="8" w:color="CFF0FC"/>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FF"/>
            </w:tcBorders>
            <w:gridSpan w:val="1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5360" w:type="dxa"/>
            <w:vAlign w:val="bottom"/>
            <w:tcBorders>
              <w:bottom w:val="single" w:sz="8" w:color="CFF0FC"/>
            </w:tcBorders>
            <w:gridSpan w:val="8"/>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20" w:type="dxa"/>
            <w:vAlign w:val="bottom"/>
            <w:gridSpan w:val="19"/>
          </w:tcPr>
          <w:p>
            <w:pPr>
              <w:ind w:left="480"/>
              <w:spacing w:after="0" w:line="17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0000FF"/>
            </w:tcBorders>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3740" w:type="dxa"/>
            <w:vAlign w:val="bottom"/>
            <w:tcBorders>
              <w:bottom w:val="single" w:sz="8" w:color="CFF0FC"/>
            </w:tcBorders>
            <w:gridSpan w:val="5"/>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20" w:type="dxa"/>
            <w:vAlign w:val="bottom"/>
            <w:gridSpan w:val="19"/>
          </w:tcPr>
          <w:p>
            <w:pPr>
              <w:ind w:left="480"/>
              <w:spacing w:after="0" w:line="176"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Indemnification Agreements</w:t>
            </w:r>
          </w:p>
        </w:tc>
        <w:tc>
          <w:tcPr>
            <w:tcW w:w="6760" w:type="dxa"/>
            <w:vAlign w:val="bottom"/>
            <w:tcBorders>
              <w:bottom w:val="single" w:sz="8" w:color="CFF0FC"/>
            </w:tcBorders>
            <w:gridSpan w:val="13"/>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20" w:type="dxa"/>
            <w:vAlign w:val="bottom"/>
            <w:gridSpan w:val="19"/>
          </w:tcPr>
          <w:p>
            <w:pPr>
              <w:ind w:left="480"/>
              <w:spacing w:after="0" w:line="176" w:lineRule="exact"/>
              <w:rPr>
                <w:sz w:val="20"/>
                <w:szCs w:val="20"/>
                <w:color w:val="auto"/>
              </w:rPr>
            </w:pPr>
            <w:r>
              <w:rPr>
                <w:rFonts w:ascii="Times New Roman" w:cs="Times New Roman" w:eastAsia="Times New Roman" w:hAnsi="Times New Roman"/>
                <w:sz w:val="18"/>
                <w:szCs w:val="18"/>
                <w:color w:val="0000FF"/>
              </w:rPr>
              <w:t>Review and Approval of Related Party Transactions</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FF"/>
            </w:tcBorders>
            <w:gridSpan w:val="1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SECTION 16(a) BENEFICIAL OWNERSHIP REPORTING COMPLIANCE</w:t>
            </w:r>
          </w:p>
        </w:tc>
        <w:tc>
          <w:tcPr>
            <w:tcW w:w="3660" w:type="dxa"/>
            <w:vAlign w:val="bottom"/>
            <w:tcBorders>
              <w:bottom w:val="single" w:sz="8" w:color="CFF0FC"/>
            </w:tcBorders>
            <w:gridSpan w:val="4"/>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FF"/>
              </w:rPr>
              <w:t>AUDIT COMMITTEE REPORT</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shd w:val="clear" w:color="auto" w:fill="CFF0FC"/>
          </w:tcPr>
          <w:p>
            <w:pPr>
              <w:spacing w:after="0"/>
              <w:rPr>
                <w:sz w:val="15"/>
                <w:szCs w:val="15"/>
                <w:color w:val="auto"/>
              </w:rPr>
            </w:pPr>
          </w:p>
        </w:tc>
        <w:tc>
          <w:tcPr>
            <w:tcW w:w="8840" w:type="dxa"/>
            <w:vAlign w:val="bottom"/>
            <w:gridSpan w:val="1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Role of the Audit Committee</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Review of Audited Financial Statements for the Year Ended December 31, 2025</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OTHER MATTERS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1"/>
        </w:trPr>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2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480" w:type="dxa"/>
            <w:vAlign w:val="bottom"/>
            <w:tcBorders>
              <w:top w:val="single" w:sz="8" w:color="CFF0FC"/>
              <w:bottom w:val="single" w:sz="8" w:color="9A9A9A"/>
            </w:tcBorders>
          </w:tcPr>
          <w:p>
            <w:pPr>
              <w:spacing w:after="0"/>
              <w:rPr>
                <w:sz w:val="24"/>
                <w:szCs w:val="24"/>
                <w:color w:val="auto"/>
              </w:rPr>
            </w:pPr>
          </w:p>
        </w:tc>
        <w:tc>
          <w:tcPr>
            <w:tcW w:w="1920" w:type="dxa"/>
            <w:vAlign w:val="bottom"/>
            <w:tcBorders>
              <w:top w:val="single" w:sz="8" w:color="CFF0FC"/>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New York, New York 10007</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PROXY STATEMENT FOR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73025</wp:posOffset>
            </wp:positionV>
            <wp:extent cx="6069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149"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 xml:space="preserve">This proxy statement is furnished in connection with solicitation of proxies by our Board of Directors for use at the 2026 Annual Meeting of Stockholders (the “Annual Meeting”) to be held at 9:00 a.m., EDT on Friday, June 5, 2026, and any postponements or adjournments thereof. 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https://www.virtualshareholdermeeting.com/AXSM2026</w:t>
      </w:r>
      <w:r>
        <w:rPr>
          <w:rFonts w:ascii="Times New Roman" w:cs="Times New Roman" w:eastAsia="Times New Roman" w:hAnsi="Times New Roman"/>
          <w:sz w:val="16"/>
          <w:szCs w:val="16"/>
          <w:color w:val="auto"/>
        </w:rPr>
        <w:t>. As used in this proxy statement, the terms “the Company,” “Axsome,” “we,” “us,” and “our” mean Axsome Therapeutics, Inc. unless the context indicates otherwise.</w:t>
      </w:r>
    </w:p>
    <w:p>
      <w:pPr>
        <w:spacing w:after="0" w:line="2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QUESTIONS AND ANSWERS ABOUT PROCEDURAL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Why am I receiving these proxy materials?</w:t>
      </w:r>
    </w:p>
    <w:p>
      <w:pPr>
        <w:spacing w:after="0" w:line="142" w:lineRule="exact"/>
        <w:rPr>
          <w:sz w:val="20"/>
          <w:szCs w:val="20"/>
          <w:color w:val="auto"/>
        </w:rPr>
      </w:pPr>
    </w:p>
    <w:p>
      <w:pPr>
        <w:ind w:left="340" w:right="120" w:hanging="332"/>
        <w:spacing w:after="0" w:line="275"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made these proxy materials available to you on the Internet or, upon your request, have delivered paper proxy materials to you, because our Board of Directors is soliciting your proxy to vote at the Annual Meeting to be held on Friday, June 5, 2026 at 9:00 a.m., EDT, and at any adjournment or postponement thereof, for the purpose of considering and acting upon the matters set forth herein. This proxy statement includes information that we are required to provide to you by the U.S. Securities and Exchange Commission (the “SEC”) and that is designed to assist you in voting your shares.</w:t>
      </w:r>
    </w:p>
    <w:p>
      <w:pPr>
        <w:spacing w:after="0" w:line="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Why did I receive a notice in the mail regarding the Internet availability of proxy materials instead of a paper copy of proxy materials?</w:t>
      </w:r>
    </w:p>
    <w:p>
      <w:pPr>
        <w:spacing w:after="0" w:line="142" w:lineRule="exact"/>
        <w:rPr>
          <w:sz w:val="20"/>
          <w:szCs w:val="20"/>
          <w:color w:val="auto"/>
        </w:rPr>
      </w:pPr>
    </w:p>
    <w:p>
      <w:pPr>
        <w:ind w:left="340" w:hanging="332"/>
        <w:spacing w:after="0" w:line="269"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the SEC permit us to furnish proxy materials, including this proxy statement and our 2025 Annual Report, to our stockholders by providing access to such documents on the Internet instead of mailing printed copies. As a result, we are mailing most of our stockholders a paper copy of the Notice of Internet Availability of Proxy Materials (the “Notice and Access Card”),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Why did I receive a complete set of paper proxy materials in the mail instead of a Notice of Internet Availability of Proxy Materials?</w:t>
      </w:r>
    </w:p>
    <w:p>
      <w:pPr>
        <w:spacing w:after="0" w:line="142" w:lineRule="exact"/>
        <w:rPr>
          <w:sz w:val="20"/>
          <w:szCs w:val="20"/>
          <w:color w:val="auto"/>
        </w:rPr>
      </w:pPr>
    </w:p>
    <w:p>
      <w:pPr>
        <w:jc w:val="both"/>
        <w:ind w:left="340" w:right="80" w:hanging="332"/>
        <w:spacing w:after="0" w:line="275"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providing stockholders who have previously requested to receive paper copies of the proxy materials with paper copies of the proxy materials instead of the Notice and Access Card.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is included in the proxy materials?</w:t>
      </w:r>
    </w:p>
    <w:p>
      <w:pPr>
        <w:spacing w:after="0" w:line="14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materials include:</w:t>
      </w:r>
    </w:p>
    <w:p>
      <w:pPr>
        <w:spacing w:after="0" w:line="23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for the Annual Meeting;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2025 Annual Report to Stockholders, which consists of our Annual Report on Form 10-K for the year ended December 31, 2025;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card or a voting instruction form for the Annual Meeting, if you have requested that the proxy materials be mailed to you.</w:t>
      </w:r>
    </w:p>
    <w:p>
      <w:pPr>
        <w:spacing w:after="0" w:line="1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information is contained in this proxy statement?</w:t>
      </w:r>
    </w:p>
    <w:p>
      <w:pPr>
        <w:spacing w:after="0" w:line="142" w:lineRule="exact"/>
        <w:rPr>
          <w:sz w:val="20"/>
          <w:szCs w:val="20"/>
          <w:color w:val="auto"/>
        </w:rPr>
      </w:pPr>
    </w:p>
    <w:p>
      <w:pPr>
        <w:ind w:left="340" w:right="420" w:hanging="332"/>
        <w:spacing w:after="0" w:line="29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7"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Where is the Annual Meeting?</w:t>
      </w:r>
    </w:p>
    <w:p>
      <w:pPr>
        <w:spacing w:after="0" w:line="14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Annual Meeting will be completely virtual via live webcast by visiting </w:t>
      </w:r>
      <w:r>
        <w:rPr>
          <w:rFonts w:ascii="Times New Roman" w:cs="Times New Roman" w:eastAsia="Times New Roman" w:hAnsi="Times New Roman"/>
          <w:sz w:val="16"/>
          <w:szCs w:val="16"/>
          <w:u w:val="single" w:color="auto"/>
          <w:color w:val="auto"/>
        </w:rPr>
        <w:t>https://www.virtualshareholdermeeting.com/AXSM2026</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Can I attend the Annual Meeting?</w:t>
      </w:r>
    </w:p>
    <w:p>
      <w:pPr>
        <w:spacing w:after="0" w:line="142" w:lineRule="exact"/>
        <w:rPr>
          <w:sz w:val="20"/>
          <w:szCs w:val="20"/>
          <w:color w:val="auto"/>
        </w:rPr>
      </w:pPr>
    </w:p>
    <w:p>
      <w:pPr>
        <w:ind w:left="340" w:right="20" w:hanging="332"/>
        <w:spacing w:after="0" w:line="275"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invited to attend the Annual Meeting if you were a stockholder of record or a beneficial owner as of April 14, 2026, the Record Date. The meeting will begin via live webcast promptly at 9:00 a.m., EDT on June 5, 2026. You will be able to submit questions and vote your shares electronically during the meeting. To participate in the meeting, you must have the 16-digit control number that is shown on your Notice and Access Card or, if you received a printed copy of the proxy materials, on your proxy card or voting instruction form that accompanied your proxy materials.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is the difference between holding shares as a stockholder of record and as a beneficial owner?</w:t>
      </w:r>
    </w:p>
    <w:p>
      <w:pPr>
        <w:spacing w:after="0" w:line="140" w:lineRule="exact"/>
        <w:rPr>
          <w:sz w:val="20"/>
          <w:szCs w:val="20"/>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Stockholders of record</w:t>
      </w:r>
      <w:r>
        <w:rPr>
          <w:rFonts w:ascii="Times New Roman" w:cs="Times New Roman" w:eastAsia="Times New Roman" w:hAnsi="Times New Roman"/>
          <w:sz w:val="16"/>
          <w:szCs w:val="16"/>
          <w:color w:val="auto"/>
        </w:rPr>
        <w:t>—If your shares are registered directly in your name with our transfer agent, Equiniti Trust Company, LLC, you are considered, with respect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those shares, the “stockholder of record,” and the proxy materials were provided to you directly by us. As the stockholder of record, you have the right to grant your voting proxy directly to the individuals listed on the proxy card or to vote at the Annual Meeting.</w:t>
      </w:r>
    </w:p>
    <w:p>
      <w:pPr>
        <w:spacing w:after="0" w:line="66" w:lineRule="exact"/>
        <w:rPr>
          <w:rFonts w:ascii="Times New Roman" w:cs="Times New Roman" w:eastAsia="Times New Roman" w:hAnsi="Times New Roman"/>
          <w:sz w:val="16"/>
          <w:szCs w:val="16"/>
          <w:color w:val="auto"/>
        </w:rPr>
      </w:pPr>
    </w:p>
    <w:p>
      <w:pPr>
        <w:ind w:left="34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—Many Axsome stockholders hold their shares through a broker, trustee or other nominee, rather than directly in their own name. If your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69" w:lineRule="exact"/>
        <w:rPr>
          <w:sz w:val="20"/>
          <w:szCs w:val="20"/>
          <w:color w:val="auto"/>
        </w:rPr>
      </w:pPr>
    </w:p>
    <w:p>
      <w:pPr>
        <w:ind w:left="340" w:right="100"/>
        <w:spacing w:after="0" w:line="272" w:lineRule="auto"/>
        <w:rPr>
          <w:sz w:val="20"/>
          <w:szCs w:val="20"/>
          <w:color w:val="auto"/>
        </w:rPr>
      </w:pPr>
      <w:r>
        <w:rPr>
          <w:rFonts w:ascii="Times New Roman" w:cs="Times New Roman" w:eastAsia="Times New Roman" w:hAnsi="Times New Roman"/>
          <w:sz w:val="16"/>
          <w:szCs w:val="16"/>
          <w:color w:val="auto"/>
        </w:rPr>
        <w:t xml:space="preserve">As the beneficial owner, you have the right to direct your broker, trustee or nominee on how to vote your shares. Beneficial owners are also invited to attend the Annual Meeting. However, since beneficial owners are not stockholders of record, you may not be able to vote your shares at the Annual Meeting unless you follow your broker’s procedures for obtaining a legal proxy. If your shares are registered in your name with Broadridge and you wish to attend the online-only virtual meeting, go to </w:t>
      </w:r>
      <w:r>
        <w:rPr>
          <w:rFonts w:ascii="Times New Roman" w:cs="Times New Roman" w:eastAsia="Times New Roman" w:hAnsi="Times New Roman"/>
          <w:sz w:val="16"/>
          <w:szCs w:val="16"/>
          <w:u w:val="single" w:color="auto"/>
          <w:color w:val="auto"/>
        </w:rPr>
        <w:t>https://www.virtualshareholdermeeting.com/AXSM2026</w:t>
      </w:r>
      <w:r>
        <w:rPr>
          <w:rFonts w:ascii="Times New Roman" w:cs="Times New Roman" w:eastAsia="Times New Roman" w:hAnsi="Times New Roman"/>
          <w:sz w:val="16"/>
          <w:szCs w:val="16"/>
          <w:color w:val="auto"/>
        </w:rPr>
        <w:t>, enter your 16-digit control number you received on your proxy card or Notice to attend the meeting. If you request a printed copy of the proxy materials by mail, your broker or nominee will provide a voting instruction card for you to use.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 and Voting</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many shares must be present or represented to conduct business at the Annual Meeting?</w:t>
      </w:r>
    </w:p>
    <w:p>
      <w:pPr>
        <w:spacing w:after="0" w:line="142" w:lineRule="exact"/>
        <w:rPr>
          <w:sz w:val="20"/>
          <w:szCs w:val="20"/>
          <w:color w:val="auto"/>
        </w:rPr>
      </w:pPr>
    </w:p>
    <w:p>
      <w:pPr>
        <w:ind w:left="340" w:right="20" w:hanging="332"/>
        <w:spacing w:after="0" w:line="281"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quorum is the minimum number of shares required to be present at the Annual Meeting for the meeting to be properly held under our amended and restated bylaws and the Delaware General Corporation Law (the “DGCL”). The presence, in person or by proxy, of a majority of the aggregate voting power of the issued and outstanding shares of stock entitled to vote at the Annual Meeting will constitute a quorum at the Annual Meeting.</w:t>
      </w:r>
    </w:p>
    <w:p>
      <w:pPr>
        <w:spacing w:after="0" w:line="69" w:lineRule="exact"/>
        <w:rPr>
          <w:rFonts w:ascii="Times New Roman" w:cs="Times New Roman" w:eastAsia="Times New Roman" w:hAnsi="Times New Roman"/>
          <w:sz w:val="16"/>
          <w:szCs w:val="16"/>
          <w:color w:val="auto"/>
        </w:rPr>
      </w:pPr>
    </w:p>
    <w:p>
      <w:pPr>
        <w:ind w:left="340" w:right="10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proxy submitted by a stockholder may indicate that the shares represented by the proxy are not being voted, referred to as stockholder withholding with respect to a particular matter.</w:t>
      </w:r>
    </w:p>
    <w:p>
      <w:pPr>
        <w:spacing w:after="0" w:line="56" w:lineRule="exact"/>
        <w:rPr>
          <w:rFonts w:ascii="Times New Roman" w:cs="Times New Roman" w:eastAsia="Times New Roman" w:hAnsi="Times New Roman"/>
          <w:sz w:val="16"/>
          <w:szCs w:val="16"/>
          <w:color w:val="auto"/>
        </w:rPr>
      </w:pPr>
    </w:p>
    <w:p>
      <w:pPr>
        <w:ind w:left="340" w:right="16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56" w:lineRule="exact"/>
        <w:rPr>
          <w:rFonts w:ascii="Times New Roman" w:cs="Times New Roman" w:eastAsia="Times New Roman" w:hAnsi="Times New Roman"/>
          <w:sz w:val="16"/>
          <w:szCs w:val="16"/>
          <w:color w:val="auto"/>
        </w:rPr>
      </w:pPr>
    </w:p>
    <w:p>
      <w:pPr>
        <w:ind w:left="340" w:right="7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Who is entitled to vote at the Annual Meeting?</w:t>
      </w:r>
    </w:p>
    <w:p>
      <w:pPr>
        <w:spacing w:after="0" w:line="142" w:lineRule="exact"/>
        <w:rPr>
          <w:sz w:val="20"/>
          <w:szCs w:val="20"/>
          <w:color w:val="auto"/>
        </w:rPr>
      </w:pPr>
    </w:p>
    <w:p>
      <w:pPr>
        <w:ind w:left="340" w:right="20" w:hanging="332"/>
        <w:spacing w:after="0" w:line="275"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record of our common stock at the close of business on the Record Date are entitled to receive notice of and to vote their shares at the Annual Meeting. As of the Record Date, we had 51,439,952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7"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can I vote my shares at the Annual Meeting?</w:t>
      </w:r>
    </w:p>
    <w:p>
      <w:pPr>
        <w:spacing w:after="0" w:line="142" w:lineRule="exact"/>
        <w:rPr>
          <w:sz w:val="20"/>
          <w:szCs w:val="20"/>
          <w:color w:val="auto"/>
        </w:rPr>
      </w:pPr>
    </w:p>
    <w:p>
      <w:pPr>
        <w:ind w:left="340" w:right="80" w:hanging="332"/>
        <w:spacing w:after="0" w:line="272"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Shares held in your name as the stockholder of record may be voted at the Annual Meeting. Shares held beneficially in street name may be voted by returning a voting instruction card, or by telephone or on the internet. As discussed above, if you are a street name stockholder, you may not vote your shares in person at the Annual Meeting unless you follow the instructions enclosed in this proxy statement. </w:t>
      </w:r>
      <w:r>
        <w:rPr>
          <w:rFonts w:ascii="Times New Roman" w:cs="Times New Roman" w:eastAsia="Times New Roman" w:hAnsi="Times New Roman"/>
          <w:sz w:val="16"/>
          <w:szCs w:val="16"/>
          <w:b w:val="1"/>
          <w:bCs w:val="1"/>
          <w:color w:val="auto"/>
        </w:rPr>
        <w:t>Even if you plan to attend the Annual Meeting, we recommend that you also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submit your proxy card, if you have requested one, or follow the voting directions described below, so that your vote will be counted if you later decide not to attend the Annual Meeting.</w:t>
      </w:r>
    </w:p>
    <w:p>
      <w:pPr>
        <w:spacing w:after="0" w:line="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can I vote my shares without attending the Annual Meeting?</w:t>
      </w:r>
    </w:p>
    <w:p>
      <w:pPr>
        <w:spacing w:after="0" w:line="14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there are three ways to vote without attending the Annual Meeting:</w:t>
      </w:r>
    </w:p>
    <w:p>
      <w:pPr>
        <w:spacing w:after="0" w:line="234" w:lineRule="exact"/>
        <w:rPr>
          <w:rFonts w:ascii="Times New Roman" w:cs="Times New Roman" w:eastAsia="Times New Roman" w:hAnsi="Times New Roman"/>
          <w:sz w:val="16"/>
          <w:szCs w:val="16"/>
          <w:color w:val="auto"/>
        </w:rPr>
      </w:pPr>
    </w:p>
    <w:p>
      <w:pPr>
        <w:ind w:left="760" w:hanging="378"/>
        <w:spacing w:after="0" w:line="301" w:lineRule="auto"/>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w:t>
      </w:r>
      <w:r>
        <w:rPr>
          <w:rFonts w:ascii="Times New Roman" w:cs="Times New Roman" w:eastAsia="Times New Roman" w:hAnsi="Times New Roman"/>
          <w:sz w:val="16"/>
          <w:szCs w:val="16"/>
          <w:color w:val="auto"/>
        </w:rPr>
        <w:t>—You may vote by proxy via the Internet at www.proxyvote.com by following the instructions provided in the Notice and Access Card or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card.</w:t>
      </w:r>
    </w:p>
    <w:p>
      <w:pPr>
        <w:spacing w:after="0" w:line="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Telephone</w:t>
      </w:r>
      <w:r>
        <w:rPr>
          <w:rFonts w:ascii="Times New Roman" w:cs="Times New Roman" w:eastAsia="Times New Roman" w:hAnsi="Times New Roman"/>
          <w:sz w:val="16"/>
          <w:szCs w:val="16"/>
          <w:color w:val="auto"/>
        </w:rPr>
        <w:t>—You may vote by proxy by telephone by calling the toll-free number found in the Notice and Access Card or proxy card.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Mail</w:t>
      </w:r>
      <w:r>
        <w:rPr>
          <w:rFonts w:ascii="Times New Roman" w:cs="Times New Roman" w:eastAsia="Times New Roman" w:hAnsi="Times New Roman"/>
          <w:sz w:val="16"/>
          <w:szCs w:val="16"/>
          <w:color w:val="auto"/>
        </w:rPr>
        <w:t>—You may vote by proxy by filling out the proxy card you may have received and returning it in the envelope provided.</w:t>
      </w:r>
    </w:p>
    <w:p>
      <w:pPr>
        <w:spacing w:after="0" w:line="129" w:lineRule="exact"/>
        <w:rPr>
          <w:sz w:val="20"/>
          <w:szCs w:val="20"/>
          <w:color w:val="auto"/>
        </w:rPr>
      </w:pPr>
    </w:p>
    <w:p>
      <w:pPr>
        <w:ind w:left="380" w:right="100"/>
        <w:spacing w:after="0" w:line="298" w:lineRule="auto"/>
        <w:rPr>
          <w:sz w:val="20"/>
          <w:szCs w:val="20"/>
          <w:color w:val="auto"/>
        </w:rPr>
      </w:pPr>
      <w:r>
        <w:rPr>
          <w:rFonts w:ascii="Times New Roman" w:cs="Times New Roman" w:eastAsia="Times New Roman" w:hAnsi="Times New Roman"/>
          <w:sz w:val="16"/>
          <w:szCs w:val="16"/>
          <w:color w:val="auto"/>
        </w:rPr>
        <w:t>Telephone and Internet voting facilities for stockholders of record will be available 24 hours a day and will close at 11:59 p.m., Eastern Time on June 4, 2026. If you choose to access the proxy materials and/or vote through the Internet, you are responsible for any Internet access charges you may incur.</w:t>
      </w:r>
    </w:p>
    <w:p>
      <w:pPr>
        <w:spacing w:after="0" w:line="54" w:lineRule="exact"/>
        <w:rPr>
          <w:sz w:val="20"/>
          <w:szCs w:val="20"/>
          <w:color w:val="auto"/>
        </w:rPr>
      </w:pPr>
    </w:p>
    <w:p>
      <w:pPr>
        <w:ind w:left="380" w:right="380"/>
        <w:spacing w:after="0" w:line="301"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holding shares through a bank, broker or other nominee, please refer to information forwarded by your bank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broker to see which voting options are available to you.</w:t>
      </w:r>
    </w:p>
    <w:p>
      <w:pPr>
        <w:spacing w:after="0" w:line="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Can I vote my shares by completing and returning the Notice?</w:t>
      </w:r>
    </w:p>
    <w:p>
      <w:pPr>
        <w:spacing w:after="0" w:line="142" w:lineRule="exact"/>
        <w:rPr>
          <w:sz w:val="20"/>
          <w:szCs w:val="20"/>
          <w:color w:val="auto"/>
        </w:rPr>
      </w:pPr>
    </w:p>
    <w:p>
      <w:pPr>
        <w:ind w:left="340" w:right="260" w:hanging="332"/>
        <w:spacing w:after="0" w:line="29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Notice and Access Card will, however, provide instructions on how to vote by telephone, by Internet, or by requesting and returning a paper proxy card or voting instruction card.</w:t>
      </w:r>
    </w:p>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proposals will be voted on at the Annual Meeting?</w:t>
      </w:r>
    </w:p>
    <w:p>
      <w:pPr>
        <w:spacing w:after="0" w:line="14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Annual Meeting, stockholders will be asked to vote:</w:t>
      </w:r>
    </w:p>
    <w:p>
      <w:pPr>
        <w:spacing w:after="0" w:line="23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directors to serve as Class II directors until the annual meeting held in 2029 and until their successors are duly elected and qualified;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Deloitte &amp; Touche LLP as the Company’s independent registered public accounting firm for the year ending December 31, 2026;</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by non-binding advisory vote, the compensation of our named executive officers;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 or postponement thereof.</w:t>
      </w:r>
    </w:p>
    <w:p>
      <w:pPr>
        <w:spacing w:after="0" w:line="1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is the voting requirement to approve each of the proposals?</w:t>
      </w:r>
    </w:p>
    <w:p>
      <w:pPr>
        <w:spacing w:after="0" w:line="140" w:lineRule="exact"/>
        <w:rPr>
          <w:sz w:val="20"/>
          <w:szCs w:val="20"/>
          <w:color w:val="auto"/>
        </w:rPr>
      </w:pPr>
    </w:p>
    <w:p>
      <w:pPr>
        <w:ind w:left="340" w:right="180" w:hanging="332"/>
        <w:spacing w:after="0" w:line="282"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One</w:t>
      </w:r>
      <w:r>
        <w:rPr>
          <w:rFonts w:ascii="Times New Roman" w:cs="Times New Roman" w:eastAsia="Times New Roman" w:hAnsi="Times New Roman"/>
          <w:sz w:val="16"/>
          <w:szCs w:val="16"/>
          <w:color w:val="auto"/>
        </w:rPr>
        <w:t>—The election of a director requires a plurality vote of the shares of common stock voted at the Annual Meeting. “Plurality” means that the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receives the largest number of votes cast “for” is elected as a director, however, a nominee is not required to receive a majority of votes “for.” As a result, any shares not voted “for” a nominee (whether as a result of stockholder withholding or a broker non-vote) will not be counted in the nominee’s favor.</w:t>
      </w:r>
    </w:p>
    <w:p>
      <w:pPr>
        <w:spacing w:after="0" w:line="66" w:lineRule="exact"/>
        <w:rPr>
          <w:rFonts w:ascii="Times New Roman" w:cs="Times New Roman" w:eastAsia="Times New Roman" w:hAnsi="Times New Roman"/>
          <w:sz w:val="16"/>
          <w:szCs w:val="16"/>
          <w:color w:val="auto"/>
        </w:rPr>
      </w:pPr>
    </w:p>
    <w:p>
      <w:pPr>
        <w:ind w:left="340" w:right="18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Two</w:t>
      </w:r>
      <w:r>
        <w:rPr>
          <w:rFonts w:ascii="Times New Roman" w:cs="Times New Roman" w:eastAsia="Times New Roman" w:hAnsi="Times New Roman"/>
          <w:sz w:val="16"/>
          <w:szCs w:val="16"/>
          <w:color w:val="auto"/>
        </w:rPr>
        <w:t>—The affirmative vote of a majority of votes cast by holders of common stock either present in person or represented by proxy at the Annual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entitled to vote on such matter thereon is required to ratify the appointment of Deloitte &amp; Touche LLP as our independent registered public accounting firm. Abstentions will have the effect of a vote against this proposal. Brokers are entitled to vote on this matter without direction from you, and therefore are included in the number of affirmative votes required to achieve a majority.</w:t>
      </w:r>
    </w:p>
    <w:p>
      <w:pPr>
        <w:spacing w:after="0" w:line="71" w:lineRule="exact"/>
        <w:rPr>
          <w:rFonts w:ascii="Times New Roman" w:cs="Times New Roman" w:eastAsia="Times New Roman" w:hAnsi="Times New Roman"/>
          <w:sz w:val="16"/>
          <w:szCs w:val="16"/>
          <w:color w:val="auto"/>
        </w:rPr>
      </w:pPr>
    </w:p>
    <w:p>
      <w:pPr>
        <w:ind w:left="340" w:right="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Three</w:t>
      </w:r>
      <w:r>
        <w:rPr>
          <w:rFonts w:ascii="Times New Roman" w:cs="Times New Roman" w:eastAsia="Times New Roman" w:hAnsi="Times New Roman"/>
          <w:sz w:val="16"/>
          <w:szCs w:val="16"/>
          <w:color w:val="auto"/>
        </w:rPr>
        <w:t>—The affirmative vote of a majority of votes cast by holders of common stock either present in person or represented by proxy at the Annual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entitled to vote on such matter thereon is required to approve the advisory vote on the compensation of our named executive officers. Abstentions will have the effect of a vote against this proposal and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does the Board of Directors recommend that I vote?</w:t>
      </w:r>
    </w:p>
    <w:p>
      <w:pPr>
        <w:spacing w:after="0" w:line="14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unanimously recommends that you vote your shares:</w:t>
      </w:r>
    </w:p>
    <w:p>
      <w:pPr>
        <w:spacing w:after="0" w:line="14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nominees for election as director listed in Proposal One;</w:t>
      </w:r>
    </w:p>
    <w:p>
      <w:pPr>
        <w:spacing w:after="0" w:line="126" w:lineRule="exact"/>
        <w:rPr>
          <w:rFonts w:ascii="Times New Roman" w:cs="Times New Roman" w:eastAsia="Times New Roman" w:hAnsi="Times New Roman"/>
          <w:sz w:val="16"/>
          <w:szCs w:val="16"/>
          <w:color w:val="auto"/>
        </w:rPr>
      </w:pPr>
    </w:p>
    <w:p>
      <w:pPr>
        <w:ind w:left="760" w:right="200" w:hanging="378"/>
        <w:spacing w:after="0" w:line="298" w:lineRule="auto"/>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Deloitte &amp; Touche LLP as our independent registered public accounting firm for the year ending December 31, 2026;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approval of the compensation of our named executive officers.</w:t>
      </w:r>
    </w:p>
    <w:p>
      <w:pPr>
        <w:spacing w:after="0" w:line="1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happens if I do not give specific voting instructions?</w:t>
      </w:r>
    </w:p>
    <w:p>
      <w:pPr>
        <w:spacing w:after="0" w:line="14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and you:</w:t>
      </w:r>
    </w:p>
    <w:p>
      <w:pPr>
        <w:spacing w:after="0" w:line="2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 when voting on the Internet or by telephone that you wish to vote as recommended by our Board of Directors;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return a proxy card without giving specific voting instructions,</w:t>
      </w:r>
    </w:p>
    <w:p>
      <w:pPr>
        <w:spacing w:after="0" w:line="127" w:lineRule="exact"/>
        <w:rPr>
          <w:sz w:val="20"/>
          <w:szCs w:val="20"/>
          <w:color w:val="auto"/>
        </w:rPr>
      </w:pPr>
    </w:p>
    <w:p>
      <w:pPr>
        <w:ind w:left="380"/>
        <w:spacing w:after="0" w:line="298" w:lineRule="auto"/>
        <w:rPr>
          <w:sz w:val="20"/>
          <w:szCs w:val="20"/>
          <w:color w:val="auto"/>
        </w:rPr>
      </w:pPr>
      <w:r>
        <w:rPr>
          <w:rFonts w:ascii="Times New Roman" w:cs="Times New Roman" w:eastAsia="Times New Roman" w:hAnsi="Times New Roman"/>
          <w:sz w:val="16"/>
          <w:szCs w:val="16"/>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54" w:lineRule="exact"/>
        <w:rPr>
          <w:sz w:val="20"/>
          <w:szCs w:val="20"/>
          <w:color w:val="auto"/>
        </w:rPr>
      </w:pPr>
    </w:p>
    <w:p>
      <w:pPr>
        <w:ind w:left="380"/>
        <w:spacing w:after="0" w:line="276"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of shares held in street name and do not provide the organization that holds your shares with specific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may my brokerage firm or other intermediary vote my shares if I fail to provide timely directions?</w:t>
      </w:r>
    </w:p>
    <w:p>
      <w:pPr>
        <w:spacing w:after="0" w:line="142" w:lineRule="exact"/>
        <w:rPr>
          <w:sz w:val="20"/>
          <w:szCs w:val="20"/>
          <w:color w:val="auto"/>
        </w:rPr>
      </w:pPr>
    </w:p>
    <w:p>
      <w:pPr>
        <w:ind w:left="340" w:right="20" w:hanging="332"/>
        <w:spacing w:after="0" w:line="275"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Deloitte &amp; Touche LLP. Your broker will not have discretion to vote on the election of directors or the compensation of our named executive officers.</w:t>
      </w:r>
    </w:p>
    <w:p>
      <w:pPr>
        <w:spacing w:after="0" w:line="7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Please note that brokers may not vote your shares on the election of directors or the compensation of our named executive officers in the absence of your specific instructions as to how to vote, so we encourage you to provide instructions to your broker regarding the voting of your shares.</w:t>
      </w:r>
    </w:p>
    <w:p>
      <w:pPr>
        <w:spacing w:after="0" w:line="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happens if additional matters are presented at the Annual Meeting?</w:t>
      </w:r>
    </w:p>
    <w:p>
      <w:pPr>
        <w:spacing w:after="0" w:line="142" w:lineRule="exact"/>
        <w:rPr>
          <w:sz w:val="20"/>
          <w:szCs w:val="20"/>
          <w:color w:val="auto"/>
        </w:rPr>
      </w:pPr>
    </w:p>
    <w:p>
      <w:pPr>
        <w:ind w:left="340" w:right="80" w:hanging="332"/>
        <w:spacing w:after="0" w:line="275"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other matters are properly presented for consideration at the Annual Meeting, including, among other things, consideration of a motion to adjourn or postpone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7"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Can I change or revoke my vote after submitting my proxy?</w:t>
      </w:r>
    </w:p>
    <w:p>
      <w:pPr>
        <w:spacing w:after="0" w:line="142" w:lineRule="exact"/>
        <w:rPr>
          <w:sz w:val="20"/>
          <w:szCs w:val="20"/>
          <w:color w:val="auto"/>
        </w:rPr>
      </w:pPr>
    </w:p>
    <w:p>
      <w:pPr>
        <w:ind w:left="340" w:right="260" w:hanging="332"/>
        <w:spacing w:after="0" w:line="298"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rules your broker, trustee or nominee may have, you may change or revoke your proxy in any one of the ways listed below at any time before your proxy is voted at the Annual Meeting.</w:t>
      </w:r>
    </w:p>
    <w:p>
      <w:pPr>
        <w:spacing w:after="0" w:line="56" w:lineRule="exact"/>
        <w:rPr>
          <w:rFonts w:ascii="Times New Roman" w:cs="Times New Roman" w:eastAsia="Times New Roman" w:hAnsi="Times New Roman"/>
          <w:sz w:val="16"/>
          <w:szCs w:val="16"/>
          <w:color w:val="auto"/>
        </w:rPr>
      </w:pPr>
    </w:p>
    <w:p>
      <w:pPr>
        <w:ind w:left="340" w:right="8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stockholder of record, you may change your vote by (1) sending our Corporate Secretary, prior to your shares being voted at the Annual Meeting, a written notice of revocation or a duly executed proxy card, in either case dated later than the prior proxy card relating to the same shares; or (2) voting at the Annual Meeting. A stockholder of record that has voted on the Internet or by telephone may also change his or her vote by later making a timely and valid Internet or telephone vote.</w:t>
      </w:r>
    </w:p>
    <w:p>
      <w:pPr>
        <w:spacing w:after="0" w:line="74" w:lineRule="exact"/>
        <w:rPr>
          <w:rFonts w:ascii="Times New Roman" w:cs="Times New Roman" w:eastAsia="Times New Roman" w:hAnsi="Times New Roman"/>
          <w:sz w:val="16"/>
          <w:szCs w:val="16"/>
          <w:color w:val="auto"/>
        </w:rPr>
      </w:pPr>
    </w:p>
    <w:p>
      <w:pPr>
        <w:ind w:left="340" w:right="3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beneficial owner of shares held in street name, you may change your vote: (1) by submitting new voting instructions to your broker, trustee or other nominee; (2) by attending and voting at the Annual Meeting, if you have obtained a legal proxy from the broker, trustee or other nominee that holds your shares giving you the right to vote the shares; or (3) by sending our Corporate Secretary, prior to your shares being voted at the Annual Meeting, a written notice of revocation or a duly executed proxy card, in either case dated later than the prior proxy card relating to the same shares.</w:t>
      </w:r>
    </w:p>
    <w:p>
      <w:pPr>
        <w:spacing w:after="0" w:line="74" w:lineRule="exact"/>
        <w:rPr>
          <w:rFonts w:ascii="Times New Roman" w:cs="Times New Roman" w:eastAsia="Times New Roman" w:hAnsi="Times New Roman"/>
          <w:sz w:val="16"/>
          <w:szCs w:val="16"/>
          <w:color w:val="auto"/>
        </w:rPr>
      </w:pPr>
    </w:p>
    <w:p>
      <w:pPr>
        <w:ind w:left="34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Who will bear the cost of soliciting votes for the Annual Meeting?</w:t>
      </w:r>
    </w:p>
    <w:p>
      <w:pPr>
        <w:spacing w:after="0" w:line="142" w:lineRule="exact"/>
        <w:rPr>
          <w:sz w:val="20"/>
          <w:szCs w:val="20"/>
          <w:color w:val="auto"/>
        </w:rPr>
      </w:pPr>
    </w:p>
    <w:p>
      <w:pPr>
        <w:ind w:left="340" w:hanging="332"/>
        <w:spacing w:after="0" w:line="271"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w:t>
      </w:r>
    </w:p>
    <w:p>
      <w:pPr>
        <w:spacing w:after="0" w:line="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Is my vote confidential?</w:t>
      </w:r>
    </w:p>
    <w:p>
      <w:pPr>
        <w:spacing w:after="0" w:line="142" w:lineRule="exact"/>
        <w:rPr>
          <w:sz w:val="20"/>
          <w:szCs w:val="20"/>
          <w:color w:val="auto"/>
        </w:rPr>
      </w:pPr>
    </w:p>
    <w:p>
      <w:pPr>
        <w:jc w:val="both"/>
        <w:ind w:left="340" w:right="100" w:hanging="332"/>
        <w:spacing w:after="0" w:line="281"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Where can I find the voting results of the Annual Meeting?</w:t>
      </w:r>
    </w:p>
    <w:p>
      <w:pPr>
        <w:spacing w:after="0" w:line="142" w:lineRule="exact"/>
        <w:rPr>
          <w:sz w:val="20"/>
          <w:szCs w:val="20"/>
          <w:color w:val="auto"/>
        </w:rPr>
      </w:pPr>
    </w:p>
    <w:p>
      <w:pPr>
        <w:ind w:left="340" w:right="280" w:hanging="332"/>
        <w:spacing w:after="0" w:line="298"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announce preliminary voting results at the Annual Meeting and will publish final results in a Current Report on Form 8-K that will be filed with the Securities and Exchange Commission (the “SEC”) within four business days after the Annual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Proposals and Director Nominations</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is the deadline to propose actions for consideration at next year’s annual meeting of stockholders or to nominate individuals to serve as directors?</w:t>
      </w:r>
    </w:p>
    <w:p>
      <w:pPr>
        <w:spacing w:after="0" w:line="14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proposals, including director nominations, for consideration at future stockholder meetings.</w:t>
      </w:r>
    </w:p>
    <w:p>
      <w:pPr>
        <w:spacing w:after="0" w:line="124" w:lineRule="exact"/>
        <w:rPr>
          <w:rFonts w:ascii="Times New Roman" w:cs="Times New Roman" w:eastAsia="Times New Roman" w:hAnsi="Times New Roman"/>
          <w:sz w:val="16"/>
          <w:szCs w:val="16"/>
          <w:color w:val="auto"/>
        </w:rPr>
      </w:pPr>
    </w:p>
    <w:p>
      <w:pPr>
        <w:ind w:left="34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considered for inclusion in our proxy materials</w:t>
      </w:r>
      <w:r>
        <w:rPr>
          <w:rFonts w:ascii="Times New Roman" w:cs="Times New Roman" w:eastAsia="Times New Roman" w:hAnsi="Times New Roman"/>
          <w:sz w:val="16"/>
          <w:szCs w:val="16"/>
          <w:color w:val="auto"/>
        </w:rPr>
        <w:t>—Stockholders may present proper proposals for inclusion in our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and for consideration at our next annual meeting of stockholders by submitting their proposals in writing to our Corporate Secretary in a timely manner. In order to be included in the proxy statement for the 2027 annual meeting of stockholders, stockholder proposals must be received by our Corporate Secretary no later than December 25, 2026 and must otherwise comply with the requirements of Rule 14a-8 of the Securities Exchange Act of 1934, as amended (the “Exchange Act”).</w:t>
      </w:r>
    </w:p>
    <w:p>
      <w:pPr>
        <w:spacing w:after="0" w:line="71" w:lineRule="exact"/>
        <w:rPr>
          <w:rFonts w:ascii="Times New Roman" w:cs="Times New Roman" w:eastAsia="Times New Roman" w:hAnsi="Times New Roman"/>
          <w:sz w:val="16"/>
          <w:szCs w:val="16"/>
          <w:color w:val="auto"/>
        </w:rPr>
      </w:pPr>
    </w:p>
    <w:p>
      <w:pPr>
        <w:ind w:left="340" w:right="14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brought before an annual meeting</w:t>
      </w:r>
      <w:r>
        <w:rPr>
          <w:rFonts w:ascii="Times New Roman" w:cs="Times New Roman" w:eastAsia="Times New Roman" w:hAnsi="Times New Roman"/>
          <w:sz w:val="16"/>
          <w:szCs w:val="16"/>
          <w:color w:val="auto"/>
        </w:rPr>
        <w:t>—In addition, our bylaws establish an advance notice procedure for stockholders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wish to present certain matters before an annual meeting of stockholders. In general, nominations for the election of directors may be made by our Board of Directors or any committee thereof or any stockholder who is a stockholder of record on the date of the giving of the notice described below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7"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120"/>
        <w:spacing w:after="0" w:line="275" w:lineRule="auto"/>
        <w:rPr>
          <w:sz w:val="20"/>
          <w:szCs w:val="20"/>
          <w:color w:val="auto"/>
        </w:rPr>
      </w:pPr>
      <w:r>
        <w:rPr>
          <w:rFonts w:ascii="Times New Roman" w:cs="Times New Roman" w:eastAsia="Times New Roman" w:hAnsi="Times New Roman"/>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75" w:lineRule="exact"/>
        <w:rPr>
          <w:sz w:val="20"/>
          <w:szCs w:val="20"/>
          <w:color w:val="auto"/>
        </w:rPr>
      </w:pPr>
    </w:p>
    <w:p>
      <w:pPr>
        <w:ind w:left="340" w:right="260"/>
        <w:spacing w:after="0" w:line="281" w:lineRule="auto"/>
        <w:rPr>
          <w:sz w:val="20"/>
          <w:szCs w:val="20"/>
          <w:color w:val="auto"/>
        </w:rPr>
      </w:pPr>
      <w:r>
        <w:rPr>
          <w:rFonts w:ascii="Times New Roman" w:cs="Times New Roman" w:eastAsia="Times New Roman" w:hAnsi="Times New Roman"/>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2027 annual meeting of stockholders is between January 6, 2027 and February 5, 2027.</w:t>
      </w:r>
    </w:p>
    <w:p>
      <w:pPr>
        <w:spacing w:after="0" w:line="69" w:lineRule="exact"/>
        <w:rPr>
          <w:sz w:val="20"/>
          <w:szCs w:val="20"/>
          <w:color w:val="auto"/>
        </w:rPr>
      </w:pPr>
    </w:p>
    <w:p>
      <w:pPr>
        <w:jc w:val="both"/>
        <w:ind w:left="340" w:right="160"/>
        <w:spacing w:after="0" w:line="281" w:lineRule="auto"/>
        <w:rPr>
          <w:sz w:val="20"/>
          <w:szCs w:val="20"/>
          <w:color w:val="auto"/>
        </w:rPr>
      </w:pPr>
      <w:r>
        <w:rPr>
          <w:rFonts w:ascii="Times New Roman" w:cs="Times New Roman" w:eastAsia="Times New Roman" w:hAnsi="Times New Roman"/>
          <w:sz w:val="16"/>
          <w:szCs w:val="16"/>
          <w:color w:val="auto"/>
        </w:rPr>
        <w:t>In addition to satisfying the requirements under our bylaws described above, to comply with the “universal proxy rules” stockholders who intend to solicit proxies in support of director nominees other than the Company’s nominees at the 2027 Annual Meeting must provided notice that sets forth the information required by Rule 14a-19 under the Exchange Act no later than April 6, 2027.</w:t>
      </w:r>
    </w:p>
    <w:p>
      <w:pPr>
        <w:spacing w:after="0" w:line="69" w:lineRule="exact"/>
        <w:rPr>
          <w:sz w:val="20"/>
          <w:szCs w:val="20"/>
          <w:color w:val="auto"/>
        </w:rPr>
      </w:pPr>
    </w:p>
    <w:p>
      <w:pPr>
        <w:ind w:left="340" w:right="240"/>
        <w:spacing w:after="0" w:line="298" w:lineRule="auto"/>
        <w:rPr>
          <w:sz w:val="20"/>
          <w:szCs w:val="20"/>
          <w:color w:val="auto"/>
        </w:rPr>
      </w:pPr>
      <w:r>
        <w:rPr>
          <w:rFonts w:ascii="Times New Roman" w:cs="Times New Roman" w:eastAsia="Times New Roman" w:hAnsi="Times New Roman"/>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54"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6"/>
          <w:szCs w:val="16"/>
          <w:i w:val="1"/>
          <w:iCs w:val="1"/>
          <w:color w:val="auto"/>
        </w:rPr>
        <w:t>Recommendation of director candidates</w:t>
      </w:r>
      <w:r>
        <w:rPr>
          <w:rFonts w:ascii="Times New Roman" w:cs="Times New Roman" w:eastAsia="Times New Roman" w:hAnsi="Times New Roman"/>
          <w:sz w:val="16"/>
          <w:szCs w:val="16"/>
          <w:color w:val="auto"/>
        </w:rPr>
        <w:t>—You may recommend candidates to our Board of Directors for consideration by our Nominating and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Governance Committee by following the procedures set forth below in “Corporate Governance—Stockholder Recommendations for Nominations to the Board of Directors.”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All notices of proposals by stockholders, whether or not included in Axsome’s proxy materials, should be sent to our principal executive offices, Attention:</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13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How may I obtain a copy of the bylaw provisions regarding stockholder proposals and director nominations?</w:t>
      </w:r>
    </w:p>
    <w:p>
      <w:pPr>
        <w:spacing w:after="0" w:line="142" w:lineRule="exact"/>
        <w:rPr>
          <w:sz w:val="20"/>
          <w:szCs w:val="20"/>
          <w:color w:val="auto"/>
        </w:rPr>
      </w:pPr>
    </w:p>
    <w:p>
      <w:pPr>
        <w:ind w:left="340" w:right="220" w:hanging="332"/>
        <w:spacing w:after="0" w:line="281"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Proxy Materials</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If multiple members of my household are stockholders, why did we only receive one full set of proxy materials in the mail?</w:t>
      </w:r>
    </w:p>
    <w:p>
      <w:pPr>
        <w:spacing w:after="0" w:line="142" w:lineRule="exact"/>
        <w:rPr>
          <w:sz w:val="20"/>
          <w:szCs w:val="20"/>
          <w:color w:val="auto"/>
        </w:rPr>
      </w:pPr>
    </w:p>
    <w:p>
      <w:pPr>
        <w:ind w:left="340" w:right="120" w:hanging="332"/>
        <w:spacing w:after="0" w:line="269"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Q:</w:t>
        <w:tab/>
        <w:t>What is the mailing address for Axsome’s principal executive offices?</w:t>
      </w:r>
    </w:p>
    <w:p>
      <w:pPr>
        <w:spacing w:after="0" w:line="115" w:lineRule="exact"/>
        <w:rPr>
          <w:sz w:val="20"/>
          <w:szCs w:val="20"/>
          <w:color w:val="auto"/>
        </w:rPr>
      </w:pPr>
    </w:p>
    <w:p>
      <w:pPr>
        <w:ind w:left="340" w:right="180" w:hanging="332"/>
        <w:spacing w:after="0" w:line="259"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principal executive offices are located at One World Trade Center, 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New York, New York 10007. The telephone number at that location is (212) 332-3241.</w:t>
      </w:r>
    </w:p>
    <w:p>
      <w:pPr>
        <w:spacing w:after="0" w:line="81" w:lineRule="exact"/>
        <w:rPr>
          <w:rFonts w:ascii="Times New Roman" w:cs="Times New Roman" w:eastAsia="Times New Roman" w:hAnsi="Times New Roman"/>
          <w:sz w:val="16"/>
          <w:szCs w:val="16"/>
          <w:color w:val="auto"/>
        </w:rPr>
      </w:pPr>
    </w:p>
    <w:p>
      <w:pPr>
        <w:ind w:left="340" w:right="5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requests for additional information, copies of the proxy materials and 2025 Annual Report, notices of stockholder proposals, recommendations for candidates to our Board of Directors, communications to our Board of Directors or any other communications should be sent to the address above.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Annual Reports</w:t>
      </w:r>
    </w:p>
    <w:p>
      <w:pPr>
        <w:spacing w:after="0" w:line="127"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6"/>
          <w:szCs w:val="16"/>
          <w:b w:val="1"/>
          <w:bCs w:val="1"/>
          <w:color w:val="auto"/>
        </w:rPr>
        <w:t>This proxy statement is accompanied by our 2025 Annual Report to Stockholders, which includes our Annual Report on Form 10-K for the fiscal year ended December 31, 2025. The Form 10-K includes our audited financial statements. We have filed the Form 10-K with the SEC, and it is available free of charge at the SEC’s website at www.sec.gov and on our website at www.axsome.com. In addition, upon written request to the Company’s Corporate Secretary at 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 New York, New York 10007, we will mail a paper copy of our Form 10-K, including the financial statements and the financial statement schedules, to you free of charge.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their respective successor is duly elected and qualified or until their earlier death or resignation. This classification of the Board of Directors into three classes with staggered three-year terms may have the effect of delaying or preventing changes in our control or management. The term of office of our Class II directors, Mark Saad and Susan Mahony, Ph.D., MBA, will expire at this year’s Annual Meeting. Your proxy cannot be voted for a greater number of persons than the number of nominees named in this proxy statement.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Regarding the Nominees and Other Directors</w:t>
      </w:r>
    </w:p>
    <w:p>
      <w:pPr>
        <w:spacing w:after="0" w:line="1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i w:val="1"/>
          <w:iCs w:val="1"/>
          <w:color w:val="auto"/>
        </w:rPr>
        <w:t>Nominees for Class II Directors for Term Expiring in 2029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13"/>
                <w:szCs w:val="13"/>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Mark Saad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Mr. Saad has been a member of our Board of Directors since December 2014.</w:t>
            </w:r>
          </w:p>
        </w:tc>
      </w:tr>
      <w:tr>
        <w:trPr>
          <w:trHeight w:val="30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Mr. Saad has served as the CEO of NuLids, LLC, a portfolio company of Alethea Capital Management, LLC, an asset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firm based in Seattle for which he also serves as an advisor, since 2018. Between 2014 and 2017, he served 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Chief Financial Officer of Bird Rock Bio, Inc., a clinical stage biopharmaceutical company focused on developing</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innovative immuno-inflammatory regulators.</w:t>
            </w:r>
          </w:p>
        </w:tc>
      </w:tr>
      <w:tr>
        <w:trPr>
          <w:trHeight w:val="31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Previously, he served as Chief Financial Officer of Cytori Therapeutics (“Cytori”) from 2004 to 2014, where he was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responsible for finance and accounting, business development, and other operating functions. Prior to Cytori, he served 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Director of UBS Investment Bank, where he was the Chief Operating Officer of the Global Healthcare Group.</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 to UBS, he was part of the Health Care Investment Banking Group at Salomon Smith Barney. Mr. Saad currently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serves on the Board of Directors of multiple private healthcare companies. Mr. Saad holds a Bachelor of Arts Degree from</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Villanova University.</w:t>
            </w:r>
          </w:p>
        </w:tc>
      </w:tr>
      <w:tr>
        <w:trPr>
          <w:trHeight w:val="31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Susan Mahony, Ph.D., MBA</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61</w:t>
            </w: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Dr. Mahony has been a member of our board of directors since October 2023.</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Dr. Mahony was formerly Senior Vice President of Eli Lilly and Company (“Lilly”) from 2009 to 2011 and President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Lilly Oncology from 2011 to 2018, where under her leadership, the business unit evolved from one to five marketed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medicines. At Lilly, she held leadership positions and led organizations in Europe, the United States, Canada, Japan, and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China. She also led the global development and launches of several products, including duloxetine for depression and pain.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 to Lilly, Dr. Mahony led commercial activities for Bristol Myers Squibb’s cardiovascular business and worked in sales</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marketing at Amgen and Schering Plough. Dr. Mahony earned her Bachelor of Science in Pharmacy, and her Doctor of</w:t>
            </w:r>
          </w:p>
        </w:tc>
      </w:tr>
    </w:tbl>
    <w:p>
      <w:pPr>
        <w:ind w:left="3160" w:right="20"/>
        <w:spacing w:after="0" w:line="268" w:lineRule="auto"/>
        <w:rPr>
          <w:sz w:val="20"/>
          <w:szCs w:val="20"/>
          <w:color w:val="auto"/>
        </w:rPr>
      </w:pPr>
      <w:r>
        <w:rPr>
          <w:rFonts w:ascii="Times New Roman" w:cs="Times New Roman" w:eastAsia="Times New Roman" w:hAnsi="Times New Roman"/>
          <w:sz w:val="16"/>
          <w:szCs w:val="16"/>
          <w:color w:val="auto"/>
        </w:rPr>
        <w:t>Philosophy in Oncology from the University of Aston, UK. She also earned her Master of Business Administration from the London School of Business. Dr. Mahony previously served on the board of directors of Horizon Therapeutics from 2019 until its acquisition by Amgen in October 2023, and Vifor Pharma from 2019 until its acquisition by CSL Limited in August 2022. She currently serves on the board of directors of two public companies, Zymeworks Inc. and Assembly Biosciences, and several private companies, including, Catalent, Inc., a subsidiary of Novo Holdings A/S. Dr. Mahony also serves on the board of directors of the Chordoma Foundation, a nonprofit dedicated to improving the lives of people affected by chordoma.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CLASS II NOMINEES NAMED ABOVE</w:t>
      </w:r>
    </w:p>
    <w:p>
      <w:pPr>
        <w:spacing w:after="0" w:line="12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 Director Whose Term Expires in 2028</w:t>
            </w:r>
          </w:p>
        </w:tc>
      </w:tr>
      <w:tr>
        <w:trPr>
          <w:trHeight w:val="249"/>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1"/>
                <w:szCs w:val="21"/>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Roger Jeffs, Ph.D.</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has been a member of our Board of Directors since December 2014.</w:t>
            </w:r>
          </w:p>
        </w:tc>
      </w:tr>
      <w:tr>
        <w:trPr>
          <w:trHeight w:val="30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Dr. Jeffs has served as the Chief Executive Officer of Liquidia Corporation since January 2022. Dr. Jeffs is also the Co-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Founder and Vice Chairman of Kriya Therapeutics, a gene therapy company. Dr. Jeffs was previously at United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Therapeutics Corporation where he worked for 18 years until 2016. Dr. Jeffs joined United Therapeutics Corporation during</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its inception phase in 1998 as Director of Research, Development, and Medical and served as its President and Chief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Officer from 2001 to 2014, and President and co-CEO from 2015 to 2016, and was a member of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Directors from 2001 through 2016. While at United Therapeutics, Dr. Jeffs helped lead the company’s initial public</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offering, oversaw the clinical development and regulatory approval of 6 products for rare diseases, and managed the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effort that led to a consistent &gt;20% CAGR and $1.5B revenue run rate. United Therapeutics was consistently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recognized as one of the fastest growing companies and best places to work during his tenure. Dr. Jeffs previously held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positions at Amgen, Inc. and Burroughs Wellcome Co. where he held roles in clinical development.</w:t>
            </w:r>
          </w:p>
        </w:tc>
      </w:tr>
      <w:tr>
        <w:trPr>
          <w:trHeight w:val="31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Dr. Jeffs currently serves on the Board of Directors of Liquidia Corporation, and previously served on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Directors of Albireo Pharma, Axovant Gene Therapies, Dova Pharmaceuticals and Sangamo Therapeutics. Dr. Jeffs holds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 undergraduate degree in chemistry from Duke University and a Ph.D. in pharmacology from the University of North</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Carolina School of Medicine. Dr. Jeffs’ scientific background and business experience, coupled with his experience as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executive officer of a publicly-traded biotechnology company, provides him with the qualifications and skills to serve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on our board.</w:t>
            </w:r>
          </w:p>
        </w:tc>
      </w:tr>
      <w:tr>
        <w:trPr>
          <w:trHeight w:val="311"/>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III Directors Whose Terms Expire in 2027</w:t>
            </w:r>
          </w:p>
        </w:tc>
      </w:tr>
      <w:tr>
        <w:trPr>
          <w:trHeight w:val="316"/>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4"/>
                <w:szCs w:val="24"/>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182"/>
        </w:trPr>
        <w:tc>
          <w:tcPr>
            <w:tcW w:w="2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tcPr>
          <w:p>
            <w:pPr>
              <w:spacing w:after="0"/>
              <w:rPr>
                <w:sz w:val="15"/>
                <w:szCs w:val="15"/>
                <w:color w:val="auto"/>
              </w:rPr>
            </w:pPr>
          </w:p>
        </w:tc>
        <w:tc>
          <w:tcPr>
            <w:tcW w:w="8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Dr. Tabuteau has served as our founder, Chief Executive Officer, President and Chairman of our Board of Directors since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our founding in January 2012. He is also the founder of Antecip Capital LLC (formerly Versant Capital Management LLC),</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one of our principal stockholders, for which Dr. Tabuteau has been the managing member since 2003. Dr. Tabuteau is also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managing member of Antecip Bioventures II LLC. Prior to founding our company, Dr. Tabuteau was a Senior Analyst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Partner at Healthco/S.A.C. Capital (now known as HealthCor) where he was responsible for the biotechnology,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genomics, and instrumentation portfolios. Previously, Dr. Tabuteau was the healthcare analyst at Kingdon Capital. Prior to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that position, Dr. Tabuteau was a Senior Research Analyst at Bank of America Securities covering the hospital supplies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sector. Prior to Bank of America, Dr. Tabuteau was part of the healthcare investment banking group at Goldman Sachs. Dr.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Tabuteau earned his M.D. from Yale University School of Medicine and his Bachelor of Arts in molecular biology and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biochemistry from Wesleyan University.</w:t>
            </w:r>
          </w:p>
        </w:tc>
      </w:tr>
      <w:tr>
        <w:trPr>
          <w:trHeight w:val="31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Mark Coleman, M.D.</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58</w:t>
            </w: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Dr. Coleman has been a member of our Board of Directors since December 2014. In addition, from 2012 to 2014, Dr.</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Coleman served as a consultant to us. Dr. Coleman is currently the Medical Director of the Pikesville office of National</w:t>
            </w:r>
          </w:p>
        </w:tc>
      </w:tr>
    </w:tbl>
    <w:p>
      <w:pPr>
        <w:ind w:left="3160" w:right="20"/>
        <w:spacing w:after="0" w:line="276" w:lineRule="auto"/>
        <w:rPr>
          <w:sz w:val="20"/>
          <w:szCs w:val="20"/>
          <w:color w:val="auto"/>
        </w:rPr>
      </w:pPr>
      <w:r>
        <w:rPr>
          <w:rFonts w:ascii="Times New Roman" w:cs="Times New Roman" w:eastAsia="Times New Roman" w:hAnsi="Times New Roman"/>
          <w:sz w:val="16"/>
          <w:szCs w:val="16"/>
          <w:color w:val="auto"/>
        </w:rPr>
        <w:t>Spine and Pain Centers (“NSPC”), one of the nation’s largest interventional pain management groups, a position he has held since 1999. Dr. Coleman was formerly the President and then Director of Clinical Services of NSPC. Dr. Coleman is a Diplomat of the American Board of Anesthesiology in Anesthesiology and Pain Management.</w:t>
      </w:r>
    </w:p>
    <w:p>
      <w:pPr>
        <w:spacing w:after="0" w:line="86" w:lineRule="exact"/>
        <w:rPr>
          <w:sz w:val="20"/>
          <w:szCs w:val="20"/>
          <w:color w:val="auto"/>
        </w:rPr>
      </w:pPr>
    </w:p>
    <w:p>
      <w:pPr>
        <w:jc w:val="both"/>
        <w:ind w:left="3160" w:right="660"/>
        <w:spacing w:after="0" w:line="281" w:lineRule="auto"/>
        <w:rPr>
          <w:sz w:val="20"/>
          <w:szCs w:val="20"/>
          <w:color w:val="auto"/>
        </w:rPr>
      </w:pPr>
      <w:r>
        <w:rPr>
          <w:rFonts w:ascii="Times New Roman" w:cs="Times New Roman" w:eastAsia="Times New Roman" w:hAnsi="Times New Roman"/>
          <w:sz w:val="16"/>
          <w:szCs w:val="16"/>
          <w:color w:val="auto"/>
        </w:rPr>
        <w:t>In 2021, Dr. Coleman joined the Board of Directors of Enalare Therapeutics, a privately held company developing respiratory stimulants for the emergency and critical care setting. Dr. Coleman holds an M.D. from Johns Hopkins University School of Medicine and received his undergraduate degree from Wesleyan University.</w:t>
      </w:r>
    </w:p>
    <w:p>
      <w:pPr>
        <w:spacing w:after="0" w:line="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 See “Corporate Governance” below for additional information regarding our Board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129"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The tables below provide certain highlights of the composition of our Board of Directors. Our Board of Directors is committed to having a diversified board, including diversity of thought, background and experience, and diversity of personal characteristics such as gender identity, race, ethnicity and sexual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059295" cy="158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9295" cy="158115"/>
                    </a:xfrm>
                    <a:prstGeom prst="rect">
                      <a:avLst/>
                    </a:prstGeom>
                    <a:noFill/>
                  </pic:spPr>
                </pic:pic>
              </a:graphicData>
            </a:graphic>
          </wp:anchor>
        </w:drawing>
      </w:r>
    </w:p>
    <w:p>
      <w:pPr>
        <w:spacing w:after="0" w:line="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24, 2026)</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60" w:type="dxa"/>
            <w:vAlign w:val="bottom"/>
            <w:tcBorders>
              <w:top w:val="single" w:sz="8" w:color="auto"/>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218"/>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Male</w:t>
            </w:r>
          </w:p>
        </w:tc>
        <w:tc>
          <w:tcPr>
            <w:tcW w:w="148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09"/>
        </w:trPr>
        <w:tc>
          <w:tcPr>
            <w:tcW w:w="3960" w:type="dxa"/>
            <w:vAlign w:val="bottom"/>
            <w:tcBorders>
              <w:top w:val="single" w:sz="8" w:color="CFF0FC"/>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186"/>
        </w:trPr>
        <w:tc>
          <w:tcPr>
            <w:tcW w:w="3960" w:type="dxa"/>
            <w:vAlign w:val="bottom"/>
            <w:tcBorders>
              <w:left w:val="single" w:sz="8" w:color="auto"/>
              <w:bottom w:val="single" w:sz="8" w:color="auto"/>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3"/>
        </w:trPr>
        <w:tc>
          <w:tcPr>
            <w:tcW w:w="396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80" w:type="dxa"/>
            <w:vAlign w:val="bottom"/>
            <w:tcBorders>
              <w:bottom w:val="single" w:sz="8" w:color="auto"/>
              <w:right w:val="single" w:sz="8" w:color="auto"/>
            </w:tcBorders>
            <w:shd w:val="clear" w:color="auto" w:fill="CFF0FC"/>
          </w:tcPr>
          <w:p>
            <w:pPr>
              <w:spacing w:after="0"/>
              <w:rPr>
                <w:sz w:val="17"/>
                <w:szCs w:val="17"/>
                <w:color w:val="auto"/>
              </w:rPr>
            </w:pPr>
          </w:p>
        </w:tc>
        <w:tc>
          <w:tcPr>
            <w:tcW w:w="278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13"/>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180"/>
        </w:trPr>
        <w:tc>
          <w:tcPr>
            <w:tcW w:w="396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059295"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9295" cy="158750"/>
                    </a:xfrm>
                    <a:prstGeom prst="rect">
                      <a:avLst/>
                    </a:prstGeom>
                    <a:noFill/>
                  </pic:spPr>
                </pic:pic>
              </a:graphicData>
            </a:graphic>
          </wp:anchor>
        </w:drawing>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25, 2025)</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60" w:type="dxa"/>
            <w:vAlign w:val="bottom"/>
            <w:tcBorders>
              <w:top w:val="single" w:sz="8" w:color="auto"/>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218"/>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Male</w:t>
            </w:r>
          </w:p>
        </w:tc>
        <w:tc>
          <w:tcPr>
            <w:tcW w:w="148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09"/>
        </w:trPr>
        <w:tc>
          <w:tcPr>
            <w:tcW w:w="3960" w:type="dxa"/>
            <w:vAlign w:val="bottom"/>
            <w:tcBorders>
              <w:top w:val="single" w:sz="8" w:color="CFF0FC"/>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186"/>
        </w:trPr>
        <w:tc>
          <w:tcPr>
            <w:tcW w:w="3960" w:type="dxa"/>
            <w:vAlign w:val="bottom"/>
            <w:tcBorders>
              <w:left w:val="single" w:sz="8" w:color="auto"/>
              <w:bottom w:val="single" w:sz="8" w:color="auto"/>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3"/>
        </w:trPr>
        <w:tc>
          <w:tcPr>
            <w:tcW w:w="396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80" w:type="dxa"/>
            <w:vAlign w:val="bottom"/>
            <w:tcBorders>
              <w:bottom w:val="single" w:sz="8" w:color="auto"/>
              <w:right w:val="single" w:sz="8" w:color="auto"/>
            </w:tcBorders>
            <w:shd w:val="clear" w:color="auto" w:fill="CFF0FC"/>
          </w:tcPr>
          <w:p>
            <w:pPr>
              <w:spacing w:after="0"/>
              <w:rPr>
                <w:sz w:val="17"/>
                <w:szCs w:val="17"/>
                <w:color w:val="auto"/>
              </w:rPr>
            </w:pPr>
          </w:p>
        </w:tc>
        <w:tc>
          <w:tcPr>
            <w:tcW w:w="278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13"/>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180"/>
        </w:trPr>
        <w:tc>
          <w:tcPr>
            <w:tcW w:w="396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TWO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THE APPOINTMENT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40" w:firstLine="749"/>
        <w:spacing w:after="0" w:line="298" w:lineRule="auto"/>
        <w:rPr>
          <w:sz w:val="20"/>
          <w:szCs w:val="20"/>
          <w:color w:val="auto"/>
        </w:rPr>
      </w:pPr>
      <w:r>
        <w:rPr>
          <w:rFonts w:ascii="Times New Roman" w:cs="Times New Roman" w:eastAsia="Times New Roman" w:hAnsi="Times New Roman"/>
          <w:sz w:val="16"/>
          <w:szCs w:val="16"/>
          <w:color w:val="auto"/>
        </w:rPr>
        <w:t>Our Audit Committee has appointed the firm of Deloitte &amp; Touche LLP (“Deloitte”), independent registered public accountants, to audit our financial statements for the year ending December 31, 2026. Deloitte has been our auditor since June 30, 2023.</w:t>
      </w:r>
    </w:p>
    <w:p>
      <w:pPr>
        <w:spacing w:after="0" w:line="56"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Deloitte as our independent registered public accounting firm for the year ending December 31, 2026. Our Audit Committee is submitting the selection of Deloitte to our stockholders because we value our stockholders’ views on our independent registered public accounting firm and as a matter of good corporate governance. Representatives of Deloitte will be present at the Annual Meeting, and they will have an opportunity to make statements and will be available to respond to appropriate questions from stockholders.</w:t>
      </w:r>
    </w:p>
    <w:p>
      <w:pPr>
        <w:spacing w:after="0" w:line="76" w:lineRule="exact"/>
        <w:rPr>
          <w:sz w:val="20"/>
          <w:szCs w:val="20"/>
          <w:color w:val="auto"/>
        </w:rPr>
      </w:pPr>
    </w:p>
    <w:p>
      <w:pPr>
        <w:ind w:right="60" w:firstLine="749"/>
        <w:spacing w:after="0" w:line="405" w:lineRule="auto"/>
        <w:rPr>
          <w:sz w:val="20"/>
          <w:szCs w:val="20"/>
          <w:color w:val="auto"/>
        </w:rPr>
      </w:pPr>
      <w:r>
        <w:rPr>
          <w:rFonts w:ascii="Times New Roman" w:cs="Times New Roman" w:eastAsia="Times New Roman" w:hAnsi="Times New Roman"/>
          <w:sz w:val="16"/>
          <w:szCs w:val="16"/>
          <w:color w:val="auto"/>
        </w:rPr>
        <w:t xml:space="preserve">If this proposal does not receive the affirmative approval of a majority of the votes cast on the proposal, the Audit Committee would reconsider the appointment. </w:t>
      </w:r>
      <w:r>
        <w:rPr>
          <w:rFonts w:ascii="Times New Roman" w:cs="Times New Roman" w:eastAsia="Times New Roman" w:hAnsi="Times New Roman"/>
          <w:sz w:val="16"/>
          <w:szCs w:val="16"/>
          <w:b w:val="1"/>
          <w:bCs w:val="1"/>
          <w:color w:val="auto"/>
        </w:rPr>
        <w:t>Principal Accounting Fees and Services</w:t>
      </w:r>
    </w:p>
    <w:p>
      <w:pPr>
        <w:ind w:right="340" w:firstLine="749"/>
        <w:spacing w:after="0" w:line="298" w:lineRule="auto"/>
        <w:rPr>
          <w:sz w:val="20"/>
          <w:szCs w:val="20"/>
          <w:color w:val="auto"/>
        </w:rPr>
      </w:pPr>
      <w:r>
        <w:rPr>
          <w:rFonts w:ascii="Times New Roman" w:cs="Times New Roman" w:eastAsia="Times New Roman" w:hAnsi="Times New Roman"/>
          <w:sz w:val="16"/>
          <w:szCs w:val="16"/>
          <w:color w:val="auto"/>
        </w:rPr>
        <w:t>The following table sets forth all fees paid or accrued by us for professional audit services and other services rendered by Deloitte &amp; Touche LLP during the years ended December 31,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5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2,002,568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1,591,189</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4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7"/>
                <w:szCs w:val="17"/>
                <w:color w:val="auto"/>
              </w:rPr>
            </w:pPr>
          </w:p>
        </w:tc>
      </w:tr>
      <w:tr>
        <w:trPr>
          <w:trHeight w:val="23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Fees</w:t>
            </w:r>
          </w:p>
        </w:tc>
        <w:tc>
          <w:tcPr>
            <w:tcW w:w="5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2,004,631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1,593,252</w:t>
            </w:r>
          </w:p>
        </w:tc>
        <w:tc>
          <w:tcPr>
            <w:tcW w:w="100" w:type="dxa"/>
            <w:vAlign w:val="bottom"/>
            <w:shd w:val="clear" w:color="auto" w:fill="CFF0FC"/>
          </w:tcPr>
          <w:p>
            <w:pPr>
              <w:spacing w:after="0"/>
              <w:rPr>
                <w:sz w:val="20"/>
                <w:szCs w:val="20"/>
                <w:color w:val="auto"/>
              </w:rPr>
            </w:pPr>
          </w:p>
        </w:tc>
      </w:tr>
      <w:tr>
        <w:trPr>
          <w:trHeight w:val="102"/>
        </w:trPr>
        <w:tc>
          <w:tcPr>
            <w:tcW w:w="3000" w:type="dxa"/>
            <w:vAlign w:val="bottom"/>
            <w:tcBorders>
              <w:top w:val="single" w:sz="8" w:color="CFF0FC"/>
              <w:bottom w:val="single" w:sz="8" w:color="auto"/>
            </w:tcBorders>
          </w:tcPr>
          <w:p>
            <w:pPr>
              <w:spacing w:after="0"/>
              <w:rPr>
                <w:sz w:val="8"/>
                <w:szCs w:val="8"/>
                <w:color w:val="auto"/>
              </w:rPr>
            </w:pPr>
          </w:p>
        </w:tc>
        <w:tc>
          <w:tcPr>
            <w:tcW w:w="4740" w:type="dxa"/>
            <w:vAlign w:val="bottom"/>
            <w:tcBorders>
              <w:top w:val="single" w:sz="8" w:color="CFF0FC"/>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-93980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27"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professional services provided by Deloitte &amp; Touche LLP in connection with the audit of our financial statements, review of our quarterly financial statements, and related services that are normally provided in connection with statutory and regulatory filings or engagements.</w:t>
      </w:r>
    </w:p>
    <w:p>
      <w:pPr>
        <w:spacing w:after="0" w:line="1" w:lineRule="exact"/>
        <w:rPr>
          <w:rFonts w:ascii="Times New Roman" w:cs="Times New Roman" w:eastAsia="Times New Roman" w:hAnsi="Times New Roman"/>
          <w:sz w:val="13"/>
          <w:szCs w:val="13"/>
          <w:color w:val="auto"/>
        </w:rPr>
      </w:pPr>
    </w:p>
    <w:p>
      <w:pPr>
        <w:ind w:left="380" w:right="320" w:hanging="372"/>
        <w:spacing w:after="0" w:line="216"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fees for assurance and related services that are reasonably related to the performance of the audit or review of our financial statements, including, but not limited to, the review of registration statements.</w:t>
      </w:r>
    </w:p>
    <w:p>
      <w:pPr>
        <w:ind w:left="380" w:right="220" w:hanging="372"/>
        <w:spacing w:after="0" w:line="216"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ind w:left="380" w:hanging="372"/>
        <w:spacing w:after="0"/>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Consist of the aggregate fees billed for any other products and services performed by the principal accountant.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129" w:lineRule="exact"/>
        <w:rPr>
          <w:sz w:val="20"/>
          <w:szCs w:val="20"/>
          <w:color w:val="auto"/>
        </w:rPr>
      </w:pPr>
    </w:p>
    <w:p>
      <w:pPr>
        <w:ind w:right="100" w:firstLine="749"/>
        <w:spacing w:after="0" w:line="271" w:lineRule="auto"/>
        <w:rPr>
          <w:sz w:val="20"/>
          <w:szCs w:val="20"/>
          <w:color w:val="auto"/>
        </w:rPr>
      </w:pPr>
      <w:r>
        <w:rPr>
          <w:rFonts w:ascii="Times New Roman" w:cs="Times New Roman" w:eastAsia="Times New Roman" w:hAnsi="Times New Roman"/>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the charter of our Audit Committee requires that the Audit Committee pre-approve all audit and permissible non-audit services provided by the independent registered public accounting firm. The chair of the Audit Committee has been delegated authority to pre-approve audit and permissible non-audit services between meetings of the Audit Committee. Any service that is approved pursuant to the delegation is reported to the Full Audit Committee at its next scheduled meeting. These services may include audit services, audit-related services, tax services and other services. All audit and non-audit fees were approved by the Audit Committee in 2025.</w:t>
      </w:r>
    </w:p>
    <w:p>
      <w:pPr>
        <w:spacing w:after="0" w:line="290" w:lineRule="exact"/>
        <w:rPr>
          <w:sz w:val="20"/>
          <w:szCs w:val="20"/>
          <w:color w:val="auto"/>
        </w:rPr>
      </w:pPr>
    </w:p>
    <w:p>
      <w:pPr>
        <w:jc w:val="cente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RATIFICATION OF THE APPOINTMENT OF DELOITTE &amp; TOUCHE LLP AS OUR INDEPENDENT REGISTERED PUBLIC ACCOUNTING FIRM FOR THE YEAR ENDING DECEMBER 31, 2026.</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PROPOSAL THREE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ADVISORY VOTE ON THE COMPENSATION OF</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OUR NAMED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200" w:firstLine="374"/>
        <w:spacing w:after="0" w:line="275"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provides the Company’s stockholders with the opportunity to vote to approve, on an advisory, non-binding basis, the compensation of our named executive officers as disclosed in this proxy statement in accordance with SEC rules. Our Board of Directors determined to follow our stockholders’ recommendations and to include an annual stockholders advisory vote on the compensation of the Company’s named executive officers.</w:t>
      </w:r>
    </w:p>
    <w:p>
      <w:pPr>
        <w:spacing w:after="0" w:line="75" w:lineRule="exact"/>
        <w:rPr>
          <w:sz w:val="20"/>
          <w:szCs w:val="20"/>
          <w:color w:val="auto"/>
        </w:rPr>
      </w:pPr>
    </w:p>
    <w:p>
      <w:pPr>
        <w:ind w:right="340" w:firstLine="374"/>
        <w:spacing w:after="0" w:line="298" w:lineRule="auto"/>
        <w:rPr>
          <w:sz w:val="20"/>
          <w:szCs w:val="20"/>
          <w:color w:val="auto"/>
        </w:rPr>
      </w:pPr>
      <w:r>
        <w:rPr>
          <w:rFonts w:ascii="Times New Roman" w:cs="Times New Roman" w:eastAsia="Times New Roman" w:hAnsi="Times New Roman"/>
          <w:sz w:val="16"/>
          <w:szCs w:val="16"/>
          <w:color w:val="auto"/>
        </w:rPr>
        <w:t>We are asking our stockholders to approve, on a non-binding advisory basis, the compensation of our named executive officers, as disclosed in the Compensation Discussion and Analysis section of this proxy statement and the related compensation tables and disclosure.</w:t>
      </w:r>
    </w:p>
    <w:p>
      <w:pPr>
        <w:spacing w:after="0" w:line="56"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spacing w:after="0" w:line="78" w:lineRule="exact"/>
        <w:rPr>
          <w:sz w:val="20"/>
          <w:szCs w:val="20"/>
          <w:color w:val="auto"/>
        </w:rPr>
      </w:pPr>
    </w:p>
    <w:p>
      <w:pPr>
        <w:ind w:right="580" w:firstLine="374"/>
        <w:spacing w:after="0" w:line="298" w:lineRule="auto"/>
        <w:rPr>
          <w:sz w:val="20"/>
          <w:szCs w:val="20"/>
          <w:color w:val="auto"/>
        </w:rPr>
      </w:pPr>
      <w:r>
        <w:rPr>
          <w:rFonts w:ascii="Times New Roman" w:cs="Times New Roman" w:eastAsia="Times New Roman" w:hAnsi="Times New Roman"/>
          <w:sz w:val="16"/>
          <w:szCs w:val="16"/>
          <w:color w:val="auto"/>
        </w:rPr>
        <w:t>Proposal Three,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spacing w:after="0" w:line="56" w:lineRule="exact"/>
        <w:rPr>
          <w:sz w:val="20"/>
          <w:szCs w:val="20"/>
          <w:color w:val="auto"/>
        </w:rPr>
      </w:pPr>
    </w:p>
    <w:p>
      <w:pPr>
        <w:ind w:right="440" w:firstLine="374"/>
        <w:spacing w:after="0" w:line="298" w:lineRule="auto"/>
        <w:rPr>
          <w:sz w:val="20"/>
          <w:szCs w:val="20"/>
          <w:color w:val="auto"/>
        </w:rPr>
      </w:pPr>
      <w:r>
        <w:rPr>
          <w:rFonts w:ascii="Times New Roman" w:cs="Times New Roman" w:eastAsia="Times New Roman" w:hAnsi="Times New Roman"/>
          <w:sz w:val="16"/>
          <w:szCs w:val="16"/>
          <w:color w:val="auto"/>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spacing w:after="0" w:line="56"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6"/>
          <w:szCs w:val="16"/>
          <w:color w:val="auto"/>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spacing w:after="0" w:line="283" w:lineRule="exact"/>
        <w:rPr>
          <w:sz w:val="20"/>
          <w:szCs w:val="20"/>
          <w:color w:val="auto"/>
        </w:rPr>
      </w:pPr>
    </w:p>
    <w:p>
      <w:pPr>
        <w:jc w:val="center"/>
        <w:ind w:left="360" w:right="2400"/>
        <w:spacing w:after="0" w:line="282"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APPROVAL, ON AN ADVISORY BASIS, OF THE COMPENSATION OF OUR NAMED EXECUTIVE OFFICERS.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29"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Business Conduct and Ethics,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29" w:lineRule="exact"/>
        <w:rPr>
          <w:sz w:val="20"/>
          <w:szCs w:val="20"/>
          <w:color w:val="auto"/>
        </w:rPr>
      </w:pPr>
    </w:p>
    <w:p>
      <w:pPr>
        <w:ind w:right="220" w:firstLine="374"/>
        <w:spacing w:after="0" w:line="269" w:lineRule="auto"/>
        <w:rPr>
          <w:sz w:val="20"/>
          <w:szCs w:val="20"/>
          <w:color w:val="auto"/>
        </w:rPr>
      </w:pPr>
      <w:r>
        <w:rPr>
          <w:rFonts w:ascii="Times New Roman" w:cs="Times New Roman" w:eastAsia="Times New Roman" w:hAnsi="Times New Roman"/>
          <w:sz w:val="16"/>
          <w:szCs w:val="16"/>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identity, sexual orientation, or national origin, but also includes diversity of age, background and business experience.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29" w:lineRule="exact"/>
        <w:rPr>
          <w:sz w:val="20"/>
          <w:szCs w:val="20"/>
          <w:color w:val="auto"/>
        </w:rPr>
      </w:pPr>
    </w:p>
    <w:p>
      <w:pPr>
        <w:ind w:right="340" w:firstLine="374"/>
        <w:spacing w:after="0" w:line="275" w:lineRule="auto"/>
        <w:rPr>
          <w:sz w:val="20"/>
          <w:szCs w:val="20"/>
          <w:color w:val="auto"/>
        </w:rPr>
      </w:pPr>
      <w:r>
        <w:rPr>
          <w:rFonts w:ascii="Times New Roman" w:cs="Times New Roman" w:eastAsia="Times New Roman" w:hAnsi="Times New Roman"/>
          <w:sz w:val="16"/>
          <w:szCs w:val="16"/>
          <w:color w:val="auto"/>
        </w:rPr>
        <w:t>Under the listing requirements and rules of The Nasdaq Global Market (“Nasdaq”), independent directors must compose a majority of our Board of Directors. In addition, applicable Nasdaq rules require that, each member of our Audit, Compensation, and Nominating and Corporate Governance Committees must be independent within the meaning of applicable Nasdaq rules. Audit Committee members must also satisfy the heightened independence criteria set forth in Rule 10A-3 under the Exchange Act, as described below.</w:t>
      </w:r>
    </w:p>
    <w:p>
      <w:pPr>
        <w:spacing w:after="0" w:line="75"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78"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6"/>
          <w:szCs w:val="16"/>
          <w:color w:val="auto"/>
        </w:rPr>
        <w:t>As a result of this review, our Board of Directors determined that Dr. Coleman, Dr. Jeffs, Dr. Mahony, and Mr. Saad qualify as “independent” directors within the meaning of the Nasdaq rules.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69"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Dr. Mahony, and Mr. Saad qualify as an independent director pursuant to Rule 10A-3.</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129"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The positions of Chief Executive Officer and Chairman of the Board are both currently held by Dr. Tabuteau. Our Board of Directors has also appointed a Lead Director, Dr. Coleman.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our Board of Directors, and our Company’s strong corporate governance policies and procedures.</w:t>
      </w:r>
    </w:p>
    <w:p>
      <w:pPr>
        <w:spacing w:after="0" w:line="84"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We have a separate chair for each committee of our Board of Directors. The chairs of each committee are expected to report regularly throughout the year to our Board of Directors on the activities of their committee in fulfilling their responsibilities as detailed in their respective charters or specify shortcomings, if any.</w:t>
      </w:r>
    </w:p>
    <w:p>
      <w:pPr>
        <w:spacing w:after="0" w:line="56" w:lineRule="exact"/>
        <w:rPr>
          <w:sz w:val="20"/>
          <w:szCs w:val="20"/>
          <w:color w:val="auto"/>
        </w:rPr>
      </w:pPr>
    </w:p>
    <w:p>
      <w:pPr>
        <w:ind w:right="240" w:firstLine="374"/>
        <w:spacing w:after="0" w:line="298" w:lineRule="auto"/>
        <w:rPr>
          <w:sz w:val="20"/>
          <w:szCs w:val="20"/>
          <w:color w:val="auto"/>
        </w:rPr>
      </w:pPr>
      <w:r>
        <w:rPr>
          <w:rFonts w:ascii="Times New Roman" w:cs="Times New Roman" w:eastAsia="Times New Roman" w:hAnsi="Times New Roman"/>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67"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Dr. Coleman, Dr. Jeffs, Dr. Mahony, and Mr. Saad currently serve on the Audit Committee, which is chaired by Mr. Saad.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2025. The Audit Committee’s responsibilities include:</w:t>
      </w:r>
    </w:p>
    <w:p>
      <w:pPr>
        <w:spacing w:after="0" w:line="7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right="34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overall audit plan with the independent registered public accounting firm and members of management responsible for preparing our financial statements;</w:t>
      </w:r>
    </w:p>
    <w:p>
      <w:pPr>
        <w:spacing w:after="0" w:line="56" w:lineRule="exact"/>
        <w:rPr>
          <w:rFonts w:ascii="Times New Roman" w:cs="Times New Roman" w:eastAsia="Times New Roman" w:hAnsi="Times New Roman"/>
          <w:sz w:val="16"/>
          <w:szCs w:val="16"/>
          <w:color w:val="auto"/>
        </w:rPr>
      </w:pPr>
    </w:p>
    <w:p>
      <w:pPr>
        <w:ind w:left="760" w:right="40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w:t>
      </w:r>
    </w:p>
    <w:p>
      <w:pPr>
        <w:spacing w:after="0" w:line="126" w:lineRule="exact"/>
        <w:rPr>
          <w:rFonts w:ascii="Times New Roman" w:cs="Times New Roman" w:eastAsia="Times New Roman" w:hAnsi="Times New Roman"/>
          <w:sz w:val="16"/>
          <w:szCs w:val="16"/>
          <w:color w:val="auto"/>
        </w:rPr>
      </w:pPr>
    </w:p>
    <w:p>
      <w:pPr>
        <w:ind w:left="760" w:right="12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56" w:lineRule="exact"/>
        <w:rPr>
          <w:rFonts w:ascii="Times New Roman" w:cs="Times New Roman" w:eastAsia="Times New Roman" w:hAnsi="Times New Roman"/>
          <w:sz w:val="16"/>
          <w:szCs w:val="16"/>
          <w:color w:val="auto"/>
        </w:rPr>
      </w:pPr>
    </w:p>
    <w:p>
      <w:pPr>
        <w:ind w:left="760" w:right="38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 and other matters;</w:t>
      </w:r>
    </w:p>
    <w:p>
      <w:pPr>
        <w:spacing w:after="0" w:line="56" w:lineRule="exact"/>
        <w:rPr>
          <w:rFonts w:ascii="Times New Roman" w:cs="Times New Roman" w:eastAsia="Times New Roman" w:hAnsi="Times New Roman"/>
          <w:sz w:val="16"/>
          <w:szCs w:val="16"/>
          <w:color w:val="auto"/>
        </w:rPr>
      </w:pPr>
    </w:p>
    <w:p>
      <w:pPr>
        <w:ind w:left="760" w:right="6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Company’s information security and technology risks (including cybersecurity), and including the Company’s information security and risk management programs;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right="320" w:hanging="378"/>
        <w:spacing w:after="0" w:line="298"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related person transactions for potential conflict of interest situations, approving all such transactions, and keeping our independent registered public accounting firm aware of such transactions;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quarterly earnings releases.</w:t>
      </w:r>
    </w:p>
    <w:p>
      <w:pPr>
        <w:spacing w:after="0" w:line="125"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Dr. Coleman, Dr. Jeffs, Dr. Mahony, and Mr. Saad currently serve on the Compensation Committee, which is chaired by Dr. Mahony.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five times during the year ended December 31, 2025. The Compensation Committee’s responsibilities include:</w:t>
      </w:r>
    </w:p>
    <w:p>
      <w:pPr>
        <w:spacing w:after="0" w:line="76" w:lineRule="exact"/>
        <w:rPr>
          <w:sz w:val="20"/>
          <w:szCs w:val="20"/>
          <w:color w:val="auto"/>
        </w:rPr>
      </w:pPr>
    </w:p>
    <w:p>
      <w:pPr>
        <w:ind w:left="760" w:right="16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making recommendations to the Board of Directors with respect to corporate goals and objectives relevant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right="2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other executive officers;</w:t>
      </w:r>
    </w:p>
    <w:p>
      <w:pPr>
        <w:spacing w:after="0" w:line="126"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of Directors regarding the compensation of non-employee directors, the components and amounts thereof, and directors’ and officer’s indemnification and insurance matters;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126" w:lineRule="exact"/>
        <w:rPr>
          <w:rFonts w:ascii="Times New Roman" w:cs="Times New Roman" w:eastAsia="Times New Roman" w:hAnsi="Times New Roman"/>
          <w:sz w:val="16"/>
          <w:szCs w:val="16"/>
          <w:color w:val="auto"/>
        </w:rPr>
      </w:pPr>
    </w:p>
    <w:p>
      <w:pPr>
        <w:ind w:left="760" w:right="14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the compensation discussion and analysis to be included in our annual proxy statement or Annual Report on Form 10-K;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third party compensation consultants to review and make recommendations on the compensation of directors, executive officers and other key officers.</w:t>
      </w:r>
    </w:p>
    <w:p>
      <w:pPr>
        <w:spacing w:after="0" w:line="127"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16"/>
          <w:szCs w:val="16"/>
          <w:color w:val="auto"/>
        </w:rPr>
        <w:t>During the fiscal years ended December 31, 2025 and December 31, 2024, our Compensation Committee retained Frederic W. Cook &amp; Co., Inc.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pacing w:after="0" w:line="80" w:lineRule="exact"/>
        <w:rPr>
          <w:sz w:val="20"/>
          <w:szCs w:val="20"/>
          <w:color w:val="auto"/>
        </w:rPr>
      </w:pPr>
    </w:p>
    <w:p>
      <w:pPr>
        <w:ind w:right="20"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Dr. Coleman, Dr. Jeffs, Dr. Mahony, and Mr. Saad currently serve on the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2025. The Nominating and Corporate Governance Committee’s responsibilities include:</w:t>
      </w:r>
    </w:p>
    <w:p>
      <w:pPr>
        <w:spacing w:after="0" w:line="7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criteria for board and committee membership;</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identifying and evaluating board of director candidates, including nominees recommended by stockholders;</w:t>
      </w:r>
    </w:p>
    <w:p>
      <w:pPr>
        <w:spacing w:after="0" w:line="126" w:lineRule="exact"/>
        <w:rPr>
          <w:rFonts w:ascii="Times New Roman" w:cs="Times New Roman" w:eastAsia="Times New Roman" w:hAnsi="Times New Roman"/>
          <w:sz w:val="16"/>
          <w:szCs w:val="16"/>
          <w:color w:val="auto"/>
        </w:rPr>
      </w:pPr>
    </w:p>
    <w:p>
      <w:pPr>
        <w:ind w:left="760" w:right="10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size and composition of the Board of Directors to ensure that it is composed of members containing the appropriate skills and expertise to advise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the persons to be nominated for election as directors and to each of the Board of Director’s committees;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a code of business conduct and ethics and a set of corporate governance guidelines;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corporate governance practices and procedures;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independence standards applicable to members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7"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orientation and continuing education programs for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disclosure policy committee;</w:t>
      </w:r>
    </w:p>
    <w:p>
      <w:pPr>
        <w:spacing w:after="0" w:line="126" w:lineRule="exact"/>
        <w:rPr>
          <w:rFonts w:ascii="Times New Roman" w:cs="Times New Roman" w:eastAsia="Times New Roman" w:hAnsi="Times New Roman"/>
          <w:sz w:val="16"/>
          <w:szCs w:val="16"/>
          <w:color w:val="auto"/>
        </w:rPr>
      </w:pPr>
    </w:p>
    <w:p>
      <w:pPr>
        <w:ind w:left="760" w:right="12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any director resignation letter tendered to the Company and evaluating and recommending to the Board of Directors whether such resignation should be accepted;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Board of Directors corporate succession plans for the chief executive officer and other key officers;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environmental, social, and governance strategy and reporting as well as corporate citizenship matters;</w:t>
      </w:r>
    </w:p>
    <w:p>
      <w:pPr>
        <w:spacing w:after="0" w:line="126" w:lineRule="exact"/>
        <w:rPr>
          <w:rFonts w:ascii="Times New Roman" w:cs="Times New Roman" w:eastAsia="Times New Roman" w:hAnsi="Times New Roman"/>
          <w:sz w:val="16"/>
          <w:szCs w:val="16"/>
          <w:color w:val="auto"/>
        </w:rPr>
      </w:pPr>
    </w:p>
    <w:p>
      <w:pPr>
        <w:ind w:left="760" w:right="22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policies and practices related to human capital management, which may include, but is not limited to, culture, diversity, equity and inclusion, pay equity, and talent management;</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mechanism by which violations of the Code of Business Conduct and Ethics can be reported in a confidential manner;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Board of Directors may from time to time establish other committees.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of the Board of Directors</w:t>
      </w:r>
    </w:p>
    <w:p>
      <w:pPr>
        <w:spacing w:after="0" w:line="129"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6"/>
          <w:szCs w:val="16"/>
          <w:color w:val="auto"/>
        </w:rPr>
        <w:t>The full Board of Directors met five times during the year ended December 31, 2025 and also acted via unanimous written consent multiple times during the year as needed. No director attended fewer than 75% of the total number of meetings of the Board of Directors and of any committees of the Board of Directors of which he or she was a member during our fiscal year ended December 31, 2025.</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It is our policy that directors are invited and encouraged to attend our annual meetings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29" w:lineRule="exact"/>
        <w:rPr>
          <w:sz w:val="20"/>
          <w:szCs w:val="20"/>
          <w:color w:val="auto"/>
        </w:rPr>
      </w:pPr>
    </w:p>
    <w:p>
      <w:pPr>
        <w:ind w:right="60" w:firstLine="374"/>
        <w:spacing w:after="0" w:line="272" w:lineRule="auto"/>
        <w:rPr>
          <w:sz w:val="20"/>
          <w:szCs w:val="20"/>
          <w:color w:val="auto"/>
        </w:rPr>
      </w:pPr>
      <w:r>
        <w:rPr>
          <w:rFonts w:ascii="Times New Roman" w:cs="Times New Roman" w:eastAsia="Times New Roman" w:hAnsi="Times New Roman"/>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8"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regulatory and legal compliance, and cybersecurity; our Compensation Committee oversees major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 to Corporate Responsibility</w:t>
      </w:r>
    </w:p>
    <w:p>
      <w:pPr>
        <w:spacing w:after="0" w:line="129" w:lineRule="exact"/>
        <w:rPr>
          <w:sz w:val="20"/>
          <w:szCs w:val="20"/>
          <w:color w:val="auto"/>
        </w:rPr>
      </w:pPr>
    </w:p>
    <w:p>
      <w:pPr>
        <w:jc w:val="both"/>
        <w:ind w:right="260" w:firstLine="374"/>
        <w:spacing w:after="0" w:line="281" w:lineRule="auto"/>
        <w:rPr>
          <w:sz w:val="20"/>
          <w:szCs w:val="20"/>
          <w:color w:val="auto"/>
        </w:rPr>
      </w:pPr>
      <w:r>
        <w:rPr>
          <w:rFonts w:ascii="Times New Roman" w:cs="Times New Roman" w:eastAsia="Times New Roman" w:hAnsi="Times New Roman"/>
          <w:sz w:val="16"/>
          <w:szCs w:val="16"/>
          <w:color w:val="auto"/>
        </w:rPr>
        <w:t>Axsome’s corporate responsibility is fundamental to our long-term success. It is also now more than ever important to our stakeholders. We have a commitment to environmental, social, and governance (“ESG”) issues. You can learn more about our ESG practices by visiting www.axsome.com/ESG. The Nominating and Corporate Governance Committee has been tasked with responsibility for ESG oversight.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right="40" w:firstLine="374"/>
        <w:spacing w:after="0" w:line="282" w:lineRule="auto"/>
        <w:rPr>
          <w:sz w:val="20"/>
          <w:szCs w:val="20"/>
          <w:color w:val="auto"/>
        </w:rPr>
      </w:pPr>
      <w:r>
        <w:rPr>
          <w:rFonts w:ascii="Times New Roman" w:cs="Times New Roman" w:eastAsia="Times New Roman" w:hAnsi="Times New Roman"/>
          <w:sz w:val="16"/>
          <w:szCs w:val="16"/>
          <w:b w:val="1"/>
          <w:bCs w:val="1"/>
          <w:color w:val="auto"/>
        </w:rPr>
        <w:t>Environmental Factors</w:t>
      </w:r>
      <w:r>
        <w:rPr>
          <w:rFonts w:ascii="Times New Roman" w:cs="Times New Roman" w:eastAsia="Times New Roman" w:hAnsi="Times New Roman"/>
          <w:sz w:val="16"/>
          <w:szCs w:val="16"/>
          <w:color w:val="auto"/>
        </w:rPr>
        <w:t>: As we continue to expand our operations, we have initiated certain projects to begin tracking our environmental impact, and where feasible,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measures to increase our sustainability efforts. Some of our efforts include our commitment to reduce, reuse or recycle where possible or appropriate, and energy efficient projects to lower energy use within our office areas.</w:t>
      </w:r>
    </w:p>
    <w:p>
      <w:pPr>
        <w:spacing w:after="0" w:line="67" w:lineRule="exact"/>
        <w:rPr>
          <w:sz w:val="20"/>
          <w:szCs w:val="20"/>
          <w:color w:val="auto"/>
        </w:rPr>
      </w:pPr>
    </w:p>
    <w:p>
      <w:pPr>
        <w:ind w:right="120" w:firstLine="374"/>
        <w:spacing w:after="0" w:line="271" w:lineRule="auto"/>
        <w:rPr>
          <w:sz w:val="20"/>
          <w:szCs w:val="20"/>
          <w:color w:val="auto"/>
        </w:rPr>
      </w:pPr>
      <w:r>
        <w:rPr>
          <w:rFonts w:ascii="Times New Roman" w:cs="Times New Roman" w:eastAsia="Times New Roman" w:hAnsi="Times New Roman"/>
          <w:sz w:val="16"/>
          <w:szCs w:val="16"/>
          <w:b w:val="1"/>
          <w:bCs w:val="1"/>
          <w:color w:val="auto"/>
        </w:rPr>
        <w:t>Social Factors</w:t>
      </w:r>
      <w:r>
        <w:rPr>
          <w:rFonts w:ascii="Times New Roman" w:cs="Times New Roman" w:eastAsia="Times New Roman" w:hAnsi="Times New Roman"/>
          <w:sz w:val="16"/>
          <w:szCs w:val="16"/>
          <w:color w:val="auto"/>
        </w:rPr>
        <w:t>: Our future performance depends significantly upon the continued service of our key employees and personnel and our continued ability to attract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for our non-sales staff, potential quarterly incentive compensation for our sales staff, stock awards, a 401(k) plan which includes employer contributions, healthcare and insurance benefits, health savings and flexible spending accounts, paid time off, family leave, and flexible work schedules, among other benefits.</w:t>
      </w:r>
    </w:p>
    <w:p>
      <w:pPr>
        <w:spacing w:after="0" w:line="76" w:lineRule="exact"/>
        <w:rPr>
          <w:sz w:val="20"/>
          <w:szCs w:val="20"/>
          <w:color w:val="auto"/>
        </w:rPr>
      </w:pPr>
    </w:p>
    <w:p>
      <w:pPr>
        <w:ind w:right="60" w:firstLine="374"/>
        <w:spacing w:after="0" w:line="269" w:lineRule="auto"/>
        <w:rPr>
          <w:sz w:val="20"/>
          <w:szCs w:val="20"/>
          <w:color w:val="auto"/>
        </w:rPr>
      </w:pPr>
      <w:r>
        <w:rPr>
          <w:rFonts w:ascii="Times New Roman" w:cs="Times New Roman" w:eastAsia="Times New Roman" w:hAnsi="Times New Roman"/>
          <w:sz w:val="16"/>
          <w:szCs w:val="16"/>
          <w:b w:val="1"/>
          <w:bCs w:val="1"/>
          <w:color w:val="auto"/>
        </w:rPr>
        <w:t>Diversity and Inclusion</w:t>
      </w:r>
      <w:r>
        <w:rPr>
          <w:rFonts w:ascii="Times New Roman" w:cs="Times New Roman" w:eastAsia="Times New Roman" w:hAnsi="Times New Roman"/>
          <w:sz w:val="16"/>
          <w:szCs w:val="16"/>
          <w:color w:val="auto"/>
        </w:rPr>
        <w:t>: We strive to invest in and create ongoing opportunities for employee development to ensure a respectful, diverse and inclusive environment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which each team member plays a unique and vital role. It starts at the top, where 40%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committed to building a diverse and inclusive environment for everyone, as we believe this fosters greater innovation and furthers our mission. As of March 30, 2026, women make up approximately 56% of our global workforce and constitute approximately 33% of management. As of March 30, 2026, employees who identify as a member of an underrepresented racial minority group make up approximately 24% of our global workforce and approximately 33% of management (4% of our employees declined to self-identify, or otherwise did not provide us with this information).</w:t>
      </w:r>
    </w:p>
    <w:p>
      <w:pPr>
        <w:spacing w:after="0" w:line="78" w:lineRule="exact"/>
        <w:rPr>
          <w:sz w:val="20"/>
          <w:szCs w:val="20"/>
          <w:color w:val="auto"/>
        </w:rPr>
      </w:pPr>
    </w:p>
    <w:p>
      <w:pPr>
        <w:ind w:firstLine="374"/>
        <w:spacing w:after="0" w:line="273" w:lineRule="auto"/>
        <w:rPr>
          <w:sz w:val="20"/>
          <w:szCs w:val="20"/>
          <w:color w:val="auto"/>
        </w:rPr>
      </w:pPr>
      <w:r>
        <w:rPr>
          <w:rFonts w:ascii="Times New Roman" w:cs="Times New Roman" w:eastAsia="Times New Roman" w:hAnsi="Times New Roman"/>
          <w:sz w:val="16"/>
          <w:szCs w:val="16"/>
          <w:b w:val="1"/>
          <w:bCs w:val="1"/>
          <w:color w:val="auto"/>
        </w:rPr>
        <w:t>Ethics and Corporate Governance</w:t>
      </w:r>
      <w:r>
        <w:rPr>
          <w:rFonts w:ascii="Times New Roman" w:cs="Times New Roman" w:eastAsia="Times New Roman" w:hAnsi="Times New Roman"/>
          <w:sz w:val="16"/>
          <w:szCs w:val="16"/>
          <w:color w:val="auto"/>
        </w:rPr>
        <w:t>: We aspire to maintain the highest ethical standards. All of our employees are required to adhere to our Code of Business Conduct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identity, sexual orientation, national origin, marital status, veteran status, handicap or disability.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are committed to an ongoing focus on ESG issues during 2026 and beyond.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29"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gender identity, sexual orientation, disability or any other basis proscribed by law.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00" w:firstLine="374"/>
        <w:spacing w:after="0" w:line="269" w:lineRule="auto"/>
        <w:rPr>
          <w:sz w:val="20"/>
          <w:szCs w:val="20"/>
          <w:color w:val="auto"/>
        </w:rPr>
      </w:pPr>
      <w:r>
        <w:rPr>
          <w:rFonts w:ascii="Times New Roman" w:cs="Times New Roman" w:eastAsia="Times New Roman" w:hAnsi="Times New Roman"/>
          <w:sz w:val="16"/>
          <w:szCs w:val="16"/>
          <w:color w:val="auto"/>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If elected, these options granted in lieu of cash compensation are immediately vested and exercisable upon grant. Such options in lieu of cash compensation will be granted at the same time as executive officer annual equity grants. Separately, the annual equity retainer grants to the directors will be made on the close of business on the date of the annual meeting. These equity awards will vest in full on the one-year anniversary of the date of the grant. All such equity awards will be made pursuant to our 2025 Long-Term Incentive Plan (the “2025 Plan”). We also reimburse our non-employee directors for their reasonable out-of-pocket expenses incurred in attending board and committee meetings. All retainers are prorated for any portion of a year to which they apply for each non-employee director.</w:t>
      </w:r>
    </w:p>
    <w:p>
      <w:pPr>
        <w:spacing w:after="0" w:line="82"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During our fiscal year ended December 31, 2025, our non-employee directors were granted an annual equity retainer of options to purchase shares of our common stock and restricted stock units (“RSUs”) with a total grant date fair value of $400,000. In addition, during 2025, all non-employee directors other than Dr. Coleman elected to receive equity in lieu of cash compensation. For fiscal year 2026, non-employee directors will continue to have the option to receive equity in lieu of cash compensation. None of the non-employee directors elected to receive equity in lieu of cash compensation for fiscal year 2026.</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From January 1 to June 5, 2025,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10,750</w:t>
            </w:r>
          </w:p>
        </w:tc>
      </w:tr>
    </w:tbl>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Beginning June 6, 2025,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r>
    </w:tbl>
    <w:p>
      <w:pPr>
        <w:spacing w:after="0" w:line="100"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6"/>
          <w:szCs w:val="16"/>
          <w:color w:val="auto"/>
        </w:rPr>
        <w:t>The table below sets forth the compensation earned by each of the Company’s independent directors during fiscal year 2025. Dr. Tabuteau, our Chief Executive Officer and Chairman of our Board of Directors, did not receive any compensation from us during our fiscal year ended December 31, 2025 for his service as a director and is not included in the table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in Cash</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05"/>
              <w:spacing w:after="0" w:line="162" w:lineRule="exact"/>
              <w:rPr>
                <w:sz w:val="20"/>
                <w:szCs w:val="20"/>
                <w:color w:val="auto"/>
              </w:rPr>
            </w:pPr>
            <w:r>
              <w:rPr>
                <w:rFonts w:ascii="Times New Roman" w:cs="Times New Roman" w:eastAsia="Times New Roman" w:hAnsi="Times New Roman"/>
                <w:sz w:val="13"/>
                <w:szCs w:val="13"/>
                <w:b w:val="1"/>
                <w:bCs w:val="1"/>
                <w:color w:val="auto"/>
                <w:w w:val="99"/>
              </w:rPr>
              <w:t>Awards</w:t>
            </w:r>
            <w:r>
              <w:rPr>
                <w:rFonts w:ascii="Times New Roman" w:cs="Times New Roman" w:eastAsia="Times New Roman" w:hAnsi="Times New Roman"/>
                <w:sz w:val="16"/>
                <w:szCs w:val="16"/>
                <w:b w:val="1"/>
                <w:bCs w:val="1"/>
                <w:color w:val="auto"/>
                <w:w w:val="99"/>
                <w:vertAlign w:val="superscript"/>
              </w:rPr>
              <w:t>(1)(2)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5"/>
              <w:spacing w:after="0" w:line="162" w:lineRule="exact"/>
              <w:rPr>
                <w:sz w:val="20"/>
                <w:szCs w:val="20"/>
                <w:color w:val="auto"/>
              </w:rPr>
            </w:pPr>
            <w:r>
              <w:rPr>
                <w:rFonts w:ascii="Times New Roman" w:cs="Times New Roman" w:eastAsia="Times New Roman" w:hAnsi="Times New Roman"/>
                <w:sz w:val="13"/>
                <w:szCs w:val="13"/>
                <w:b w:val="1"/>
                <w:bCs w:val="1"/>
                <w:color w:val="auto"/>
                <w:w w:val="99"/>
              </w:rPr>
              <w:t>Awards</w:t>
            </w:r>
            <w:r>
              <w:rPr>
                <w:rFonts w:ascii="Times New Roman" w:cs="Times New Roman" w:eastAsia="Times New Roman" w:hAnsi="Times New Roman"/>
                <w:sz w:val="16"/>
                <w:szCs w:val="16"/>
                <w:b w:val="1"/>
                <w:bCs w:val="1"/>
                <w:color w:val="auto"/>
                <w:w w:val="99"/>
                <w:vertAlign w:val="superscript"/>
              </w:rPr>
              <w:t>(1)(2)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Coleman, M.D.</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114,834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239,992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(3)</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159,919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3"/>
              </w:rPr>
              <w:t>(3)</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514,745</w:t>
            </w:r>
          </w:p>
        </w:tc>
      </w:tr>
      <w:tr>
        <w:trPr>
          <w:trHeight w:val="20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Roger Jeffs, Ph.D.</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82,451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239,992</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159,919</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(4)</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482,362</w:t>
            </w:r>
          </w:p>
        </w:tc>
      </w:tr>
      <w:tr>
        <w:trPr>
          <w:trHeight w:val="20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Susan Mahony, Ph.D., M.B.A.</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76,559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239,992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159,919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3"/>
              </w:rPr>
              <w:t>(5)</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476,470</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Mark Saad</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88,196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239,992</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(6)</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159,919</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(6)</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488,107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903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3" w:lineRule="exact"/>
        <w:rPr>
          <w:sz w:val="20"/>
          <w:szCs w:val="20"/>
          <w:color w:val="auto"/>
        </w:rPr>
      </w:pPr>
    </w:p>
    <w:p>
      <w:pPr>
        <w:jc w:val="both"/>
        <w:ind w:left="380" w:hanging="372"/>
        <w:spacing w:after="0" w:line="228" w:lineRule="auto"/>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option awards / RSUs granted computed in accordance with Financial Accounting Standards Board Accounting Codification Topic 718 for stock-based compensation transactions (ASC 718). Assumptions used in the calculation of these amounts are included in Note 2 to our financial statements included on our Annual Report on Form 10-K for the year ended December 31, 2025. These amounts do not reflect the actual economic value that will be realized by the director upon the vesting of the stock options / RSU, the exercise of the stock options, or the sale of the common stock underlying such stock options.</w:t>
      </w:r>
    </w:p>
    <w:p>
      <w:pPr>
        <w:spacing w:after="0" w:line="12"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2025, Dr. Coleman, Dr. Jeffs, Dr. Mahony, and Mr. Saad received grants of 3,166 and 1,429 in options and RSUs, respectively, each for service as a board member, which options and RSUs vest in full on the one-year anniversary of the date of grant.</w:t>
      </w: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and RSUs held by Dr. Coleman as of December 31, 2025 are 183,722 and 1,429, respectively.</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and RSUs held by Dr. Jeffs as of December 31, 2025 are 45,845 and 1,429, respectively.</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and RSUs held by Dr. Mahony as of December 31, 2025 are 17,843 and 1,429, respectively.</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and RSUs held by Mr. Saad as of December 31, 2025 are 163,540 and 1,429,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 Arrangements</w:t>
      </w:r>
    </w:p>
    <w:p>
      <w:pPr>
        <w:spacing w:after="0" w:line="129"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69"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us or our stockholders;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that involves intentional misconduct or a knowing violation of law;</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unlawful payments related to dividends or unlawful stock repurchases, redemptions or other distributions;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27"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These limitations of liability do not alter director liability under the federal securities laws and do not affect the availability of equitable remedies such as an injunction or rescission.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our amended and restated bylaws provide that:</w:t>
      </w:r>
    </w:p>
    <w:p>
      <w:pPr>
        <w:spacing w:after="0" w:line="12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indemnify our directors, officers and, in the discretion of our Board of Directors, certain employees to the fullest extent permitted by the DGCL; and</w:t>
      </w:r>
    </w:p>
    <w:p>
      <w:pPr>
        <w:spacing w:after="0" w:line="126"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56"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We also maintain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75"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129"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The envelope should indicate that it contains a stockholder communication. All such stockholder communications will be forwarded to the director or directors to whom the communications are addressed.</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EXECUTIVE OFFICERS</w:t>
            </w:r>
          </w:p>
        </w:tc>
      </w:tr>
      <w:tr>
        <w:trPr>
          <w:trHeight w:val="310"/>
        </w:trPr>
        <w:tc>
          <w:tcPr>
            <w:tcW w:w="20" w:type="dxa"/>
            <w:vAlign w:val="bottom"/>
          </w:tcPr>
          <w:p>
            <w:pPr>
              <w:spacing w:after="0"/>
              <w:rPr>
                <w:sz w:val="24"/>
                <w:szCs w:val="24"/>
                <w:color w:val="auto"/>
              </w:rPr>
            </w:pPr>
          </w:p>
        </w:tc>
        <w:tc>
          <w:tcPr>
            <w:tcW w:w="110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The following table provides information concerning our executive officers as of the Record Date:</w:t>
            </w:r>
          </w:p>
        </w:tc>
      </w:tr>
      <w:tr>
        <w:trPr>
          <w:trHeight w:val="289"/>
        </w:trPr>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20" w:type="dxa"/>
            <w:vAlign w:val="bottom"/>
          </w:tcPr>
          <w:p>
            <w:pPr>
              <w:jc w:val="center"/>
              <w:ind w:left="582"/>
              <w:spacing w:after="0"/>
              <w:rPr>
                <w:sz w:val="20"/>
                <w:szCs w:val="20"/>
                <w:color w:val="auto"/>
              </w:rPr>
            </w:pPr>
            <w:r>
              <w:rPr>
                <w:rFonts w:ascii="Times New Roman" w:cs="Times New Roman" w:eastAsia="Times New Roman" w:hAnsi="Times New Roman"/>
                <w:sz w:val="13"/>
                <w:szCs w:val="13"/>
                <w:b w:val="1"/>
                <w:bCs w:val="1"/>
                <w:color w:val="auto"/>
              </w:rPr>
              <w:t>Age</w:t>
            </w:r>
          </w:p>
        </w:tc>
        <w:tc>
          <w:tcPr>
            <w:tcW w:w="69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6"/>
        </w:trPr>
        <w:tc>
          <w:tcPr>
            <w:tcW w:w="20" w:type="dxa"/>
            <w:vAlign w:val="bottom"/>
          </w:tcPr>
          <w:p>
            <w:pPr>
              <w:spacing w:after="0"/>
              <w:rPr>
                <w:sz w:val="17"/>
                <w:szCs w:val="17"/>
                <w:color w:val="auto"/>
              </w:rPr>
            </w:pPr>
          </w:p>
        </w:tc>
        <w:tc>
          <w:tcPr>
            <w:tcW w:w="2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1320" w:type="dxa"/>
            <w:vAlign w:val="bottom"/>
            <w:tcBorders>
              <w:top w:val="single" w:sz="8" w:color="auto"/>
            </w:tcBorders>
            <w:shd w:val="clear" w:color="auto" w:fill="CFF0FC"/>
          </w:tcPr>
          <w:p>
            <w:pPr>
              <w:spacing w:after="0"/>
              <w:rPr>
                <w:sz w:val="17"/>
                <w:szCs w:val="17"/>
                <w:color w:val="auto"/>
              </w:rPr>
            </w:pPr>
          </w:p>
        </w:tc>
        <w:tc>
          <w:tcPr>
            <w:tcW w:w="698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32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rPr>
              <w:t>57</w:t>
            </w:r>
          </w:p>
        </w:tc>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20" w:type="dxa"/>
            <w:vAlign w:val="bottom"/>
          </w:tcPr>
          <w:p>
            <w:pPr>
              <w:spacing w:after="0"/>
              <w:rPr>
                <w:sz w:val="17"/>
                <w:szCs w:val="17"/>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320" w:type="dxa"/>
            <w:vAlign w:val="bottom"/>
            <w:shd w:val="clear" w:color="auto" w:fill="CFF0FC"/>
          </w:tcPr>
          <w:p>
            <w:pPr>
              <w:jc w:val="center"/>
              <w:ind w:left="582"/>
              <w:spacing w:after="0"/>
              <w:rPr>
                <w:sz w:val="20"/>
                <w:szCs w:val="20"/>
                <w:color w:val="auto"/>
              </w:rPr>
            </w:pPr>
            <w:r>
              <w:rPr>
                <w:rFonts w:ascii="Times New Roman" w:cs="Times New Roman" w:eastAsia="Times New Roman" w:hAnsi="Times New Roman"/>
                <w:sz w:val="16"/>
                <w:szCs w:val="16"/>
                <w:color w:val="auto"/>
              </w:rPr>
              <w:t>51</w:t>
            </w:r>
          </w:p>
        </w:tc>
        <w:tc>
          <w:tcPr>
            <w:tcW w:w="6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32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rPr>
              <w:t>42</w:t>
            </w:r>
          </w:p>
        </w:tc>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20" w:type="dxa"/>
            <w:vAlign w:val="bottom"/>
          </w:tcPr>
          <w:p>
            <w:pPr>
              <w:spacing w:after="0"/>
              <w:rPr>
                <w:sz w:val="17"/>
                <w:szCs w:val="17"/>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320" w:type="dxa"/>
            <w:vAlign w:val="bottom"/>
            <w:shd w:val="clear" w:color="auto" w:fill="CFF0FC"/>
          </w:tcPr>
          <w:p>
            <w:pPr>
              <w:jc w:val="center"/>
              <w:ind w:left="582"/>
              <w:spacing w:after="0"/>
              <w:rPr>
                <w:sz w:val="20"/>
                <w:szCs w:val="20"/>
                <w:color w:val="auto"/>
              </w:rPr>
            </w:pPr>
            <w:r>
              <w:rPr>
                <w:rFonts w:ascii="Times New Roman" w:cs="Times New Roman" w:eastAsia="Times New Roman" w:hAnsi="Times New Roman"/>
                <w:sz w:val="16"/>
                <w:szCs w:val="16"/>
                <w:color w:val="auto"/>
              </w:rPr>
              <w:t>46</w:t>
            </w:r>
          </w:p>
        </w:tc>
        <w:tc>
          <w:tcPr>
            <w:tcW w:w="6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General Counsel</w:t>
            </w: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1320" w:type="dxa"/>
            <w:vAlign w:val="bottom"/>
          </w:tcPr>
          <w:p>
            <w:pPr>
              <w:jc w:val="center"/>
              <w:ind w:left="582"/>
              <w:spacing w:after="0"/>
              <w:rPr>
                <w:sz w:val="20"/>
                <w:szCs w:val="20"/>
                <w:color w:val="auto"/>
              </w:rPr>
            </w:pPr>
            <w:r>
              <w:rPr>
                <w:rFonts w:ascii="Times New Roman" w:cs="Times New Roman" w:eastAsia="Times New Roman" w:hAnsi="Times New Roman"/>
                <w:sz w:val="16"/>
                <w:szCs w:val="16"/>
                <w:color w:val="auto"/>
              </w:rPr>
              <w:t>47</w:t>
            </w:r>
          </w:p>
        </w:tc>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Commercial Officer</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 xml:space="preserve">Herriot Tabuteau, M.D. </w:t>
      </w:r>
      <w:r>
        <w:rPr>
          <w:rFonts w:ascii="Times New Roman" w:cs="Times New Roman" w:eastAsia="Times New Roman" w:hAnsi="Times New Roman"/>
          <w:sz w:val="16"/>
          <w:szCs w:val="16"/>
          <w:color w:val="auto"/>
        </w:rPr>
        <w:t>Please see Dr. Tabuteau’s biography in this proxy statement under the section entitled “Incumbent Class III Directors Whose Term Expires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2027.”</w:t>
      </w:r>
    </w:p>
    <w:p>
      <w:pPr>
        <w:spacing w:after="0" w:line="117" w:lineRule="exact"/>
        <w:rPr>
          <w:sz w:val="20"/>
          <w:szCs w:val="20"/>
          <w:color w:val="auto"/>
        </w:rPr>
      </w:pPr>
    </w:p>
    <w:p>
      <w:pPr>
        <w:ind w:right="12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Nick Pizzie, C.P.A., M.B.A. </w:t>
      </w:r>
      <w:r>
        <w:rPr>
          <w:rFonts w:ascii="Times New Roman" w:cs="Times New Roman" w:eastAsia="Times New Roman" w:hAnsi="Times New Roman"/>
          <w:sz w:val="16"/>
          <w:szCs w:val="16"/>
          <w:color w:val="auto"/>
        </w:rPr>
        <w:t>Mr. Pizzie has served as our Chief Financial Officer since May 2018. Prior to joining Axsome, from May 2013 to May 2018, Mr. Pizzie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He earned his Bachelor of Science in Accounting, Bachelor of Arts in Economics, and Master of Business Administration in Finance, and Supply Chain Logistics, from Rutgers University.</w:t>
      </w:r>
    </w:p>
    <w:p>
      <w:pPr>
        <w:spacing w:after="0" w:line="74" w:lineRule="exact"/>
        <w:rPr>
          <w:sz w:val="20"/>
          <w:szCs w:val="20"/>
          <w:color w:val="auto"/>
        </w:rPr>
      </w:pPr>
    </w:p>
    <w:p>
      <w:pPr>
        <w:ind w:right="6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Mark Jacobson, M.A. </w:t>
      </w:r>
      <w:r>
        <w:rPr>
          <w:rFonts w:ascii="Times New Roman" w:cs="Times New Roman" w:eastAsia="Times New Roman" w:hAnsi="Times New Roman"/>
          <w:sz w:val="16"/>
          <w:szCs w:val="16"/>
          <w:color w:val="auto"/>
        </w:rPr>
        <w:t>Mr. Jacobson has served as our Chief Operating Officer since March 2020. Prior to serving as our Chief Operating Officer, Mr. Jacobson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74" w:lineRule="exact"/>
        <w:rPr>
          <w:sz w:val="20"/>
          <w:szCs w:val="20"/>
          <w:color w:val="auto"/>
        </w:rPr>
      </w:pPr>
    </w:p>
    <w:p>
      <w:pPr>
        <w:ind w:right="10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Hunter Murdock, Esq. </w:t>
      </w:r>
      <w:r>
        <w:rPr>
          <w:rFonts w:ascii="Times New Roman" w:cs="Times New Roman" w:eastAsia="Times New Roman" w:hAnsi="Times New Roman"/>
          <w:sz w:val="16"/>
          <w:szCs w:val="16"/>
          <w:color w:val="auto"/>
        </w:rPr>
        <w:t>Mr. Murdock has served as our General Counsel since June 2022. Prior to serving as our General Counsel, Mr. Murdock served as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Legal and Compliance from December 2021. Mr. Murdock started his legal career in private practice as an associate at White &amp; Case LLP and subsequently was an associate and then partner of Kirkland &amp; Ellis LLP. Mr. Murdock then served in various in-house counsel leadership positions of progressive responsibility within the pharmaceutical industry, most recently as the Vice President, General Counsel of Aurobindo Pharma USA, Inc. and Acrotech Biopharma LLC. He earned his BBA from the University of Wisconsin-Madison and JD from Georgetown University Law Center.</w:t>
      </w:r>
    </w:p>
    <w:p>
      <w:pPr>
        <w:spacing w:after="0" w:line="74" w:lineRule="exact"/>
        <w:rPr>
          <w:sz w:val="20"/>
          <w:szCs w:val="20"/>
          <w:color w:val="auto"/>
        </w:rPr>
      </w:pPr>
    </w:p>
    <w:p>
      <w:pPr>
        <w:ind w:right="20" w:firstLine="374"/>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Ari Maizel, M.B.A. </w:t>
      </w:r>
      <w:r>
        <w:rPr>
          <w:rFonts w:ascii="Times New Roman" w:cs="Times New Roman" w:eastAsia="Times New Roman" w:hAnsi="Times New Roman"/>
          <w:sz w:val="16"/>
          <w:szCs w:val="16"/>
          <w:color w:val="auto"/>
        </w:rPr>
        <w:t>Mr. Maizel has served as our Chief Commercial Officer since October 2024. Prior to serving as our Chief Commercial Officer, Mr. Maizel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Executive Vice President, Head of Commercial from October 2023. Prior to joining Axsome, Mr. Maizel was the Vice President, U.S. Psychiatry at AbbVie where he oversaw sales and marketing for a multibillion-dollar franchise. Mr. Maizel held positions of increasing responsibility in sales and marketing throughout his career at AbbVie (formerly Allergan), Dendreon Corporation, and Johnson &amp; Johnson across a range of therapeutic areas, including CNS, immunology, oncology, gastroenterology, and women’s health. Mr. Maizel began his career at ArrowPath Venture Partners, an early-stage technology investment fund, and was a strategy consultant with Sg2, supporting hospitals and health systems around the world. He earned his Bachelor of Arts in Finance from the George Washington University and Master of Business Administration from Duke University.</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Executive Compensation Program</w:t>
      </w:r>
    </w:p>
    <w:p>
      <w:pPr>
        <w:spacing w:after="0" w:line="129" w:lineRule="exact"/>
        <w:rPr>
          <w:sz w:val="20"/>
          <w:szCs w:val="20"/>
          <w:color w:val="auto"/>
        </w:rPr>
      </w:pPr>
    </w:p>
    <w:p>
      <w:pPr>
        <w:ind w:right="880" w:firstLine="374"/>
        <w:spacing w:after="0" w:line="298" w:lineRule="auto"/>
        <w:rPr>
          <w:sz w:val="20"/>
          <w:szCs w:val="20"/>
          <w:color w:val="auto"/>
        </w:rPr>
      </w:pPr>
      <w:r>
        <w:rPr>
          <w:rFonts w:ascii="Times New Roman" w:cs="Times New Roman" w:eastAsia="Times New Roman" w:hAnsi="Times New Roman"/>
          <w:sz w:val="16"/>
          <w:szCs w:val="16"/>
          <w:color w:val="auto"/>
        </w:rPr>
        <w:t>This section explains the objectives of our named executive officer (“NEO”) compensation program, the compensation decisions we made with respect to compensation for our fiscal year ended December 31, 2025, and the factors we considered in making those decisions. The NEOs for fiscal year 2025 include: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
        </w:trPr>
        <w:tc>
          <w:tcPr>
            <w:tcW w:w="5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r>
      <w:tr>
        <w:trPr>
          <w:trHeight w:val="19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5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5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Counsel</w:t>
            </w:r>
          </w:p>
        </w:tc>
      </w:tr>
      <w:tr>
        <w:trPr>
          <w:trHeight w:val="20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5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Chief Commercial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Policies and Practices at a Glance</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executing our compensation program and determining executive compensation, we are guided by our executive compensation best practices:</w:t>
      </w:r>
    </w:p>
    <w:p>
      <w:pPr>
        <w:sectPr>
          <w:pgSz w:w="11900" w:h="16838" w:orient="portrait"/>
          <w:cols w:equalWidth="0" w:num="1">
            <w:col w:w="11240"/>
          </w:cols>
          <w:pgMar w:left="320" w:top="767" w:right="33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7801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55" w:lineRule="exact"/>
        <w:rPr>
          <w:sz w:val="20"/>
          <w:szCs w:val="20"/>
          <w:color w:val="auto"/>
        </w:rPr>
      </w:pPr>
    </w:p>
    <w:p>
      <w:pPr>
        <w:ind w:left="160" w:right="60" w:hanging="152"/>
        <w:spacing w:after="0" w:line="285" w:lineRule="auto"/>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Practice pay-for-performance, under which a significant percentage of our NEO compensation is at-risk and may not be realized if corporate and individual performance goals are not achieved</w:t>
      </w:r>
    </w:p>
    <w:p>
      <w:pPr>
        <w:spacing w:after="0" w:line="19" w:lineRule="exact"/>
        <w:rPr>
          <w:rFonts w:ascii="MS PGothic" w:cs="MS PGothic" w:eastAsia="MS PGothic" w:hAnsi="MS PGothic"/>
          <w:sz w:val="15"/>
          <w:szCs w:val="15"/>
          <w:color w:val="auto"/>
        </w:rPr>
      </w:pPr>
    </w:p>
    <w:p>
      <w:pPr>
        <w:ind w:left="160" w:right="180" w:hanging="152"/>
        <w:spacing w:after="0" w:line="287" w:lineRule="auto"/>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Set challenging incentive plan goals for our annual bonus plan, and performance stock units (“PSUs”)</w:t>
      </w:r>
    </w:p>
    <w:p>
      <w:pPr>
        <w:spacing w:after="0" w:line="32" w:lineRule="exact"/>
        <w:rPr>
          <w:rFonts w:ascii="MS PGothic" w:cs="MS PGothic" w:eastAsia="MS PGothic" w:hAnsi="MS PGothic"/>
          <w:sz w:val="15"/>
          <w:szCs w:val="15"/>
          <w:color w:val="auto"/>
        </w:rPr>
      </w:pPr>
    </w:p>
    <w:p>
      <w:pPr>
        <w:ind w:left="160" w:right="20" w:hanging="152"/>
        <w:spacing w:after="0" w:line="287" w:lineRule="auto"/>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Annually review our peer group companies and their pay practices to align our executive compensation program with the market</w:t>
      </w:r>
    </w:p>
    <w:p>
      <w:pPr>
        <w:spacing w:after="0" w:line="32" w:lineRule="exact"/>
        <w:rPr>
          <w:rFonts w:ascii="MS PGothic" w:cs="MS PGothic" w:eastAsia="MS PGothic" w:hAnsi="MS PGothic"/>
          <w:sz w:val="15"/>
          <w:szCs w:val="15"/>
          <w:color w:val="auto"/>
        </w:rPr>
      </w:pPr>
    </w:p>
    <w:p>
      <w:pPr>
        <w:ind w:left="160" w:right="420" w:hanging="152"/>
        <w:spacing w:after="0" w:line="287" w:lineRule="auto"/>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Offer market-competitive benefits for NEOs that are consistent with the rest of our employees</w:t>
      </w:r>
    </w:p>
    <w:p>
      <w:pPr>
        <w:spacing w:after="0" w:line="19" w:lineRule="exact"/>
        <w:rPr>
          <w:rFonts w:ascii="MS PGothic" w:cs="MS PGothic" w:eastAsia="MS PGothic" w:hAnsi="MS PGothic"/>
          <w:sz w:val="15"/>
          <w:szCs w:val="15"/>
          <w:color w:val="auto"/>
        </w:rPr>
      </w:pPr>
    </w:p>
    <w:p>
      <w:pPr>
        <w:ind w:left="160" w:hanging="152"/>
        <w:spacing w:after="0"/>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Have a pre-established grant date practice for approving executive officer’s equity pay</w:t>
      </w:r>
    </w:p>
    <w:p>
      <w:pPr>
        <w:spacing w:after="0" w:line="70" w:lineRule="exact"/>
        <w:rPr>
          <w:rFonts w:ascii="MS PGothic" w:cs="MS PGothic" w:eastAsia="MS PGothic" w:hAnsi="MS PGothic"/>
          <w:sz w:val="15"/>
          <w:szCs w:val="15"/>
          <w:color w:val="auto"/>
        </w:rPr>
      </w:pPr>
    </w:p>
    <w:p>
      <w:pPr>
        <w:ind w:left="160" w:hanging="152"/>
        <w:spacing w:after="0"/>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an independent Compensation Committee</w:t>
      </w:r>
    </w:p>
    <w:p>
      <w:pPr>
        <w:spacing w:after="0" w:line="70" w:lineRule="exact"/>
        <w:rPr>
          <w:rFonts w:ascii="MS PGothic" w:cs="MS PGothic" w:eastAsia="MS PGothic" w:hAnsi="MS PGothic"/>
          <w:sz w:val="15"/>
          <w:szCs w:val="15"/>
          <w:color w:val="auto"/>
        </w:rPr>
      </w:pPr>
    </w:p>
    <w:p>
      <w:pPr>
        <w:ind w:left="160" w:hanging="152"/>
        <w:spacing w:after="0"/>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Consult with an independent compensation advisor on compensation levels and practices</w:t>
      </w:r>
    </w:p>
    <w:p>
      <w:pPr>
        <w:spacing w:after="0" w:line="63" w:lineRule="exact"/>
        <w:rPr>
          <w:rFonts w:ascii="MS PGothic" w:cs="MS PGothic" w:eastAsia="MS PGothic" w:hAnsi="MS PGothic"/>
          <w:sz w:val="15"/>
          <w:szCs w:val="15"/>
          <w:color w:val="auto"/>
        </w:rPr>
      </w:pPr>
    </w:p>
    <w:p>
      <w:pPr>
        <w:ind w:left="160" w:hanging="152"/>
        <w:spacing w:after="0"/>
        <w:tabs>
          <w:tab w:leader="none" w:pos="16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clawback and forfeiture provisions on our incentive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Objectives and Philosophy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NEO compensation program is designed principally to: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5" w:lineRule="exact"/>
        <w:rPr>
          <w:sz w:val="20"/>
          <w:szCs w:val="20"/>
          <w:color w:val="auto"/>
        </w:rPr>
      </w:pPr>
    </w:p>
    <w:p>
      <w:pPr>
        <w:ind w:left="140" w:hanging="131"/>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are prohibited from hedging or pledging our stock</w:t>
      </w:r>
    </w:p>
    <w:p>
      <w:pPr>
        <w:spacing w:after="0" w:line="45" w:lineRule="exact"/>
        <w:rPr>
          <w:rFonts w:ascii="Times New Roman" w:cs="Times New Roman" w:eastAsia="Times New Roman" w:hAnsi="Times New Roman"/>
          <w:sz w:val="16"/>
          <w:szCs w:val="16"/>
          <w:color w:val="auto"/>
        </w:rPr>
      </w:pPr>
    </w:p>
    <w:p>
      <w:pPr>
        <w:ind w:left="140" w:right="180" w:hanging="131"/>
        <w:spacing w:after="0" w:line="290"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Committee’s independent consultant performs no other work for the Company</w:t>
      </w:r>
    </w:p>
    <w:p>
      <w:pPr>
        <w:ind w:left="140" w:hanging="131"/>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guaranteed annual bonuses or guaranteed salary increases</w:t>
      </w:r>
    </w:p>
    <w:p>
      <w:pPr>
        <w:spacing w:after="0" w:line="59" w:lineRule="exact"/>
        <w:rPr>
          <w:rFonts w:ascii="Times New Roman" w:cs="Times New Roman" w:eastAsia="Times New Roman" w:hAnsi="Times New Roman"/>
          <w:sz w:val="16"/>
          <w:szCs w:val="16"/>
          <w:color w:val="auto"/>
        </w:rPr>
      </w:pPr>
    </w:p>
    <w:p>
      <w:pPr>
        <w:ind w:left="140" w:right="460" w:hanging="131"/>
        <w:spacing w:after="0" w:line="281"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severance benefits can be triggered automatically upon a change in control (i.e. all change in control provisions are “double trigger”)</w:t>
      </w:r>
    </w:p>
    <w:p>
      <w:pPr>
        <w:spacing w:after="0" w:line="1" w:lineRule="exact"/>
        <w:rPr>
          <w:rFonts w:ascii="Times New Roman" w:cs="Times New Roman" w:eastAsia="Times New Roman" w:hAnsi="Times New Roman"/>
          <w:sz w:val="16"/>
          <w:szCs w:val="16"/>
          <w:color w:val="auto"/>
        </w:rPr>
      </w:pPr>
    </w:p>
    <w:p>
      <w:pPr>
        <w:ind w:left="140" w:hanging="131"/>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excise tax gross-ups for any change-in-control payments</w:t>
      </w:r>
    </w:p>
    <w:p>
      <w:pPr>
        <w:spacing w:after="0" w:line="59" w:lineRule="exact"/>
        <w:rPr>
          <w:rFonts w:ascii="Times New Roman" w:cs="Times New Roman" w:eastAsia="Times New Roman" w:hAnsi="Times New Roman"/>
          <w:sz w:val="16"/>
          <w:szCs w:val="16"/>
          <w:color w:val="auto"/>
        </w:rPr>
      </w:pPr>
    </w:p>
    <w:p>
      <w:pPr>
        <w:ind w:left="140" w:hanging="131"/>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Repricing of stock options is prohibited without shareholder approval</w:t>
      </w:r>
    </w:p>
    <w:p>
      <w:pPr>
        <w:spacing w:after="0" w:line="59" w:lineRule="exact"/>
        <w:rPr>
          <w:rFonts w:ascii="Times New Roman" w:cs="Times New Roman" w:eastAsia="Times New Roman" w:hAnsi="Times New Roman"/>
          <w:sz w:val="16"/>
          <w:szCs w:val="16"/>
          <w:color w:val="auto"/>
        </w:rPr>
      </w:pPr>
    </w:p>
    <w:p>
      <w:pPr>
        <w:ind w:left="140" w:right="200" w:hanging="131"/>
        <w:spacing w:after="0" w:line="281"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excessive personal perquisites, such as automobile leases, country club memberships or personal use of aircraft</w:t>
      </w:r>
    </w:p>
    <w:p>
      <w:pPr>
        <w:spacing w:after="0" w:line="1" w:lineRule="exact"/>
        <w:rPr>
          <w:rFonts w:ascii="Times New Roman" w:cs="Times New Roman" w:eastAsia="Times New Roman" w:hAnsi="Times New Roman"/>
          <w:sz w:val="16"/>
          <w:szCs w:val="16"/>
          <w:color w:val="auto"/>
        </w:rPr>
      </w:pPr>
    </w:p>
    <w:p>
      <w:pPr>
        <w:ind w:left="140" w:hanging="131"/>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supplemental executive retirement plans</w:t>
      </w:r>
    </w:p>
    <w:p>
      <w:pPr>
        <w:spacing w:after="0" w:line="1152" w:lineRule="exact"/>
        <w:rPr>
          <w:sz w:val="20"/>
          <w:szCs w:val="20"/>
          <w:color w:val="auto"/>
        </w:rPr>
      </w:pPr>
    </w:p>
    <w:p>
      <w:pPr>
        <w:sectPr>
          <w:pgSz w:w="11900" w:h="16838" w:orient="portrait"/>
          <w:cols w:equalWidth="0" w:num="2">
            <w:col w:w="5940" w:space="120"/>
            <w:col w:w="5180"/>
          </w:cols>
          <w:pgMar w:left="320" w:top="767" w:right="339" w:bottom="1440" w:gutter="0" w:footer="0" w:header="0"/>
          <w:type w:val="continuous"/>
        </w:sectPr>
      </w:pPr>
    </w:p>
    <w:p>
      <w:pPr>
        <w:ind w:left="1020" w:hanging="503"/>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motivate, and retain talented and dedicated NEOs;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annual cash bonuses to the achievement of operational and financial objectives; and</w:t>
      </w:r>
    </w:p>
    <w:p>
      <w:pPr>
        <w:spacing w:after="0" w:line="126" w:lineRule="exact"/>
        <w:rPr>
          <w:rFonts w:ascii="Times New Roman" w:cs="Times New Roman" w:eastAsia="Times New Roman" w:hAnsi="Times New Roman"/>
          <w:sz w:val="16"/>
          <w:szCs w:val="16"/>
          <w:color w:val="auto"/>
        </w:rPr>
      </w:pPr>
    </w:p>
    <w:p>
      <w:pPr>
        <w:ind w:left="1020" w:right="48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NEOs with appropriate long-term incentives that directly correlate to the enhancement of stockholder value, as well as facilitate executive retention.</w:t>
      </w:r>
    </w:p>
    <w:p>
      <w:pPr>
        <w:spacing w:after="0" w:line="56"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To achieve these objectives, we (i) establish annual base salaries at levels that are competitive with base salaries of executive officers in other comparable publicly-held biopharmaceutical companies, (ii) establish annual cash bonus opportunities based on the achievement of key operational, commercial, clinical, strategic and other performance goals, and (iii) grant annual equity awards, a portion of which are tied to long-term performance goals,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Say-on-Pay Vote</w:t>
      </w:r>
    </w:p>
    <w:p>
      <w:pPr>
        <w:spacing w:after="0" w:line="129" w:lineRule="exact"/>
        <w:rPr>
          <w:sz w:val="20"/>
          <w:szCs w:val="20"/>
          <w:color w:val="auto"/>
        </w:rPr>
      </w:pPr>
    </w:p>
    <w:p>
      <w:pPr>
        <w:ind w:right="20" w:firstLine="374"/>
        <w:spacing w:after="0" w:line="268" w:lineRule="auto"/>
        <w:rPr>
          <w:sz w:val="20"/>
          <w:szCs w:val="20"/>
          <w:color w:val="auto"/>
        </w:rPr>
      </w:pPr>
      <w:r>
        <w:rPr>
          <w:rFonts w:ascii="Times New Roman" w:cs="Times New Roman" w:eastAsia="Times New Roman" w:hAnsi="Times New Roman"/>
          <w:sz w:val="16"/>
          <w:szCs w:val="16"/>
          <w:color w:val="auto"/>
        </w:rPr>
        <w:t>We conduct an advisory vote on executive compensation, or say-on-pay vote, on an annual basis. At our 2025 annual meeting of stockholders, approximately 98% of the votes cast on the say-on-pay proposal supported the proposal, which we believe indicates strong support for our executive compensation program as currently structured. We believe that it is important for our stockholders to have an opportunity to vote on this proposal annually, which is consistent with the frequency preferred by our stockholders who voted on the preferred frequency at our stockholder meeting in 2021. Our Compensation Committee’s decisions regarding compensation for 2025 reflected our say-on-pay vote result in 2024, which was supported by approximately 97% of the votes cast on the proposal. Our Compensation Committee has considered the results of the advisory votes in the context of our overall compensation philosophy, policies and decisions. After discussing the levels of support each year in favor of the proposals, our Compensation Committee decided to generally maintain a consistent course for 2025 compensation decisions, except that in 2025, the equity awards included PSUs, such that the mix of equity awards consisted of stock options, RSUs and PSUs. In 2026, as a result of the increase in our stock price, and to be in alignment with similar companies, our Compensation Committee decided that the mix of equity awards should be only RSUs and PSUs and not stock options, as the preferred compensation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Roles and Responsibilities</w:t>
      </w:r>
    </w:p>
    <w:p>
      <w:pPr>
        <w:spacing w:after="0" w:line="129" w:lineRule="exact"/>
        <w:rPr>
          <w:sz w:val="20"/>
          <w:szCs w:val="20"/>
          <w:color w:val="auto"/>
        </w:rPr>
      </w:pPr>
    </w:p>
    <w:p>
      <w:pPr>
        <w:ind w:right="140" w:firstLine="374"/>
        <w:spacing w:after="0" w:line="275" w:lineRule="auto"/>
        <w:rPr>
          <w:sz w:val="20"/>
          <w:szCs w:val="20"/>
          <w:color w:val="auto"/>
        </w:rPr>
      </w:pPr>
      <w:r>
        <w:rPr>
          <w:rFonts w:ascii="Times New Roman" w:cs="Times New Roman" w:eastAsia="Times New Roman" w:hAnsi="Times New Roman"/>
          <w:sz w:val="16"/>
          <w:szCs w:val="16"/>
          <w:color w:val="auto"/>
        </w:rPr>
        <w:t>The Compensation Committee has engaged Frederic W. Cook &amp; Co., Inc. (“FW Cook”) as its independent compensation consultant. The Compensation Committee and our CEO participated in a collaborative process to determine the compensation that our NEOs were granted and earned in 2025, taking into consideration the advice of FW Cook (with the exception of our CEO’s compensation, which was evaluated solely by the Compensation Committee in consultation with the full Board, taking into consideration the advice of FW Cook):</w:t>
      </w:r>
    </w:p>
    <w:p>
      <w:pPr>
        <w:sectPr>
          <w:pgSz w:w="11900" w:h="16838" w:orient="portrait"/>
          <w:cols w:equalWidth="0" w:num="1">
            <w:col w:w="11240"/>
          </w:cols>
          <w:pgMar w:left="320" w:top="767"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Responsible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ind w:left="20"/>
        <w:spacing w:after="0" w:line="278" w:lineRule="auto"/>
        <w:rPr>
          <w:sz w:val="20"/>
          <w:szCs w:val="20"/>
          <w:color w:val="auto"/>
        </w:rPr>
      </w:pPr>
      <w:r>
        <w:rPr>
          <w:rFonts w:ascii="Times New Roman" w:cs="Times New Roman" w:eastAsia="Times New Roman" w:hAnsi="Times New Roman"/>
          <w:sz w:val="16"/>
          <w:szCs w:val="16"/>
          <w:color w:val="auto"/>
        </w:rPr>
        <w:t>Compensation Committee (composed solely of independent, non-employee Directors and reports to the Board)</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wp:posOffset>
            </wp:positionV>
            <wp:extent cx="4920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ind w:left="460" w:firstLine="120"/>
        <w:spacing w:after="0" w:line="269" w:lineRule="auto"/>
        <w:rPr>
          <w:sz w:val="20"/>
          <w:szCs w:val="20"/>
          <w:color w:val="auto"/>
        </w:rPr>
      </w:pPr>
      <w:r>
        <w:rPr>
          <w:rFonts w:ascii="Times New Roman" w:cs="Times New Roman" w:eastAsia="Times New Roman" w:hAnsi="Times New Roman"/>
          <w:sz w:val="16"/>
          <w:szCs w:val="16"/>
          <w:color w:val="auto"/>
        </w:rPr>
        <w:t>Oversees the executive compensation program, policies, and practices, taking into account business goals and strategies, legal and regulatory developments, and evolving best practices;</w:t>
      </w:r>
    </w:p>
    <w:p>
      <w:pPr>
        <w:ind w:left="220"/>
        <w:spacing w:after="0"/>
        <w:rPr>
          <w:sz w:val="20"/>
          <w:szCs w:val="20"/>
          <w:color w:val="auto"/>
        </w:rPr>
      </w:pPr>
      <w:r>
        <w:rPr>
          <w:rFonts w:ascii="Times New Roman" w:cs="Times New Roman" w:eastAsia="Times New Roman" w:hAnsi="Times New Roman"/>
          <w:sz w:val="16"/>
          <w:szCs w:val="16"/>
          <w:color w:val="auto"/>
        </w:rPr>
        <w:t>Approves performance goals for the NEOs;</w:t>
      </w:r>
    </w:p>
    <w:p>
      <w:pPr>
        <w:spacing w:after="0" w:line="24" w:lineRule="exact"/>
        <w:rPr>
          <w:sz w:val="20"/>
          <w:szCs w:val="20"/>
          <w:color w:val="auto"/>
        </w:rPr>
      </w:pPr>
    </w:p>
    <w:p>
      <w:pPr>
        <w:ind w:left="460" w:right="80" w:firstLine="120"/>
        <w:spacing w:after="0" w:line="269" w:lineRule="auto"/>
        <w:rPr>
          <w:sz w:val="20"/>
          <w:szCs w:val="20"/>
          <w:color w:val="auto"/>
        </w:rPr>
      </w:pPr>
      <w:r>
        <w:rPr>
          <w:rFonts w:ascii="Times New Roman" w:cs="Times New Roman" w:eastAsia="Times New Roman" w:hAnsi="Times New Roman"/>
          <w:sz w:val="16"/>
          <w:szCs w:val="16"/>
          <w:color w:val="auto"/>
        </w:rPr>
        <w:t>Conducts an annual evaluation of the CEO’s performance in consultation with the full Board and determines his compensation;</w:t>
      </w:r>
    </w:p>
    <w:p>
      <w:pPr>
        <w:ind w:left="460" w:right="200" w:firstLine="120"/>
        <w:spacing w:after="0" w:line="267" w:lineRule="auto"/>
        <w:rPr>
          <w:sz w:val="20"/>
          <w:szCs w:val="20"/>
          <w:color w:val="auto"/>
        </w:rPr>
      </w:pPr>
      <w:r>
        <w:rPr>
          <w:rFonts w:ascii="Times New Roman" w:cs="Times New Roman" w:eastAsia="Times New Roman" w:hAnsi="Times New Roman"/>
          <w:sz w:val="16"/>
          <w:szCs w:val="16"/>
          <w:color w:val="auto"/>
        </w:rPr>
        <w:t>Reviews and approves the compensation for the other NEOs and senior executives, taking into account the CEO’s recommendations and making changes when deemed appropriate;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Approves all changes to the composition of the peer group; and</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Reviews and makes recommendations to the Board with respect to Director compensation.</w:t>
      </w:r>
    </w:p>
    <w:p>
      <w:pPr>
        <w:spacing w:after="0" w:line="132" w:lineRule="exact"/>
        <w:rPr>
          <w:sz w:val="20"/>
          <w:szCs w:val="20"/>
          <w:color w:val="auto"/>
        </w:rPr>
      </w:pPr>
    </w:p>
    <w:p>
      <w:pPr>
        <w:sectPr>
          <w:pgSz w:w="11900" w:h="16838" w:orient="portrait"/>
          <w:cols w:equalWidth="0" w:num="2">
            <w:col w:w="3240" w:space="300"/>
            <w:col w:w="7700"/>
          </w:cols>
          <w:pgMar w:left="320" w:top="767" w:right="339" w:bottom="1440" w:gutter="0" w:footer="0" w:header="0"/>
          <w:type w:val="continuous"/>
        </w:sectPr>
      </w:pPr>
    </w:p>
    <w:p>
      <w:pPr>
        <w:ind w:left="20" w:right="80"/>
        <w:spacing w:after="0" w:line="288" w:lineRule="auto"/>
        <w:rPr>
          <w:sz w:val="20"/>
          <w:szCs w:val="20"/>
          <w:color w:val="auto"/>
        </w:rPr>
      </w:pPr>
      <w:r>
        <w:rPr>
          <w:rFonts w:ascii="Times New Roman" w:cs="Times New Roman" w:eastAsia="Times New Roman" w:hAnsi="Times New Roman"/>
          <w:sz w:val="16"/>
          <w:szCs w:val="16"/>
          <w:color w:val="auto"/>
        </w:rPr>
        <w:t>Independent Consultant to the Compensation Committee (FW Cook)</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br w:type="column"/>
      </w:r>
    </w:p>
    <w:p>
      <w:pPr>
        <w:ind w:left="240" w:right="120" w:firstLine="120"/>
        <w:spacing w:after="0" w:line="270" w:lineRule="auto"/>
        <w:rPr>
          <w:sz w:val="20"/>
          <w:szCs w:val="20"/>
          <w:color w:val="auto"/>
        </w:rPr>
      </w:pPr>
      <w:r>
        <w:rPr>
          <w:rFonts w:ascii="Times New Roman" w:cs="Times New Roman" w:eastAsia="Times New Roman" w:hAnsi="Times New Roman"/>
          <w:sz w:val="16"/>
          <w:szCs w:val="16"/>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ind w:left="240" w:right="280" w:firstLine="120"/>
        <w:spacing w:after="0" w:line="269" w:lineRule="auto"/>
        <w:rPr>
          <w:sz w:val="20"/>
          <w:szCs w:val="20"/>
          <w:color w:val="auto"/>
        </w:rPr>
      </w:pPr>
      <w:r>
        <w:rPr>
          <w:rFonts w:ascii="Times New Roman" w:cs="Times New Roman" w:eastAsia="Times New Roman" w:hAnsi="Times New Roman"/>
          <w:sz w:val="16"/>
          <w:szCs w:val="16"/>
          <w:color w:val="auto"/>
        </w:rPr>
        <w:t>Recommends a relevant group of peer companies and appropriate sources of survey data against which to compare the competitiveness and structure of CEO, executive, and Director compensation;</w:t>
      </w:r>
    </w:p>
    <w:p>
      <w:pPr>
        <w:ind w:left="240" w:right="140" w:firstLine="120"/>
        <w:spacing w:after="0" w:line="267" w:lineRule="auto"/>
        <w:rPr>
          <w:sz w:val="20"/>
          <w:szCs w:val="20"/>
          <w:color w:val="auto"/>
        </w:rPr>
      </w:pPr>
      <w:r>
        <w:rPr>
          <w:rFonts w:ascii="Times New Roman" w:cs="Times New Roman" w:eastAsia="Times New Roman" w:hAnsi="Times New Roman"/>
          <w:sz w:val="16"/>
          <w:szCs w:val="16"/>
          <w:color w:val="auto"/>
        </w:rPr>
        <w:t>Analyzes peer companies’ CEO, executive, and Director compensation annually to assist the Compensation Committee in determining the appropriateness and competitiveness of compensation;</w:t>
      </w:r>
    </w:p>
    <w:p>
      <w:pPr>
        <w:spacing w:after="0" w:line="1" w:lineRule="exact"/>
        <w:rPr>
          <w:sz w:val="20"/>
          <w:szCs w:val="20"/>
          <w:color w:val="auto"/>
        </w:rPr>
      </w:pPr>
    </w:p>
    <w:p>
      <w:pPr>
        <w:ind w:left="240" w:right="440" w:firstLine="120"/>
        <w:spacing w:after="0" w:line="269" w:lineRule="auto"/>
        <w:rPr>
          <w:sz w:val="20"/>
          <w:szCs w:val="20"/>
          <w:color w:val="auto"/>
        </w:rPr>
      </w:pPr>
      <w:r>
        <w:rPr>
          <w:rFonts w:ascii="Times New Roman" w:cs="Times New Roman" w:eastAsia="Times New Roman" w:hAnsi="Times New Roman"/>
          <w:sz w:val="16"/>
          <w:szCs w:val="16"/>
          <w:color w:val="auto"/>
        </w:rPr>
        <w:t>Reviews and advises on any proposed changes to CEO, executive, and Director compensation program design;</w:t>
      </w:r>
    </w:p>
    <w:p>
      <w:pPr>
        <w:spacing w:after="0"/>
        <w:rPr>
          <w:sz w:val="20"/>
          <w:szCs w:val="20"/>
          <w:color w:val="auto"/>
        </w:rPr>
      </w:pPr>
      <w:r>
        <w:rPr>
          <w:rFonts w:ascii="Times New Roman" w:cs="Times New Roman" w:eastAsia="Times New Roman" w:hAnsi="Times New Roman"/>
          <w:sz w:val="16"/>
          <w:szCs w:val="16"/>
          <w:color w:val="auto"/>
        </w:rPr>
        <w:t>Reviews and assists with compensation disclosure materials;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Provides specific analysis and advice periodically as requested by the Compensation Committee.</w:t>
      </w:r>
    </w:p>
    <w:p>
      <w:pPr>
        <w:spacing w:after="0" w:line="140" w:lineRule="exact"/>
        <w:rPr>
          <w:sz w:val="20"/>
          <w:szCs w:val="20"/>
          <w:color w:val="auto"/>
        </w:rPr>
      </w:pPr>
    </w:p>
    <w:p>
      <w:pPr>
        <w:sectPr>
          <w:pgSz w:w="11900" w:h="16838" w:orient="portrait"/>
          <w:cols w:equalWidth="0" w:num="2">
            <w:col w:w="3040" w:space="720"/>
            <w:col w:w="7480"/>
          </w:cols>
          <w:pgMar w:left="320" w:top="767" w:right="339" w:bottom="1440" w:gutter="0" w:footer="0" w:header="0"/>
          <w:type w:val="continuous"/>
        </w:sectPr>
      </w:pPr>
    </w:p>
    <w:p>
      <w:pPr>
        <w:ind w:left="20"/>
        <w:spacing w:after="0"/>
        <w:tabs>
          <w:tab w:leader="none" w:pos="4100" w:val="left"/>
        </w:tabs>
        <w:rPr>
          <w:sz w:val="20"/>
          <w:szCs w:val="20"/>
          <w:color w:val="auto"/>
        </w:rPr>
      </w:pPr>
      <w:r>
        <w:rPr>
          <w:rFonts w:ascii="Times New Roman" w:cs="Times New Roman" w:eastAsia="Times New Roman" w:hAnsi="Times New Roman"/>
          <w:sz w:val="16"/>
          <w:szCs w:val="16"/>
          <w:color w:val="auto"/>
        </w:rPr>
        <w:t>CEO</w:t>
      </w:r>
      <w:r>
        <w:rPr>
          <w:sz w:val="20"/>
          <w:szCs w:val="20"/>
          <w:color w:val="auto"/>
        </w:rPr>
        <w:tab/>
      </w:r>
      <w:r>
        <w:rPr>
          <w:rFonts w:ascii="Times New Roman" w:cs="Times New Roman" w:eastAsia="Times New Roman" w:hAnsi="Times New Roman"/>
          <w:sz w:val="16"/>
          <w:szCs w:val="16"/>
          <w:color w:val="auto"/>
        </w:rPr>
        <w:t>The CEO recommends to the Compensation Committee annual compensation for the other NEOs and senior</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executives based on his assessment of their performance; and</w:t>
      </w:r>
    </w:p>
    <w:p>
      <w:pPr>
        <w:spacing w:after="0" w:line="24" w:lineRule="exact"/>
        <w:rPr>
          <w:sz w:val="20"/>
          <w:szCs w:val="20"/>
          <w:color w:val="auto"/>
        </w:rPr>
      </w:pPr>
    </w:p>
    <w:p>
      <w:pPr>
        <w:jc w:val="both"/>
        <w:ind w:left="3760"/>
        <w:spacing w:after="0"/>
        <w:tabs>
          <w:tab w:leader="none" w:pos="4100" w:val="left"/>
        </w:tabs>
        <w:rPr>
          <w:sz w:val="20"/>
          <w:szCs w:val="20"/>
          <w:color w:val="auto"/>
        </w:rPr>
      </w:pPr>
      <w:r>
        <w:rPr>
          <w:rFonts w:ascii="Times New Roman" w:cs="Times New Roman" w:eastAsia="Times New Roman" w:hAnsi="Times New Roman"/>
          <w:sz w:val="16"/>
          <w:szCs w:val="16"/>
          <w:color w:val="auto"/>
        </w:rPr>
        <w:t xml:space="preserve"> </w:t>
        <w:tab/>
        <w:t>The CEO works with the Compensation Committee Chair to set agendas, prepare materials for Compensation</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Committee meetings, and generally attends meetings, as appropriate.</w:t>
      </w:r>
    </w:p>
    <w:p>
      <w:pPr>
        <w:spacing w:after="0" w:line="227" w:lineRule="exact"/>
        <w:rPr>
          <w:sz w:val="20"/>
          <w:szCs w:val="20"/>
          <w:color w:val="auto"/>
        </w:rPr>
      </w:pPr>
    </w:p>
    <w:p>
      <w:pPr>
        <w:ind w:left="3500" w:right="60"/>
        <w:spacing w:after="0" w:line="281" w:lineRule="auto"/>
        <w:rPr>
          <w:sz w:val="20"/>
          <w:szCs w:val="20"/>
          <w:color w:val="auto"/>
        </w:rPr>
      </w:pPr>
      <w:r>
        <w:rPr>
          <w:rFonts w:ascii="Times New Roman" w:cs="Times New Roman" w:eastAsia="Times New Roman" w:hAnsi="Times New Roman"/>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48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6" w:lineRule="exact"/>
        <w:rPr>
          <w:sz w:val="20"/>
          <w:szCs w:val="20"/>
          <w:color w:val="auto"/>
        </w:rPr>
      </w:pPr>
    </w:p>
    <w:p>
      <w:pPr>
        <w:ind w:left="380" w:right="30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has determined that each member of our Compensation Committee is “independent” as that term is defined by applicable Nasdaq rules and is a “non-employee” director as defined under Section 16 of the Exchange Act.</w:t>
      </w:r>
    </w:p>
    <w:p>
      <w:pPr>
        <w:spacing w:after="0" w:line="11" w:lineRule="exact"/>
        <w:rPr>
          <w:rFonts w:ascii="Times New Roman" w:cs="Times New Roman" w:eastAsia="Times New Roman" w:hAnsi="Times New Roman"/>
          <w:sz w:val="13"/>
          <w:szCs w:val="13"/>
          <w:color w:val="auto"/>
        </w:rPr>
      </w:pPr>
    </w:p>
    <w:p>
      <w:pPr>
        <w:ind w:left="380" w:right="100" w:hanging="372"/>
        <w:spacing w:after="0" w:line="250"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2025,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which included consulting regarding the Company’s 2025 Long-Term Incentive Plan. The Compensation Committee conducted an evaluation of the independence of FW Cook considering the relevant regulations of the SEC and the Nasdaq listing standards. The Compensation Committee concluded that FW Cook was independent of management and the services performed by FW Cook and the individual compensation advisors employed by FW Cook raised no conflicts of interest.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Peer and Industry Data</w:t>
      </w:r>
    </w:p>
    <w:p>
      <w:pPr>
        <w:spacing w:after="0" w:line="129"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78"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For purposes of compensation setting for 2025, our Compensation Committee, with the advice of FW Cook, examined our prior peer group in light of our continued growth, commercial revenue, the stage of development of our clinical programs, and changes in our market capitalization. Based on its discussions with FW Cook, the Compensation Committee identified the following 16 peer companies that were selected from among publicly-held U.S. pharmaceutical and biotechnology companies with comparable operations based on the following criteria: commercial revenue, number, stage and indication of development programs, number of employees, therapeutic area, and market capitalization:</w:t>
      </w:r>
    </w:p>
    <w:p>
      <w:pPr>
        <w:sectPr>
          <w:pgSz w:w="11900" w:h="16838" w:orient="portrait"/>
          <w:cols w:equalWidth="0" w:num="1">
            <w:col w:w="11220"/>
          </w:cols>
          <w:pgMar w:left="320" w:top="767" w:right="359" w:bottom="1440"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ACADIA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Amicus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Apellis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BridgeBio Pharma,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Catalyst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Collegium Pharmaceutical,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Corcept Therapeutics Incorporated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Denali Therapeutics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Harmony Biosciences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Insmed Incorporated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Intra Cellular Therapies,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Sage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Supernus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Ultragenyx Pharmaceutical,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Vanda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Zai Lab Limited</w:t>
      </w:r>
    </w:p>
    <w:p>
      <w:pPr>
        <w:spacing w:after="0" w:line="119" w:lineRule="exact"/>
        <w:rPr>
          <w:sz w:val="20"/>
          <w:szCs w:val="20"/>
          <w:color w:val="auto"/>
        </w:rPr>
      </w:pPr>
    </w:p>
    <w:p>
      <w:pPr>
        <w:sectPr>
          <w:pgSz w:w="11900" w:h="16838" w:orient="portrait"/>
          <w:cols w:equalWidth="0" w:num="2">
            <w:col w:w="5140" w:space="720"/>
            <w:col w:w="5360"/>
          </w:cols>
          <w:pgMar w:left="320" w:top="767" w:right="359" w:bottom="1440" w:gutter="0" w:footer="0" w:header="0"/>
          <w:type w:val="continuous"/>
        </w:sectPr>
      </w:pPr>
    </w:p>
    <w:p>
      <w:pPr>
        <w:ind w:right="360" w:firstLine="374"/>
        <w:spacing w:after="0" w:line="275" w:lineRule="auto"/>
        <w:rPr>
          <w:sz w:val="20"/>
          <w:szCs w:val="20"/>
          <w:color w:val="auto"/>
        </w:rPr>
      </w:pPr>
      <w:r>
        <w:rPr>
          <w:rFonts w:ascii="Times New Roman" w:cs="Times New Roman" w:eastAsia="Times New Roman" w:hAnsi="Times New Roman"/>
          <w:sz w:val="16"/>
          <w:szCs w:val="16"/>
          <w:color w:val="auto"/>
        </w:rPr>
        <w:t>Companies that were removed from the prior peer group due to their size and business focus include Alector, Inc., Allogene Therapeutics, Inc., and Revance Therapeutics, Inc. Karuna Therapeutics, Inc. was removed due to its acquisition by Bristol-Myers Squibb Company in March of 2024. Apellis Pharmaceuticals, Inc., BridgeBio Pharma, Inc., Collegium Pharmaceutical, Inc., and Zai Lab Limited represent new additions to the 2025 peer group owing to their size and relevant business focus as commercial biotech companies.</w:t>
      </w:r>
    </w:p>
    <w:p>
      <w:pPr>
        <w:spacing w:after="0" w:line="75" w:lineRule="exact"/>
        <w:rPr>
          <w:sz w:val="20"/>
          <w:szCs w:val="20"/>
          <w:color w:val="auto"/>
        </w:rPr>
      </w:pPr>
    </w:p>
    <w:p>
      <w:pPr>
        <w:ind w:right="360" w:firstLine="374"/>
        <w:spacing w:after="0" w:line="298" w:lineRule="auto"/>
        <w:rPr>
          <w:sz w:val="20"/>
          <w:szCs w:val="20"/>
          <w:color w:val="auto"/>
        </w:rPr>
      </w:pPr>
      <w:r>
        <w:rPr>
          <w:rFonts w:ascii="Times New Roman" w:cs="Times New Roman" w:eastAsia="Times New Roman" w:hAnsi="Times New Roman"/>
          <w:sz w:val="16"/>
          <w:szCs w:val="16"/>
          <w:color w:val="auto"/>
        </w:rPr>
        <w:t>The Compensation Committee intends to maintain its practice of reviewing the peer group on an annual basis to ensure it continues to appropriately represent our competitive market for executive talent.</w:t>
      </w:r>
    </w:p>
    <w:p>
      <w:pPr>
        <w:spacing w:after="0" w:line="56" w:lineRule="exact"/>
        <w:rPr>
          <w:sz w:val="20"/>
          <w:szCs w:val="20"/>
          <w:color w:val="auto"/>
        </w:rPr>
      </w:pPr>
    </w:p>
    <w:p>
      <w:pPr>
        <w:ind w:right="700" w:firstLine="374"/>
        <w:spacing w:after="0" w:line="298" w:lineRule="auto"/>
        <w:rPr>
          <w:sz w:val="20"/>
          <w:szCs w:val="20"/>
          <w:color w:val="auto"/>
        </w:rPr>
      </w:pPr>
      <w:r>
        <w:rPr>
          <w:rFonts w:ascii="Times New Roman" w:cs="Times New Roman" w:eastAsia="Times New Roman" w:hAnsi="Times New Roman"/>
          <w:sz w:val="16"/>
          <w:szCs w:val="16"/>
          <w:color w:val="auto"/>
        </w:rPr>
        <w:t>Axsome ranked at the 70th percentile of current market cap and at the 23rd percentile of trailing four quarters revenue of the above-referenced peer group of companies as of August 2024, which is when this peer group was selected by the Compensation Committee.</w:t>
      </w:r>
    </w:p>
    <w:p>
      <w:pPr>
        <w:spacing w:after="0" w:line="56"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NEO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129"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its annual review of base salaries for executives, the Compensation Committee primarily considers</w:t>
      </w:r>
    </w:p>
    <w:p>
      <w:pPr>
        <w:spacing w:after="0" w:line="12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internal review of the NEO’s compensation, both individually and relative to other NEOs;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paid by comparable companies in the biopharmaceutical industry that have a similar business and financial profile.</w:t>
      </w:r>
    </w:p>
    <w:p>
      <w:pPr>
        <w:spacing w:after="0" w:line="127" w:lineRule="exact"/>
        <w:rPr>
          <w:sz w:val="20"/>
          <w:szCs w:val="20"/>
          <w:color w:val="auto"/>
        </w:rPr>
      </w:pPr>
    </w:p>
    <w:p>
      <w:pPr>
        <w:ind w:right="300" w:firstLine="374"/>
        <w:spacing w:after="0" w:line="298" w:lineRule="auto"/>
        <w:rPr>
          <w:sz w:val="20"/>
          <w:szCs w:val="20"/>
          <w:color w:val="auto"/>
        </w:rPr>
      </w:pPr>
      <w:r>
        <w:rPr>
          <w:rFonts w:ascii="Times New Roman" w:cs="Times New Roman" w:eastAsia="Times New Roman" w:hAnsi="Times New Roman"/>
          <w:sz w:val="16"/>
          <w:szCs w:val="16"/>
          <w:color w:val="auto"/>
        </w:rPr>
        <w:t>Salary levels are considered annually as part of our Company’s performance review process. The Compensation Committee increased the salaries of our NEOs, as compared to 2024, based on merit and to be in line with salaries at peer companies.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Base salary for each of our NEOs for our fiscal year ended December 31, 2025, is listed in the table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2025 Base Salary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 Base Salary ($)</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196"/>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Herriot Tabuteau, M.D.</w:t>
            </w:r>
            <w:r>
              <w:rPr>
                <w:rFonts w:ascii="Times New Roman" w:cs="Times New Roman" w:eastAsia="Times New Roman" w:hAnsi="Times New Roman"/>
                <w:sz w:val="21"/>
                <w:szCs w:val="21"/>
                <w:color w:val="auto"/>
                <w:vertAlign w:val="superscript"/>
              </w:rPr>
              <w:t>(1)</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835,000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780,000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64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Nick Pizzie, C.P.A., M.B.A.</w:t>
            </w:r>
            <w:r>
              <w:rPr>
                <w:rFonts w:ascii="Times New Roman" w:cs="Times New Roman" w:eastAsia="Times New Roman" w:hAnsi="Times New Roman"/>
                <w:sz w:val="21"/>
                <w:szCs w:val="21"/>
                <w:color w:val="auto"/>
                <w:vertAlign w:val="superscript"/>
              </w:rPr>
              <w:t>(1)</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530,000</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505,000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64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Mark Jacobson, M.A.</w:t>
            </w:r>
            <w:r>
              <w:rPr>
                <w:rFonts w:ascii="Times New Roman" w:cs="Times New Roman" w:eastAsia="Times New Roman" w:hAnsi="Times New Roman"/>
                <w:sz w:val="21"/>
                <w:szCs w:val="21"/>
                <w:color w:val="auto"/>
                <w:vertAlign w:val="superscript"/>
              </w:rPr>
              <w:t>(1)</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575,000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552,000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64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Hunter Murdock, Esq.</w:t>
            </w:r>
            <w:r>
              <w:rPr>
                <w:rFonts w:ascii="Times New Roman" w:cs="Times New Roman" w:eastAsia="Times New Roman" w:hAnsi="Times New Roman"/>
                <w:sz w:val="21"/>
                <w:szCs w:val="21"/>
                <w:color w:val="auto"/>
                <w:vertAlign w:val="superscript"/>
              </w:rPr>
              <w:t>(1)</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530,000</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505,000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64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Ari Maizel, M.B.A.</w:t>
            </w:r>
            <w:r>
              <w:rPr>
                <w:rFonts w:ascii="Times New Roman" w:cs="Times New Roman" w:eastAsia="Times New Roman" w:hAnsi="Times New Roman"/>
                <w:sz w:val="21"/>
                <w:szCs w:val="21"/>
                <w:color w:val="auto"/>
                <w:vertAlign w:val="superscript"/>
              </w:rPr>
              <w:t>(1)</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530,000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510,000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Salaries were increased in February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Cash Incentive Bonuses</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 All awards to our NEOs and the Company’s Executive Vice Presidents are subject to the Clawback Policy described below.</w:t>
      </w:r>
    </w:p>
    <w:p>
      <w:pPr>
        <w:spacing w:after="0" w:line="75" w:lineRule="exact"/>
        <w:rPr>
          <w:sz w:val="20"/>
          <w:szCs w:val="20"/>
          <w:color w:val="auto"/>
        </w:rPr>
      </w:pPr>
    </w:p>
    <w:p>
      <w:pPr>
        <w:ind w:right="120" w:firstLine="374"/>
        <w:spacing w:after="0" w:line="269" w:lineRule="auto"/>
        <w:rPr>
          <w:sz w:val="20"/>
          <w:szCs w:val="20"/>
          <w:color w:val="auto"/>
        </w:rPr>
      </w:pPr>
      <w:r>
        <w:rPr>
          <w:rFonts w:ascii="Times New Roman" w:cs="Times New Roman" w:eastAsia="Times New Roman" w:hAnsi="Times New Roman"/>
          <w:sz w:val="16"/>
          <w:szCs w:val="16"/>
          <w:color w:val="auto"/>
        </w:rPr>
        <w:t>The Compensation Committee, in consultation with management, establishes corporate goals for each fiscal year for purposes of, among other things, making its recommendations regarding its annual bonus awards (and equity grants) for NEOs and all employees. We have not disclosed the specific performance metrics in relation to our corporate goals because such metrics contain confidential trade secrets and/or confidential commercial or financial information, the disclosure of which would result in competitive harm. At the time the Compensation Committee set the performance metrics for our corporate goals, the Compensation Committee believed that each performance metric was achievable at the target level, but only with significant effort. At the end of the performance period, the Compensation Committee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78"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At the beginning of 2025, the Compensation Committee adopted corporate goals for the determination of cash bonuses to be paid for the 2025 fiscal year. Under the plan adopted by our Board of Directors, cash bonuses, if any, are paid to qualified participating officers and employees based upon (i) the achievement of corporate goals and (ii) a review of personal performance. The corporate goals, and the weight assigned to each of the goals, applies to all officers and employees, including our NEOs. The corporate goals and objectives for the 2025 calendar year were based on meeting certain goals with respect to our operational performance as follows:</w:t>
      </w:r>
    </w:p>
    <w:p>
      <w:pPr>
        <w:spacing w:after="0" w:line="68"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9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2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70"/>
        </w:trPr>
        <w:tc>
          <w:tcPr>
            <w:tcW w:w="20" w:type="dxa"/>
            <w:vAlign w:val="bottom"/>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09"/>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Our Pipeline</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22"/>
        </w:trPr>
        <w:tc>
          <w:tcPr>
            <w:tcW w:w="20" w:type="dxa"/>
            <w:vAlign w:val="bottom"/>
          </w:tcPr>
          <w:p>
            <w:pPr>
              <w:spacing w:after="0"/>
              <w:rPr>
                <w:sz w:val="19"/>
                <w:szCs w:val="19"/>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bl>
    <w:p>
      <w:pPr>
        <w:spacing w:after="0" w:line="100" w:lineRule="exact"/>
        <w:rPr>
          <w:sz w:val="20"/>
          <w:szCs w:val="20"/>
          <w:color w:val="auto"/>
        </w:rPr>
      </w:pPr>
    </w:p>
    <w:p>
      <w:pPr>
        <w:jc w:val="both"/>
        <w:ind w:right="340" w:firstLine="374"/>
        <w:spacing w:after="0" w:line="298" w:lineRule="auto"/>
        <w:rPr>
          <w:sz w:val="20"/>
          <w:szCs w:val="20"/>
          <w:color w:val="auto"/>
        </w:rPr>
      </w:pPr>
      <w:r>
        <w:rPr>
          <w:rFonts w:ascii="Times New Roman" w:cs="Times New Roman" w:eastAsia="Times New Roman" w:hAnsi="Times New Roman"/>
          <w:sz w:val="16"/>
          <w:szCs w:val="16"/>
          <w:color w:val="auto"/>
        </w:rPr>
        <w:t>The target bonus as a percentage of base salary for each of the NEOs remained unchanged for fiscal year 2025. The maximum realization/payout attainable by our NEOs was 200% of target.</w:t>
      </w:r>
    </w:p>
    <w:p>
      <w:pPr>
        <w:spacing w:after="0" w:line="56"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Based on its review of the Company’s performance and thoughtful deliberation around the efforts that drove that performance, the Compensation Committee approved payouts at 150% of target. The payout reflected the Company’s significant value-enhancing accomplishments in 2025. Areas of overachievement included “Drive Business Performance” (e.g., growth in Auvelity product sales, expansion of Auvelity salesforce, and commercial launch of Symbravo), Advance Our Pipeline (e.g., completion of FOCUS and PARADIGM studies of solriamfetol, submission of Symbravo NDA, and acceptance of AXS-05 for Alzheimer’s Disease Agitation sNDA), and Increase Awareness of Our Science, Business, and Products (e.g., expanded presence at major conferences and growth in analyst coverage).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220" w:type="dxa"/>
            <w:vAlign w:val="bottom"/>
            <w:gridSpan w:val="2"/>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5"/>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 Bonus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 of Base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Realization /</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384"/>
              <w:spacing w:after="0" w:line="135" w:lineRule="exact"/>
              <w:rPr>
                <w:sz w:val="20"/>
                <w:szCs w:val="20"/>
                <w:color w:val="auto"/>
              </w:rPr>
            </w:pPr>
            <w:r>
              <w:rPr>
                <w:rFonts w:ascii="Times New Roman" w:cs="Times New Roman" w:eastAsia="Times New Roman" w:hAnsi="Times New Roman"/>
                <w:sz w:val="13"/>
                <w:szCs w:val="13"/>
                <w:b w:val="1"/>
                <w:bCs w:val="1"/>
                <w:color w:val="auto"/>
              </w:rPr>
              <w:t>Actual 2025</w:t>
            </w:r>
          </w:p>
        </w:tc>
      </w:tr>
      <w:tr>
        <w:trPr>
          <w:trHeight w:val="155"/>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8"/>
              </w:rPr>
              <w:t>Salary)</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Payout (%)</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Bonus ($)</w:t>
            </w: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876,750</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358,000</w:t>
            </w:r>
          </w:p>
        </w:tc>
      </w:tr>
      <w:tr>
        <w:trPr>
          <w:trHeight w:val="20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388,000</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358,000</w:t>
            </w:r>
          </w:p>
        </w:tc>
      </w:tr>
      <w:tr>
        <w:trPr>
          <w:trHeight w:val="20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358,000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Compensation Committee decided to utilize the same performance measures for the 2026 annual incentive plan as follows: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9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2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70"/>
        </w:trPr>
        <w:tc>
          <w:tcPr>
            <w:tcW w:w="20" w:type="dxa"/>
            <w:vAlign w:val="bottom"/>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Our Pipeline</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22"/>
        </w:trPr>
        <w:tc>
          <w:tcPr>
            <w:tcW w:w="20" w:type="dxa"/>
            <w:vAlign w:val="bottom"/>
          </w:tcPr>
          <w:p>
            <w:pPr>
              <w:spacing w:after="0"/>
              <w:rPr>
                <w:sz w:val="19"/>
                <w:szCs w:val="19"/>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bl>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2026, we are maintaining the same 200% maximum bonus realization/payout attainable by our NEOs as was in place in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Compensation</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the 2025 Plan to provide all of our employees, including our NEOs, with incentives to help align our employees’ interests with the interests of our stockholders and to enable them to participate in the long-term appreciation of our stockholder value.</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Additionally, equity awards provide an important retention tool for all employees, as the awards generally vest over four years following the grant date.</w:t>
      </w:r>
    </w:p>
    <w:p>
      <w:pPr>
        <w:spacing w:after="0" w:line="127"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56"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color w:val="auto"/>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spacing w:after="0" w:line="76"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Generally, the Compensation Committee approves the grant of annual equity awards to our NEOs on the third trading day following the filing of our Annual Report on Form 10-K. Additionally, our option, RSU, and PSU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(as defined below) and Clawback Policy (as defined below) and are subject to any additional share trading, clawback or recoupment, or other policies that may be implemented by the Board from time to time.</w:t>
      </w:r>
    </w:p>
    <w:p>
      <w:pPr>
        <w:spacing w:after="0" w:line="78"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In February 2025,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the annual equity awards granted during 2025 in the form of RSUs, stock options, and PSUs. The NEOs’ annual equity grants for 2025 were comprised of approximately 33% each of RSUs, stock options and PSUs. The Company views RSUs, stock options and PSUs as performance-linked and variable: the value of the RSUs is based entirely on total shareholder return, the value of the stock options is based on stock price appreciation and provides value only if our stock price increases, and the value of the PSUs is a function of both total shareholder return and achievement of the defined PSU objectives. Each of these instruments motivates executives to build long-term shareholder value and helps to retain talent. The RSUs vest in four even annual increments beginning on the first anniversary of grant. Additionally, the vested RSUs are subject to a post-vest holding period whereby the vested shares are delivered seven years after the date of grant. The stock options vest in sixteen even quarterly increments over four years and have a ten-year term. PSUs vest approximately three years from the grant date.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The PSUs are subject to a three-year performance period. The shares earned by each NEO will be determined at the end of the performance period based on the achievement of two performance goals during the performance period, with 50% of the target number of PSUs eligible to vest based on achievement of a three-year revenue performance goal and 50% of the target number of PSUs eligible to vest based on achievement of a three-year clinical and regulatory performance goal. The number of shares earned will be based on achievement between threshold and maximum performance for the performance goals, with multipliers applied based on level of achievement ranging from 0% of the target award to a maximum of 200% of the target award, in each case subject to the executive's continued employment through the performance goal certification date, unless otherwise provided for in the award agreement or other severance arrangement. At the time the Compensation Committee set the performance metrics for the PSUs, the Compensation Committee believed that each performance metric was achievable at the target level, but only with significant effort. The Compensation Committee selected these performance goals because it believes they are representative measures of value creation for our stockholders over the longer term and are difficult to achieve but attainable.</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stock options were granted on the third trading day following the filing of our Annual Report on Form 10-K, which was filed with the SEC on February 18,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such, the exercise price of $137.75 per share of the options was the closing price of our common stock on February 21,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00" w:type="dxa"/>
            <w:vAlign w:val="bottom"/>
          </w:tcPr>
          <w:p>
            <w:pPr>
              <w:spacing w:after="0"/>
              <w:rPr>
                <w:sz w:val="12"/>
                <w:szCs w:val="12"/>
                <w:color w:val="auto"/>
              </w:rPr>
            </w:pPr>
          </w:p>
        </w:tc>
        <w:tc>
          <w:tcPr>
            <w:tcW w:w="13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RSUs</w:t>
            </w:r>
          </w:p>
        </w:tc>
        <w:tc>
          <w:tcPr>
            <w:tcW w:w="100" w:type="dxa"/>
            <w:vAlign w:val="bottom"/>
          </w:tcPr>
          <w:p>
            <w:pPr>
              <w:spacing w:after="0"/>
              <w:rPr>
                <w:sz w:val="12"/>
                <w:szCs w:val="12"/>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PSUs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w w:val="95"/>
              </w:rPr>
              <w:t>Grant Date Fair</w:t>
            </w:r>
          </w:p>
        </w:tc>
      </w:tr>
      <w:tr>
        <w:trPr>
          <w:trHeight w:val="15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3"/>
                <w:szCs w:val="13"/>
                <w:color w:val="auto"/>
              </w:rPr>
            </w:pPr>
          </w:p>
        </w:tc>
        <w:tc>
          <w:tcPr>
            <w:tcW w:w="12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00" w:type="dxa"/>
            <w:vAlign w:val="bottom"/>
          </w:tcPr>
          <w:p>
            <w:pPr>
              <w:spacing w:after="0"/>
              <w:rPr>
                <w:sz w:val="13"/>
                <w:szCs w:val="13"/>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2/21/2025</w:t>
            </w:r>
          </w:p>
        </w:tc>
        <w:tc>
          <w:tcPr>
            <w:tcW w:w="14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28,887</w:t>
            </w:r>
          </w:p>
        </w:tc>
        <w:tc>
          <w:tcPr>
            <w:tcW w:w="1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28,609</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5,666,388</w:t>
            </w:r>
          </w:p>
        </w:tc>
      </w:tr>
      <w:tr>
        <w:trPr>
          <w:trHeight w:val="203"/>
        </w:trPr>
        <w:tc>
          <w:tcPr>
            <w:tcW w:w="41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2/24/2025</w:t>
            </w:r>
          </w:p>
        </w:tc>
        <w:tc>
          <w:tcPr>
            <w:tcW w:w="14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28,609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2,700,404</w:t>
            </w: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2/21/2025</w:t>
            </w:r>
          </w:p>
        </w:tc>
        <w:tc>
          <w:tcPr>
            <w:tcW w:w="14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9,516</w:t>
            </w:r>
          </w:p>
        </w:tc>
        <w:tc>
          <w:tcPr>
            <w:tcW w:w="1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9,423</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1,866,488</w:t>
            </w:r>
          </w:p>
        </w:tc>
      </w:tr>
      <w:tr>
        <w:trPr>
          <w:trHeight w:val="203"/>
        </w:trPr>
        <w:tc>
          <w:tcPr>
            <w:tcW w:w="41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2/24/2025</w:t>
            </w:r>
          </w:p>
        </w:tc>
        <w:tc>
          <w:tcPr>
            <w:tcW w:w="14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9,423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889,437</w:t>
            </w: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2/21/2025</w:t>
            </w:r>
          </w:p>
        </w:tc>
        <w:tc>
          <w:tcPr>
            <w:tcW w:w="14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10,875</w:t>
            </w:r>
          </w:p>
        </w:tc>
        <w:tc>
          <w:tcPr>
            <w:tcW w:w="1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10,769</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2,133,077</w:t>
            </w:r>
          </w:p>
        </w:tc>
      </w:tr>
      <w:tr>
        <w:trPr>
          <w:trHeight w:val="203"/>
        </w:trPr>
        <w:tc>
          <w:tcPr>
            <w:tcW w:w="41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2/24/2025</w:t>
            </w:r>
          </w:p>
        </w:tc>
        <w:tc>
          <w:tcPr>
            <w:tcW w:w="14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10,769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1,016,486</w:t>
            </w: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2/21/2025</w:t>
            </w:r>
          </w:p>
        </w:tc>
        <w:tc>
          <w:tcPr>
            <w:tcW w:w="14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7,816</w:t>
            </w:r>
          </w:p>
        </w:tc>
        <w:tc>
          <w:tcPr>
            <w:tcW w:w="1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7,740</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1,533,089</w:t>
            </w:r>
          </w:p>
        </w:tc>
      </w:tr>
      <w:tr>
        <w:trPr>
          <w:trHeight w:val="203"/>
        </w:trPr>
        <w:tc>
          <w:tcPr>
            <w:tcW w:w="41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2/24/2025</w:t>
            </w:r>
          </w:p>
        </w:tc>
        <w:tc>
          <w:tcPr>
            <w:tcW w:w="14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7,740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730,579</w:t>
            </w: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2/21/2025</w:t>
            </w:r>
          </w:p>
        </w:tc>
        <w:tc>
          <w:tcPr>
            <w:tcW w:w="14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7,816</w:t>
            </w:r>
          </w:p>
        </w:tc>
        <w:tc>
          <w:tcPr>
            <w:tcW w:w="1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7,740</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1,533,089</w:t>
            </w:r>
          </w:p>
        </w:tc>
      </w:tr>
      <w:tr>
        <w:trPr>
          <w:trHeight w:val="210"/>
        </w:trPr>
        <w:tc>
          <w:tcPr>
            <w:tcW w:w="4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2/24/2025</w:t>
            </w:r>
          </w:p>
        </w:tc>
        <w:tc>
          <w:tcPr>
            <w:tcW w:w="14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7,740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730,579</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Aspects of Our Compensation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Plans, Perquisites and Other Personal Benefits</w:t>
      </w:r>
    </w:p>
    <w:p>
      <w:pPr>
        <w:spacing w:after="0" w:line="129" w:lineRule="exact"/>
        <w:rPr>
          <w:sz w:val="20"/>
          <w:szCs w:val="20"/>
          <w:color w:val="auto"/>
        </w:rPr>
      </w:pPr>
    </w:p>
    <w:p>
      <w:pPr>
        <w:ind w:right="500" w:firstLine="374"/>
        <w:spacing w:after="0" w:line="298" w:lineRule="auto"/>
        <w:rPr>
          <w:sz w:val="20"/>
          <w:szCs w:val="20"/>
          <w:color w:val="auto"/>
        </w:rPr>
      </w:pPr>
      <w:r>
        <w:rPr>
          <w:rFonts w:ascii="Times New Roman" w:cs="Times New Roman" w:eastAsia="Times New Roman" w:hAnsi="Times New Roman"/>
          <w:sz w:val="16"/>
          <w:szCs w:val="16"/>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 employee stock purchase plan, and a 401(k) plan.</w:t>
      </w:r>
    </w:p>
    <w:p>
      <w:pPr>
        <w:spacing w:after="0" w:line="56" w:lineRule="exact"/>
        <w:rPr>
          <w:sz w:val="20"/>
          <w:szCs w:val="20"/>
          <w:color w:val="auto"/>
        </w:rPr>
      </w:pPr>
    </w:p>
    <w:p>
      <w:pPr>
        <w:ind w:right="40" w:firstLine="374"/>
        <w:spacing w:after="0" w:line="280" w:lineRule="auto"/>
        <w:rPr>
          <w:sz w:val="20"/>
          <w:szCs w:val="20"/>
          <w:color w:val="auto"/>
        </w:rPr>
      </w:pPr>
      <w:r>
        <w:rPr>
          <w:rFonts w:ascii="Times New Roman" w:cs="Times New Roman" w:eastAsia="Times New Roman" w:hAnsi="Times New Roman"/>
          <w:sz w:val="16"/>
          <w:szCs w:val="16"/>
          <w:color w:val="auto"/>
        </w:rPr>
        <w:t>Under the tax-qualified employee savings and retirement plan, our 401(k) plan, all eligible U.S. employees, including our NEOs, may elect to defer a percentage of their eligible compensation, subject to the annual IRS limit. We match 50% of a participant’s contributions to the 401(k) plan of the first 8% of their eligible compensation. Other than the 401(k) plan, we do not sponsor or maintain any pension benefits, nonqualified defined contribution or other nonqualified deferred compensation plans for our NEOs.</w:t>
      </w:r>
    </w:p>
    <w:p>
      <w:pPr>
        <w:spacing w:after="0" w:line="274" w:lineRule="exact"/>
        <w:rPr>
          <w:sz w:val="20"/>
          <w:szCs w:val="20"/>
          <w:color w:val="auto"/>
        </w:rPr>
      </w:pPr>
    </w:p>
    <w:p>
      <w:pPr>
        <w:ind w:right="260" w:firstLine="374"/>
        <w:spacing w:after="0" w:line="298" w:lineRule="auto"/>
        <w:rPr>
          <w:sz w:val="20"/>
          <w:szCs w:val="20"/>
          <w:color w:val="auto"/>
        </w:rPr>
      </w:pPr>
      <w:r>
        <w:rPr>
          <w:rFonts w:ascii="Times New Roman" w:cs="Times New Roman" w:eastAsia="Times New Roman" w:hAnsi="Times New Roman"/>
          <w:sz w:val="16"/>
          <w:szCs w:val="16"/>
          <w:color w:val="auto"/>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Employment and Severance Agreements</w:t>
      </w:r>
    </w:p>
    <w:p>
      <w:pPr>
        <w:spacing w:after="0" w:line="12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We have entered into an employment agreement with our Chief Financial Officer, Nick Pizzie. Mr. Pizzie’s employment agreement includes a severance provision that in the event we terminate his employment without “cause” within 12 months following a “change in control” of the Company, he will be eligible to receive severance payments equal to six months of his then existing base salary. Our other NEOs are not party to employment agreements with the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 Prohibition on Hedging or Pledging</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We have adopted an insider trading policy (the “Insider Trading Policy”), which governs the purchase, sale, and/or other dispositions of our securities by our directors, officers, and employees, their immediate family members and entities owned or controlled by them as well as consultants that have access to material nonpublic information. The Insider Trading Policy is designed to promote compliance with insider trading laws, rules, and regulations as well as the listing standards of Nasdaq applicable to us. The Insider Trading Policy was filed as Exhibit 19.1 to our Annual Report on Form 10-K filed with the SEC on February 18, 2025.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40" w:firstLine="374"/>
        <w:spacing w:after="0" w:line="271" w:lineRule="auto"/>
        <w:rPr>
          <w:sz w:val="20"/>
          <w:szCs w:val="20"/>
          <w:color w:val="auto"/>
        </w:rPr>
      </w:pPr>
      <w:r>
        <w:rPr>
          <w:rFonts w:ascii="Times New Roman" w:cs="Times New Roman" w:eastAsia="Times New Roman" w:hAnsi="Times New Roman"/>
          <w:sz w:val="16"/>
          <w:szCs w:val="16"/>
          <w:color w:val="auto"/>
        </w:rPr>
        <w:t>Our insider trading policy prohibits short sales and derivative transactions of our stock by our NEOs, directors and all of our employees, including short sales of our securities and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NEOs, directors, and all of our employees from purchasing our securities on margin, borrowing against Company securities held in a margin account, or pledging our securities as collateral for a loan.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and Forfeiture</w:t>
      </w:r>
    </w:p>
    <w:p>
      <w:pPr>
        <w:spacing w:after="0" w:line="1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6"/>
          <w:szCs w:val="16"/>
          <w:color w:val="auto"/>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 Additionally, we are subject to the clawback provisions of Section 304 of the Sarbanes-Oxley Act and Section 954 of the Dodd-Frank Wall Street Reform and Consumer Protection Act and any rules or regulations promulgated thereunder. On November 17, 2023, we approved and adopted a policy related to the recovery of erroneously awarded incentive-based compensation received by certain executive officers of the Company on or after October 2, 2023 (the “Clawback Policy”). We enacted the Clawback Policy in order to comply with a recently enacted Nasdaq listing standard regarding the implementation of Exchange Act Rule 10D-1, which requires public companies to implement “clawback” policies providing for the recovery of incentive-based compensation in the event such company is required to prepare an accounting restatement due to the material noncompliance of such company with any financial reporting requirement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Analysis of Our Compensation Plans</w:t>
      </w:r>
    </w:p>
    <w:p>
      <w:pPr>
        <w:spacing w:after="0" w:line="129" w:lineRule="exact"/>
        <w:rPr>
          <w:sz w:val="20"/>
          <w:szCs w:val="20"/>
          <w:color w:val="auto"/>
        </w:rPr>
      </w:pPr>
    </w:p>
    <w:p>
      <w:pPr>
        <w:ind w:right="120" w:firstLine="374"/>
        <w:spacing w:after="0" w:line="275" w:lineRule="auto"/>
        <w:rPr>
          <w:sz w:val="20"/>
          <w:szCs w:val="20"/>
          <w:color w:val="auto"/>
        </w:rPr>
      </w:pPr>
      <w:r>
        <w:rPr>
          <w:rFonts w:ascii="Times New Roman" w:cs="Times New Roman" w:eastAsia="Times New Roman" w:hAnsi="Times New Roman"/>
          <w:sz w:val="16"/>
          <w:szCs w:val="16"/>
          <w:color w:val="auto"/>
        </w:rPr>
        <w:t>In early May 2025, FW Cook conducted a risk assessment of our compensation policies in effect for 2025 and delivered a report to the Compensation Committee summarizing the results of their risk assessment. The Compensation Committee has reviewed the report and considered our compensation policies applicable to our employees and believes that our policies do not encourage excessive or unnecessary risk-taking, and that the level of risk that they do encourage is not reasonably likely to have a material adverse effect on us.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jc w:val="both"/>
        <w:ind w:right="180" w:firstLine="374"/>
        <w:spacing w:after="0" w:line="281" w:lineRule="auto"/>
        <w:rPr>
          <w:sz w:val="20"/>
          <w:szCs w:val="20"/>
          <w:color w:val="auto"/>
        </w:rPr>
      </w:pPr>
      <w:r>
        <w:rPr>
          <w:rFonts w:ascii="Times New Roman" w:cs="Times New Roman" w:eastAsia="Times New Roman" w:hAnsi="Times New Roman"/>
          <w:sz w:val="16"/>
          <w:szCs w:val="16"/>
          <w:color w:val="auto"/>
        </w:rPr>
        <w:t>During 2025, no member of the Compensation Committee served as one of our officers, former officers, or employees. During 2025, none of our NEOs served as a member of the Compensation Committee of any other entity, one of whose executive officers served as a member of our Board of Directors or Compensation Committee, and none of our NEOs served as a member of the Board of Directors of any other entity.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29"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6"/>
          <w:szCs w:val="16"/>
          <w:color w:val="auto"/>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Submitted by the Compensation Committee of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Susan Mahony, Ph.D., M.B.A. (Chair)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Coleman, M.D.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Roger Jeffs, Ph.D.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Saad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29" w:lineRule="exact"/>
        <w:rPr>
          <w:sz w:val="20"/>
          <w:szCs w:val="20"/>
          <w:color w:val="auto"/>
        </w:rPr>
      </w:pPr>
    </w:p>
    <w:p>
      <w:pPr>
        <w:ind w:right="8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concerning the compensation paid to our Chief Executive Officer, Chief Financial Officer, Chief Operating Officer, General Counsel, and Chief Commercial Officer for the fiscal years ended December 31, 2025, 2024, and 2023. We refer to these individuals as our NEOs.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4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2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ind w:left="260"/>
              <w:spacing w:after="0" w:line="111" w:lineRule="exact"/>
              <w:rPr>
                <w:sz w:val="20"/>
                <w:szCs w:val="20"/>
                <w:color w:val="auto"/>
              </w:rPr>
            </w:pPr>
            <w:r>
              <w:rPr>
                <w:rFonts w:ascii="Times New Roman" w:cs="Times New Roman" w:eastAsia="Times New Roman" w:hAnsi="Times New Roman"/>
                <w:sz w:val="11"/>
                <w:szCs w:val="11"/>
                <w:b w:val="1"/>
                <w:bCs w:val="1"/>
                <w:color w:val="auto"/>
              </w:rPr>
              <w:t>Salary</w:t>
            </w:r>
          </w:p>
        </w:tc>
        <w:tc>
          <w:tcPr>
            <w:tcW w:w="340" w:type="dxa"/>
            <w:vAlign w:val="bottom"/>
          </w:tcPr>
          <w:p>
            <w:pPr>
              <w:spacing w:after="0"/>
              <w:rPr>
                <w:sz w:val="9"/>
                <w:szCs w:val="9"/>
                <w:color w:val="auto"/>
              </w:rPr>
            </w:pPr>
          </w:p>
        </w:tc>
        <w:tc>
          <w:tcPr>
            <w:tcW w:w="500" w:type="dxa"/>
            <w:vAlign w:val="bottom"/>
          </w:tcPr>
          <w:p>
            <w:pPr>
              <w:ind w:left="100"/>
              <w:spacing w:after="0" w:line="111" w:lineRule="exact"/>
              <w:rPr>
                <w:sz w:val="20"/>
                <w:szCs w:val="20"/>
                <w:color w:val="auto"/>
              </w:rPr>
            </w:pPr>
            <w:r>
              <w:rPr>
                <w:rFonts w:ascii="Times New Roman" w:cs="Times New Roman" w:eastAsia="Times New Roman" w:hAnsi="Times New Roman"/>
                <w:sz w:val="11"/>
                <w:szCs w:val="11"/>
                <w:b w:val="1"/>
                <w:bCs w:val="1"/>
                <w:color w:val="auto"/>
              </w:rPr>
              <w:t>Bonus</w:t>
            </w:r>
          </w:p>
        </w:tc>
        <w:tc>
          <w:tcPr>
            <w:tcW w:w="12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60" w:type="dxa"/>
            <w:vAlign w:val="bottom"/>
          </w:tcPr>
          <w:p>
            <w:pPr>
              <w:spacing w:after="0"/>
              <w:rPr>
                <w:sz w:val="9"/>
                <w:szCs w:val="9"/>
                <w:color w:val="auto"/>
              </w:rPr>
            </w:pPr>
          </w:p>
        </w:tc>
        <w:tc>
          <w:tcPr>
            <w:tcW w:w="10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4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26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260" w:type="dxa"/>
            <w:vAlign w:val="bottom"/>
          </w:tcPr>
          <w:p>
            <w:pPr>
              <w:spacing w:after="0"/>
              <w:rPr>
                <w:sz w:val="9"/>
                <w:szCs w:val="9"/>
                <w:color w:val="auto"/>
              </w:rPr>
            </w:pPr>
          </w:p>
        </w:tc>
        <w:tc>
          <w:tcPr>
            <w:tcW w:w="1160" w:type="dxa"/>
            <w:vAlign w:val="bottom"/>
            <w:gridSpan w:val="2"/>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20" w:type="dxa"/>
            <w:vAlign w:val="bottom"/>
          </w:tcPr>
          <w:p>
            <w:pPr>
              <w:spacing w:after="0"/>
              <w:rPr>
                <w:sz w:val="12"/>
                <w:szCs w:val="12"/>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2"/>
                <w:szCs w:val="12"/>
                <w:color w:val="auto"/>
              </w:rPr>
            </w:pPr>
          </w:p>
        </w:tc>
        <w:tc>
          <w:tcPr>
            <w:tcW w:w="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(1)</w:t>
            </w: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(1)</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(2)</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(3)</w:t>
            </w:r>
          </w:p>
        </w:tc>
        <w:tc>
          <w:tcPr>
            <w:tcW w:w="260" w:type="dxa"/>
            <w:vAlign w:val="bottom"/>
          </w:tcPr>
          <w:p>
            <w:pPr>
              <w:spacing w:after="0"/>
              <w:rPr>
                <w:sz w:val="12"/>
                <w:szCs w:val="1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Herriot Tabuteau, M.D.</w:t>
            </w:r>
          </w:p>
        </w:tc>
        <w:tc>
          <w:tcPr>
            <w:tcW w:w="640" w:type="dxa"/>
            <w:vAlign w:val="bottom"/>
            <w:gridSpan w:val="2"/>
            <w:shd w:val="clear" w:color="auto" w:fill="CFF0FC"/>
          </w:tcPr>
          <w:p>
            <w:pPr>
              <w:jc w:val="center"/>
              <w:ind w:left="49"/>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960" w:type="dxa"/>
            <w:vAlign w:val="bottom"/>
            <w:gridSpan w:val="2"/>
            <w:shd w:val="clear" w:color="auto" w:fill="CFF0FC"/>
          </w:tcPr>
          <w:p>
            <w:pPr>
              <w:ind w:left="480"/>
              <w:spacing w:after="0" w:line="118" w:lineRule="exact"/>
              <w:rPr>
                <w:sz w:val="20"/>
                <w:szCs w:val="20"/>
                <w:color w:val="auto"/>
              </w:rPr>
            </w:pPr>
            <w:r>
              <w:rPr>
                <w:rFonts w:ascii="Times New Roman" w:cs="Times New Roman" w:eastAsia="Times New Roman" w:hAnsi="Times New Roman"/>
                <w:sz w:val="13"/>
                <w:szCs w:val="13"/>
                <w:color w:val="auto"/>
              </w:rPr>
              <w:t>835,000</w:t>
            </w:r>
          </w:p>
        </w:tc>
        <w:tc>
          <w:tcPr>
            <w:tcW w:w="340" w:type="dxa"/>
            <w:vAlign w:val="bottom"/>
            <w:shd w:val="clear" w:color="auto" w:fill="CFF0FC"/>
          </w:tcPr>
          <w:p>
            <w:pPr>
              <w:spacing w:after="0"/>
              <w:rPr>
                <w:sz w:val="10"/>
                <w:szCs w:val="10"/>
                <w:color w:val="auto"/>
              </w:rPr>
            </w:pPr>
          </w:p>
        </w:tc>
        <w:tc>
          <w:tcPr>
            <w:tcW w:w="500" w:type="dxa"/>
            <w:vAlign w:val="bottom"/>
            <w:shd w:val="clear" w:color="auto" w:fill="CFF0FC"/>
          </w:tcPr>
          <w:p>
            <w:pPr>
              <w:ind w:left="3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5,533,554</w:t>
            </w: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2,833,237</w:t>
            </w:r>
          </w:p>
        </w:tc>
        <w:tc>
          <w:tcPr>
            <w:tcW w:w="24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876,750</w:t>
            </w: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204,951</w:t>
            </w:r>
          </w:p>
        </w:tc>
        <w:tc>
          <w:tcPr>
            <w:tcW w:w="26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10,283,492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tcBorders>
              <w:bottom w:val="single" w:sz="8" w:color="CFF0FC"/>
            </w:tcBorders>
            <w:gridSpan w:val="2"/>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780,000</w:t>
            </w:r>
          </w:p>
        </w:tc>
        <w:tc>
          <w:tcPr>
            <w:tcW w:w="3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2,833,150</w:t>
            </w:r>
          </w:p>
        </w:tc>
        <w:tc>
          <w:tcPr>
            <w:tcW w:w="26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5,666,608</w:t>
            </w:r>
          </w:p>
        </w:tc>
        <w:tc>
          <w:tcPr>
            <w:tcW w:w="2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955,500</w:t>
            </w:r>
          </w:p>
        </w:tc>
        <w:tc>
          <w:tcPr>
            <w:tcW w:w="2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129,430</w:t>
            </w: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10,364,688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00" w:type="dxa"/>
            <w:vAlign w:val="bottom"/>
            <w:tcBorders>
              <w:bottom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i w:val="1"/>
                <w:iCs w:val="1"/>
                <w:color w:val="auto"/>
              </w:rPr>
              <w:t>President and Chairman of the Board</w:t>
            </w:r>
          </w:p>
        </w:tc>
        <w:tc>
          <w:tcPr>
            <w:tcW w:w="140" w:type="dxa"/>
            <w:vAlign w:val="bottom"/>
            <w:tcBorders>
              <w:bottom w:val="single" w:sz="8" w:color="CFF0FC"/>
            </w:tcBorders>
            <w:shd w:val="clear" w:color="auto" w:fill="CFF0FC"/>
          </w:tcPr>
          <w:p>
            <w:pPr>
              <w:spacing w:after="0"/>
              <w:rPr>
                <w:sz w:val="11"/>
                <w:szCs w:val="11"/>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750,000</w:t>
            </w:r>
          </w:p>
        </w:tc>
        <w:tc>
          <w:tcPr>
            <w:tcW w:w="340" w:type="dxa"/>
            <w:vAlign w:val="bottom"/>
          </w:tcPr>
          <w:p>
            <w:pPr>
              <w:spacing w:after="0"/>
              <w:rPr>
                <w:sz w:val="11"/>
                <w:szCs w:val="11"/>
                <w:color w:val="auto"/>
              </w:rPr>
            </w:pPr>
          </w:p>
        </w:tc>
        <w:tc>
          <w:tcPr>
            <w:tcW w:w="50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2,834,520</w:t>
            </w:r>
          </w:p>
        </w:tc>
        <w:tc>
          <w:tcPr>
            <w:tcW w:w="260" w:type="dxa"/>
            <w:vAlign w:val="bottom"/>
          </w:tcPr>
          <w:p>
            <w:pPr>
              <w:spacing w:after="0"/>
              <w:rPr>
                <w:sz w:val="11"/>
                <w:szCs w:val="11"/>
                <w:color w:val="auto"/>
              </w:rPr>
            </w:pP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5,666,648</w:t>
            </w:r>
          </w:p>
        </w:tc>
        <w:tc>
          <w:tcPr>
            <w:tcW w:w="240" w:type="dxa"/>
            <w:vAlign w:val="bottom"/>
          </w:tcPr>
          <w:p>
            <w:pPr>
              <w:spacing w:after="0"/>
              <w:rPr>
                <w:sz w:val="11"/>
                <w:szCs w:val="11"/>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562,500</w:t>
            </w:r>
          </w:p>
        </w:tc>
        <w:tc>
          <w:tcPr>
            <w:tcW w:w="260" w:type="dxa"/>
            <w:vAlign w:val="bottom"/>
          </w:tcPr>
          <w:p>
            <w:pPr>
              <w:spacing w:after="0"/>
              <w:rPr>
                <w:sz w:val="11"/>
                <w:szCs w:val="11"/>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82,961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9,896,629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Nick Pizzie, C.P.A., M.B.A.</w:t>
            </w:r>
          </w:p>
        </w:tc>
        <w:tc>
          <w:tcPr>
            <w:tcW w:w="14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2025</w:t>
            </w:r>
          </w:p>
        </w:tc>
        <w:tc>
          <w:tcPr>
            <w:tcW w:w="960" w:type="dxa"/>
            <w:vAlign w:val="bottom"/>
            <w:gridSpan w:val="2"/>
          </w:tcPr>
          <w:p>
            <w:pPr>
              <w:ind w:left="480"/>
              <w:spacing w:after="0" w:line="122" w:lineRule="exact"/>
              <w:rPr>
                <w:sz w:val="20"/>
                <w:szCs w:val="20"/>
                <w:color w:val="auto"/>
              </w:rPr>
            </w:pPr>
            <w:r>
              <w:rPr>
                <w:rFonts w:ascii="Times New Roman" w:cs="Times New Roman" w:eastAsia="Times New Roman" w:hAnsi="Times New Roman"/>
                <w:sz w:val="14"/>
                <w:szCs w:val="14"/>
                <w:color w:val="auto"/>
              </w:rPr>
              <w:t>530,000</w:t>
            </w:r>
          </w:p>
        </w:tc>
        <w:tc>
          <w:tcPr>
            <w:tcW w:w="340" w:type="dxa"/>
            <w:vAlign w:val="bottom"/>
          </w:tcPr>
          <w:p>
            <w:pPr>
              <w:spacing w:after="0"/>
              <w:rPr>
                <w:sz w:val="10"/>
                <w:szCs w:val="10"/>
                <w:color w:val="auto"/>
              </w:rPr>
            </w:pPr>
          </w:p>
        </w:tc>
        <w:tc>
          <w:tcPr>
            <w:tcW w:w="500" w:type="dxa"/>
            <w:vAlign w:val="bottom"/>
          </w:tcPr>
          <w:p>
            <w:pPr>
              <w:ind w:left="3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1,822,596</w:t>
            </w:r>
          </w:p>
        </w:tc>
        <w:tc>
          <w:tcPr>
            <w:tcW w:w="2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933,329</w:t>
            </w:r>
          </w:p>
        </w:tc>
        <w:tc>
          <w:tcPr>
            <w:tcW w:w="2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358,000</w:t>
            </w:r>
          </w:p>
        </w:tc>
        <w:tc>
          <w:tcPr>
            <w:tcW w:w="2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86,594</w:t>
            </w:r>
          </w:p>
        </w:tc>
        <w:tc>
          <w:tcPr>
            <w:tcW w:w="260" w:type="dxa"/>
            <w:vAlign w:val="bottom"/>
            <w:vMerge w:val="continue"/>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3,730,519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4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505,000</w:t>
            </w:r>
          </w:p>
        </w:tc>
        <w:tc>
          <w:tcPr>
            <w:tcW w:w="340" w:type="dxa"/>
            <w:vAlign w:val="bottom"/>
          </w:tcPr>
          <w:p>
            <w:pPr>
              <w:spacing w:after="0"/>
              <w:rPr>
                <w:sz w:val="12"/>
                <w:szCs w:val="12"/>
                <w:color w:val="auto"/>
              </w:rPr>
            </w:pPr>
          </w:p>
        </w:tc>
        <w:tc>
          <w:tcPr>
            <w:tcW w:w="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933,260</w:t>
            </w: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1,866,643</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398,000</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53,487</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4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485,000</w:t>
            </w:r>
          </w:p>
        </w:tc>
        <w:tc>
          <w:tcPr>
            <w:tcW w:w="340" w:type="dxa"/>
            <w:vAlign w:val="bottom"/>
          </w:tcPr>
          <w:p>
            <w:pPr>
              <w:spacing w:after="0"/>
              <w:rPr>
                <w:sz w:val="12"/>
                <w:szCs w:val="12"/>
                <w:color w:val="auto"/>
              </w:rPr>
            </w:pPr>
          </w:p>
        </w:tc>
        <w:tc>
          <w:tcPr>
            <w:tcW w:w="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933,665</w:t>
            </w: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1,866,669</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243,000</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37,483</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3,565,817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640" w:type="dxa"/>
            <w:vAlign w:val="bottom"/>
            <w:gridSpan w:val="2"/>
            <w:vMerge w:val="restart"/>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960" w:type="dxa"/>
            <w:vAlign w:val="bottom"/>
            <w:gridSpan w:val="2"/>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auto"/>
              </w:rPr>
              <w:t>575,000</w:t>
            </w:r>
          </w:p>
        </w:tc>
        <w:tc>
          <w:tcPr>
            <w:tcW w:w="340" w:type="dxa"/>
            <w:vAlign w:val="bottom"/>
          </w:tcPr>
          <w:p>
            <w:pPr>
              <w:spacing w:after="0"/>
              <w:rPr>
                <w:sz w:val="2"/>
                <w:szCs w:val="2"/>
                <w:color w:val="auto"/>
              </w:rPr>
            </w:pPr>
          </w:p>
        </w:tc>
        <w:tc>
          <w:tcPr>
            <w:tcW w:w="5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2,082,943</w:t>
            </w:r>
          </w:p>
        </w:tc>
        <w:tc>
          <w:tcPr>
            <w:tcW w:w="260" w:type="dxa"/>
            <w:vAlign w:val="bottom"/>
          </w:tcPr>
          <w:p>
            <w:pPr>
              <w:spacing w:after="0"/>
              <w:rPr>
                <w:sz w:val="2"/>
                <w:szCs w:val="2"/>
                <w:color w:val="auto"/>
              </w:rPr>
            </w:pPr>
          </w:p>
        </w:tc>
        <w:tc>
          <w:tcPr>
            <w:tcW w:w="10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1,066,620</w:t>
            </w:r>
          </w:p>
        </w:tc>
        <w:tc>
          <w:tcPr>
            <w:tcW w:w="24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388,000</w:t>
            </w:r>
          </w:p>
        </w:tc>
        <w:tc>
          <w:tcPr>
            <w:tcW w:w="26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95,568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4,208,131</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4"/>
                <w:szCs w:val="14"/>
                <w:color w:val="auto"/>
              </w:rPr>
              <w:t>Mark Jacobson, M.A.</w:t>
            </w:r>
          </w:p>
        </w:tc>
        <w:tc>
          <w:tcPr>
            <w:tcW w:w="6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640" w:type="dxa"/>
            <w:vAlign w:val="bottom"/>
            <w:gridSpan w:val="2"/>
          </w:tcPr>
          <w:p>
            <w:pPr>
              <w:spacing w:after="0"/>
              <w:rPr>
                <w:sz w:val="2"/>
                <w:szCs w:val="2"/>
                <w:color w:val="auto"/>
              </w:rPr>
            </w:pPr>
          </w:p>
        </w:tc>
        <w:tc>
          <w:tcPr>
            <w:tcW w:w="960" w:type="dxa"/>
            <w:vAlign w:val="bottom"/>
            <w:gridSpan w:val="2"/>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auto"/>
              </w:rPr>
              <w:t>552,000</w:t>
            </w:r>
          </w:p>
        </w:tc>
        <w:tc>
          <w:tcPr>
            <w:tcW w:w="340" w:type="dxa"/>
            <w:vAlign w:val="bottom"/>
          </w:tcPr>
          <w:p>
            <w:pPr>
              <w:spacing w:after="0"/>
              <w:rPr>
                <w:sz w:val="2"/>
                <w:szCs w:val="2"/>
                <w:color w:val="auto"/>
              </w:rPr>
            </w:pPr>
          </w:p>
        </w:tc>
        <w:tc>
          <w:tcPr>
            <w:tcW w:w="5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1,066,557</w:t>
            </w:r>
          </w:p>
        </w:tc>
        <w:tc>
          <w:tcPr>
            <w:tcW w:w="260" w:type="dxa"/>
            <w:vAlign w:val="bottom"/>
          </w:tcPr>
          <w:p>
            <w:pPr>
              <w:spacing w:after="0"/>
              <w:rPr>
                <w:sz w:val="2"/>
                <w:szCs w:val="2"/>
                <w:color w:val="auto"/>
              </w:rPr>
            </w:pPr>
          </w:p>
        </w:tc>
        <w:tc>
          <w:tcPr>
            <w:tcW w:w="10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2,133,297</w:t>
            </w:r>
          </w:p>
        </w:tc>
        <w:tc>
          <w:tcPr>
            <w:tcW w:w="24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435,000</w:t>
            </w:r>
          </w:p>
        </w:tc>
        <w:tc>
          <w:tcPr>
            <w:tcW w:w="26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58,959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4,245,813</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6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340" w:type="dxa"/>
            <w:vAlign w:val="bottom"/>
          </w:tcPr>
          <w:p>
            <w:pPr>
              <w:spacing w:after="0"/>
              <w:rPr>
                <w:sz w:val="13"/>
                <w:szCs w:val="13"/>
                <w:color w:val="auto"/>
              </w:rPr>
            </w:pPr>
          </w:p>
        </w:tc>
        <w:tc>
          <w:tcPr>
            <w:tcW w:w="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1,067,077</w:t>
            </w:r>
          </w:p>
        </w:tc>
        <w:tc>
          <w:tcPr>
            <w:tcW w:w="260" w:type="dxa"/>
            <w:vAlign w:val="bottom"/>
          </w:tcPr>
          <w:p>
            <w:pPr>
              <w:spacing w:after="0"/>
              <w:rPr>
                <w:sz w:val="13"/>
                <w:szCs w:val="13"/>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2,133,336</w:t>
            </w:r>
          </w:p>
        </w:tc>
        <w:tc>
          <w:tcPr>
            <w:tcW w:w="24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26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40,837</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4,036,250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Hunter Murdock, Esq.</w:t>
            </w:r>
          </w:p>
        </w:tc>
        <w:tc>
          <w:tcPr>
            <w:tcW w:w="14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2025</w:t>
            </w:r>
          </w:p>
        </w:tc>
        <w:tc>
          <w:tcPr>
            <w:tcW w:w="960" w:type="dxa"/>
            <w:vAlign w:val="bottom"/>
            <w:gridSpan w:val="2"/>
          </w:tcPr>
          <w:p>
            <w:pPr>
              <w:ind w:left="480"/>
              <w:spacing w:after="0" w:line="122" w:lineRule="exact"/>
              <w:rPr>
                <w:sz w:val="20"/>
                <w:szCs w:val="20"/>
                <w:color w:val="auto"/>
              </w:rPr>
            </w:pPr>
            <w:r>
              <w:rPr>
                <w:rFonts w:ascii="Times New Roman" w:cs="Times New Roman" w:eastAsia="Times New Roman" w:hAnsi="Times New Roman"/>
                <w:sz w:val="14"/>
                <w:szCs w:val="14"/>
                <w:color w:val="auto"/>
              </w:rPr>
              <w:t>530,000</w:t>
            </w:r>
          </w:p>
        </w:tc>
        <w:tc>
          <w:tcPr>
            <w:tcW w:w="340" w:type="dxa"/>
            <w:vAlign w:val="bottom"/>
          </w:tcPr>
          <w:p>
            <w:pPr>
              <w:spacing w:after="0"/>
              <w:rPr>
                <w:sz w:val="10"/>
                <w:szCs w:val="10"/>
                <w:color w:val="auto"/>
              </w:rPr>
            </w:pPr>
          </w:p>
        </w:tc>
        <w:tc>
          <w:tcPr>
            <w:tcW w:w="500" w:type="dxa"/>
            <w:vAlign w:val="bottom"/>
          </w:tcPr>
          <w:p>
            <w:pPr>
              <w:ind w:left="3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1,497,075</w:t>
            </w:r>
          </w:p>
        </w:tc>
        <w:tc>
          <w:tcPr>
            <w:tcW w:w="2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766,593</w:t>
            </w:r>
          </w:p>
        </w:tc>
        <w:tc>
          <w:tcPr>
            <w:tcW w:w="2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358,000</w:t>
            </w:r>
          </w:p>
        </w:tc>
        <w:tc>
          <w:tcPr>
            <w:tcW w:w="2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72,636</w:t>
            </w:r>
          </w:p>
        </w:tc>
        <w:tc>
          <w:tcPr>
            <w:tcW w:w="2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3,224,304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General Counsel</w:t>
            </w:r>
          </w:p>
        </w:tc>
        <w:tc>
          <w:tcPr>
            <w:tcW w:w="64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505,000</w:t>
            </w:r>
          </w:p>
        </w:tc>
        <w:tc>
          <w:tcPr>
            <w:tcW w:w="340" w:type="dxa"/>
            <w:vAlign w:val="bottom"/>
          </w:tcPr>
          <w:p>
            <w:pPr>
              <w:spacing w:after="0"/>
              <w:rPr>
                <w:sz w:val="12"/>
                <w:szCs w:val="12"/>
                <w:color w:val="auto"/>
              </w:rPr>
            </w:pPr>
          </w:p>
        </w:tc>
        <w:tc>
          <w:tcPr>
            <w:tcW w:w="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766,536</w:t>
            </w: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1,533,309</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398,000</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42,697</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64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485,000</w:t>
            </w:r>
          </w:p>
        </w:tc>
        <w:tc>
          <w:tcPr>
            <w:tcW w:w="340" w:type="dxa"/>
            <w:vAlign w:val="bottom"/>
          </w:tcPr>
          <w:p>
            <w:pPr>
              <w:spacing w:after="0"/>
              <w:rPr>
                <w:sz w:val="12"/>
                <w:szCs w:val="12"/>
                <w:color w:val="auto"/>
              </w:rPr>
            </w:pPr>
          </w:p>
        </w:tc>
        <w:tc>
          <w:tcPr>
            <w:tcW w:w="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766,909</w:t>
            </w: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1,533,310</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243,000</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29,312</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3,057,530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640" w:type="dxa"/>
            <w:vAlign w:val="bottom"/>
            <w:gridSpan w:val="2"/>
            <w:vMerge w:val="restart"/>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960" w:type="dxa"/>
            <w:vAlign w:val="bottom"/>
            <w:gridSpan w:val="2"/>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340" w:type="dxa"/>
            <w:vAlign w:val="bottom"/>
          </w:tcPr>
          <w:p>
            <w:pPr>
              <w:spacing w:after="0"/>
              <w:rPr>
                <w:sz w:val="2"/>
                <w:szCs w:val="2"/>
                <w:color w:val="auto"/>
              </w:rPr>
            </w:pPr>
          </w:p>
        </w:tc>
        <w:tc>
          <w:tcPr>
            <w:tcW w:w="5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1,497,075</w:t>
            </w:r>
          </w:p>
        </w:tc>
        <w:tc>
          <w:tcPr>
            <w:tcW w:w="260" w:type="dxa"/>
            <w:vAlign w:val="bottom"/>
          </w:tcPr>
          <w:p>
            <w:pPr>
              <w:spacing w:after="0"/>
              <w:rPr>
                <w:sz w:val="2"/>
                <w:szCs w:val="2"/>
                <w:color w:val="auto"/>
              </w:rPr>
            </w:pPr>
          </w:p>
        </w:tc>
        <w:tc>
          <w:tcPr>
            <w:tcW w:w="10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766,593</w:t>
            </w:r>
          </w:p>
        </w:tc>
        <w:tc>
          <w:tcPr>
            <w:tcW w:w="24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358,000</w:t>
            </w:r>
          </w:p>
        </w:tc>
        <w:tc>
          <w:tcPr>
            <w:tcW w:w="260" w:type="dxa"/>
            <w:vAlign w:val="bottom"/>
          </w:tcPr>
          <w:p>
            <w:pPr>
              <w:spacing w:after="0"/>
              <w:rPr>
                <w:sz w:val="2"/>
                <w:szCs w:val="2"/>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36,989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3,188,657</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4"/>
                <w:szCs w:val="14"/>
                <w:color w:val="auto"/>
              </w:rPr>
              <w:t>Ari Maizel, M.B.A.</w:t>
            </w:r>
          </w:p>
        </w:tc>
        <w:tc>
          <w:tcPr>
            <w:tcW w:w="6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shd w:val="clear" w:color="auto" w:fill="CFF0FC"/>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640" w:type="dxa"/>
            <w:vAlign w:val="bottom"/>
            <w:gridSpan w:val="2"/>
          </w:tcPr>
          <w:p>
            <w:pPr>
              <w:spacing w:after="0"/>
              <w:rPr>
                <w:sz w:val="2"/>
                <w:szCs w:val="2"/>
                <w:color w:val="auto"/>
              </w:rPr>
            </w:pPr>
          </w:p>
        </w:tc>
        <w:tc>
          <w:tcPr>
            <w:tcW w:w="960" w:type="dxa"/>
            <w:vAlign w:val="bottom"/>
            <w:gridSpan w:val="2"/>
            <w:vMerge w:val="restart"/>
          </w:tcPr>
          <w:p>
            <w:pPr>
              <w:ind w:left="480"/>
              <w:spacing w:after="0" w:line="153" w:lineRule="exact"/>
              <w:rPr>
                <w:sz w:val="20"/>
                <w:szCs w:val="20"/>
                <w:color w:val="auto"/>
              </w:rPr>
            </w:pPr>
            <w:r>
              <w:rPr>
                <w:rFonts w:ascii="Times New Roman" w:cs="Times New Roman" w:eastAsia="Times New Roman" w:hAnsi="Times New Roman"/>
                <w:sz w:val="14"/>
                <w:szCs w:val="14"/>
                <w:color w:val="auto"/>
              </w:rPr>
              <w:t>510,000</w:t>
            </w:r>
          </w:p>
        </w:tc>
        <w:tc>
          <w:tcPr>
            <w:tcW w:w="3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500" w:type="dxa"/>
            <w:vAlign w:val="bottom"/>
            <w:vMerge w:val="restart"/>
          </w:tcPr>
          <w:p>
            <w:pPr>
              <w:ind w:left="34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766,536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2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1,533,309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372,000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16,662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6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3,198,507</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6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445,000</w:t>
            </w:r>
          </w:p>
        </w:tc>
        <w:tc>
          <w:tcPr>
            <w:tcW w:w="340" w:type="dxa"/>
            <w:vAlign w:val="bottom"/>
            <w:vMerge w:val="continue"/>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1,075,817</w:t>
            </w:r>
          </w:p>
        </w:tc>
        <w:tc>
          <w:tcPr>
            <w:tcW w:w="26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2,149,953</w:t>
            </w:r>
          </w:p>
        </w:tc>
        <w:tc>
          <w:tcPr>
            <w:tcW w:w="24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6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-1224915</wp:posOffset>
            </wp:positionV>
            <wp:extent cx="5400675"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0067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283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line="222"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RSUs / PSUs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included in our Annual Report on Form 10-K for the year ended December 31, 2025. These amounts do not reflect the actual economic value that will be realized by the named executive officer upon the vesting of the RSUs / PSUs / stock options, the exercise of the stock options, or the sale of the common stock underlying such stock options. Pursuant to SEC rules, the amounts shown exclude the impact of estimated forfeitures related to service-based vesting conditions, and, for PSUs, the amounts represent the value based on the probable outcome of the performance conditions in accordance with FASB ASC 718. For the PSUs included in this column for 2025, the grant date fair values based on the target level of achievement, which was considered the probable outcome on the date of grant, were $2,700,404 for Dr. Tabuteau, $889,437 for Mr. Pizzie, $1,016,486 for Mr. Jacobson, $730,579 for Mr. Murdock and $730,579 for Mr. Maizel. Assuming the highest level of achievement of all PSUs granted in 2025, the grant date values for PSUs would be $5,400,808 for Dr. Tabuteau, $1,778,874 for Mr. Pizzie, $2,032,972 for Mr. Jacobson, $1,461,158 for Mr. Murdock and $1,461,158 for Mr. Maizel.</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incentive payments made under our annual incentive plans, paid in February following completion of the applicable performance year.</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NEO’s portion of FICA tax payments paid by the Company on behalf of the NEO due to delayed settlement of corresponding RSUs.</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company contributions under the 401(k) match program described for the NEO consistent with those provided to all of our employees.</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Maizel was hired in October 2023, and therefore, did not receive a full year salary with the Company.</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Mr. Maizel’s new hire equity awards granted upon being hired in October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Grants of Plan-Based Awards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2025, we granted the following non-equity incentive awards, and the following stock options, RSUs, and PSUs under our 2025 Plan to our NEOs: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9"/>
                <w:szCs w:val="9"/>
                <w:b w:val="1"/>
                <w:bCs w:val="1"/>
                <w:color w:val="auto"/>
              </w:rPr>
              <w:t>Exercise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Grant Date</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Number of</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48"/>
              <w:spacing w:after="0" w:line="95" w:lineRule="exact"/>
              <w:rPr>
                <w:sz w:val="20"/>
                <w:szCs w:val="20"/>
                <w:color w:val="auto"/>
              </w:rPr>
            </w:pPr>
            <w:r>
              <w:rPr>
                <w:rFonts w:ascii="Times New Roman" w:cs="Times New Roman" w:eastAsia="Times New Roman" w:hAnsi="Times New Roman"/>
                <w:sz w:val="9"/>
                <w:szCs w:val="9"/>
                <w:b w:val="1"/>
                <w:bCs w:val="1"/>
                <w:color w:val="auto"/>
              </w:rPr>
              <w:t>or Base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Number of</w:t>
            </w:r>
          </w:p>
        </w:tc>
        <w:tc>
          <w:tcPr>
            <w:tcW w:w="220" w:type="dxa"/>
            <w:vAlign w:val="bottom"/>
          </w:tcPr>
          <w:p>
            <w:pPr>
              <w:spacing w:after="0"/>
              <w:rPr>
                <w:sz w:val="8"/>
                <w:szCs w:val="8"/>
                <w:color w:val="auto"/>
              </w:rPr>
            </w:pPr>
          </w:p>
        </w:tc>
        <w:tc>
          <w:tcPr>
            <w:tcW w:w="7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Securities</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48"/>
              <w:spacing w:after="0" w:line="95" w:lineRule="exact"/>
              <w:rPr>
                <w:sz w:val="20"/>
                <w:szCs w:val="20"/>
                <w:color w:val="auto"/>
              </w:rPr>
            </w:pPr>
            <w:r>
              <w:rPr>
                <w:rFonts w:ascii="Times New Roman" w:cs="Times New Roman" w:eastAsia="Times New Roman" w:hAnsi="Times New Roman"/>
                <w:sz w:val="9"/>
                <w:szCs w:val="9"/>
                <w:b w:val="1"/>
                <w:bCs w:val="1"/>
                <w:color w:val="auto"/>
              </w:rPr>
              <w:t>Price of</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9"/>
              </w:rPr>
              <w:t>Value of</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Estimated Future Payouts</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right="67"/>
              <w:spacing w:after="0" w:line="95" w:lineRule="exact"/>
              <w:rPr>
                <w:sz w:val="20"/>
                <w:szCs w:val="20"/>
                <w:color w:val="auto"/>
              </w:rPr>
            </w:pPr>
            <w:r>
              <w:rPr>
                <w:rFonts w:ascii="Times New Roman" w:cs="Times New Roman" w:eastAsia="Times New Roman" w:hAnsi="Times New Roman"/>
                <w:sz w:val="9"/>
                <w:szCs w:val="9"/>
                <w:b w:val="1"/>
                <w:bCs w:val="1"/>
                <w:color w:val="auto"/>
                <w:w w:val="99"/>
              </w:rPr>
              <w:t>Estimated Future Payouts</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Shares of</w:t>
            </w:r>
          </w:p>
        </w:tc>
        <w:tc>
          <w:tcPr>
            <w:tcW w:w="220" w:type="dxa"/>
            <w:vAlign w:val="bottom"/>
          </w:tcPr>
          <w:p>
            <w:pPr>
              <w:spacing w:after="0"/>
              <w:rPr>
                <w:sz w:val="8"/>
                <w:szCs w:val="8"/>
                <w:color w:val="auto"/>
              </w:rPr>
            </w:pPr>
          </w:p>
        </w:tc>
        <w:tc>
          <w:tcPr>
            <w:tcW w:w="7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6"/>
              </w:rPr>
              <w:t>Underlying</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48"/>
              <w:spacing w:after="0" w:line="95" w:lineRule="exact"/>
              <w:rPr>
                <w:sz w:val="20"/>
                <w:szCs w:val="20"/>
                <w:color w:val="auto"/>
              </w:rPr>
            </w:pPr>
            <w:r>
              <w:rPr>
                <w:rFonts w:ascii="Times New Roman" w:cs="Times New Roman" w:eastAsia="Times New Roman" w:hAnsi="Times New Roman"/>
                <w:sz w:val="9"/>
                <w:szCs w:val="9"/>
                <w:b w:val="1"/>
                <w:bCs w:val="1"/>
                <w:color w:val="auto"/>
                <w:w w:val="96"/>
              </w:rPr>
              <w:t>Option</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9"/>
              </w:rPr>
              <w:t>Stock and</w:t>
            </w:r>
          </w:p>
        </w:tc>
        <w:tc>
          <w:tcPr>
            <w:tcW w:w="0" w:type="dxa"/>
            <w:vAlign w:val="bottom"/>
          </w:tcPr>
          <w:p>
            <w:pPr>
              <w:spacing w:after="0"/>
              <w:rPr>
                <w:sz w:val="1"/>
                <w:szCs w:val="1"/>
                <w:color w:val="auto"/>
              </w:rPr>
            </w:pPr>
          </w:p>
        </w:tc>
      </w:tr>
      <w:tr>
        <w:trPr>
          <w:trHeight w:val="92"/>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jc w:val="center"/>
              <w:ind w:right="267"/>
              <w:spacing w:after="0" w:line="92" w:lineRule="exact"/>
              <w:rPr>
                <w:sz w:val="20"/>
                <w:szCs w:val="20"/>
                <w:color w:val="auto"/>
              </w:rPr>
            </w:pPr>
            <w:r>
              <w:rPr>
                <w:rFonts w:ascii="Times New Roman" w:cs="Times New Roman" w:eastAsia="Times New Roman" w:hAnsi="Times New Roman"/>
                <w:sz w:val="9"/>
                <w:szCs w:val="9"/>
                <w:b w:val="1"/>
                <w:bCs w:val="1"/>
                <w:color w:val="auto"/>
                <w:w w:val="96"/>
              </w:rPr>
              <w:t>Under Non-</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right="87"/>
              <w:spacing w:after="0" w:line="92" w:lineRule="exact"/>
              <w:rPr>
                <w:sz w:val="20"/>
                <w:szCs w:val="20"/>
                <w:color w:val="auto"/>
              </w:rPr>
            </w:pPr>
            <w:r>
              <w:rPr>
                <w:rFonts w:ascii="Times New Roman" w:cs="Times New Roman" w:eastAsia="Times New Roman" w:hAnsi="Times New Roman"/>
                <w:sz w:val="9"/>
                <w:szCs w:val="9"/>
                <w:b w:val="1"/>
                <w:bCs w:val="1"/>
                <w:color w:val="auto"/>
              </w:rPr>
              <w:t>Under</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8"/>
                <w:szCs w:val="8"/>
                <w:color w:val="auto"/>
              </w:rPr>
            </w:pPr>
          </w:p>
        </w:tc>
        <w:tc>
          <w:tcPr>
            <w:tcW w:w="7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8"/>
              </w:rPr>
              <w:t>Options</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48"/>
              <w:spacing w:after="0" w:line="92" w:lineRule="exact"/>
              <w:rPr>
                <w:sz w:val="20"/>
                <w:szCs w:val="20"/>
                <w:color w:val="auto"/>
              </w:rPr>
            </w:pPr>
            <w:r>
              <w:rPr>
                <w:rFonts w:ascii="Times New Roman" w:cs="Times New Roman" w:eastAsia="Times New Roman" w:hAnsi="Times New Roman"/>
                <w:sz w:val="9"/>
                <w:szCs w:val="9"/>
                <w:b w:val="1"/>
                <w:bCs w:val="1"/>
                <w:color w:val="auto"/>
                <w:w w:val="99"/>
              </w:rPr>
              <w:t>Awards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rPr>
              <w:t>Option</w:t>
            </w:r>
          </w:p>
        </w:tc>
        <w:tc>
          <w:tcPr>
            <w:tcW w:w="0" w:type="dxa"/>
            <w:vAlign w:val="bottom"/>
          </w:tcPr>
          <w:p>
            <w:pPr>
              <w:spacing w:after="0"/>
              <w:rPr>
                <w:sz w:val="1"/>
                <w:szCs w:val="1"/>
                <w:color w:val="auto"/>
              </w:rPr>
            </w:pPr>
          </w:p>
        </w:tc>
      </w:tr>
      <w:tr>
        <w:trPr>
          <w:trHeight w:val="108"/>
        </w:trPr>
        <w:tc>
          <w:tcPr>
            <w:tcW w:w="1220" w:type="dxa"/>
            <w:vAlign w:val="bottom"/>
          </w:tcPr>
          <w:p>
            <w:pPr>
              <w:ind w:left="500"/>
              <w:spacing w:after="0"/>
              <w:rPr>
                <w:sz w:val="20"/>
                <w:szCs w:val="20"/>
                <w:color w:val="auto"/>
              </w:rPr>
            </w:pPr>
            <w:r>
              <w:rPr>
                <w:rFonts w:ascii="Times New Roman" w:cs="Times New Roman" w:eastAsia="Times New Roman" w:hAnsi="Times New Roman"/>
                <w:sz w:val="9"/>
                <w:szCs w:val="9"/>
                <w:b w:val="1"/>
                <w:bCs w:val="1"/>
                <w:color w:val="auto"/>
              </w:rPr>
              <w:t>Name</w:t>
            </w:r>
          </w:p>
        </w:tc>
        <w:tc>
          <w:tcPr>
            <w:tcW w:w="120" w:type="dxa"/>
            <w:vAlign w:val="bottom"/>
          </w:tcPr>
          <w:p>
            <w:pPr>
              <w:spacing w:after="0"/>
              <w:rPr>
                <w:sz w:val="9"/>
                <w:szCs w:val="9"/>
                <w:color w:val="auto"/>
              </w:rPr>
            </w:pPr>
          </w:p>
        </w:tc>
        <w:tc>
          <w:tcPr>
            <w:tcW w:w="740" w:type="dxa"/>
            <w:vAlign w:val="bottom"/>
          </w:tcPr>
          <w:p>
            <w:pPr>
              <w:jc w:val="right"/>
              <w:ind w:right="107"/>
              <w:spacing w:after="0"/>
              <w:rPr>
                <w:sz w:val="20"/>
                <w:szCs w:val="20"/>
                <w:color w:val="auto"/>
              </w:rPr>
            </w:pPr>
            <w:r>
              <w:rPr>
                <w:rFonts w:ascii="Times New Roman" w:cs="Times New Roman" w:eastAsia="Times New Roman" w:hAnsi="Times New Roman"/>
                <w:sz w:val="9"/>
                <w:szCs w:val="9"/>
                <w:b w:val="1"/>
                <w:bCs w:val="1"/>
                <w:color w:val="auto"/>
              </w:rPr>
              <w:t>Grant Date</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0" w:type="dxa"/>
            <w:vAlign w:val="bottom"/>
            <w:gridSpan w:val="4"/>
          </w:tcPr>
          <w:p>
            <w:pPr>
              <w:ind w:left="40"/>
              <w:spacing w:after="0" w:line="108" w:lineRule="exact"/>
              <w:rPr>
                <w:sz w:val="20"/>
                <w:szCs w:val="20"/>
                <w:color w:val="auto"/>
              </w:rPr>
            </w:pPr>
            <w:r>
              <w:rPr>
                <w:rFonts w:ascii="Times New Roman" w:cs="Times New Roman" w:eastAsia="Times New Roman" w:hAnsi="Times New Roman"/>
                <w:sz w:val="9"/>
                <w:szCs w:val="9"/>
                <w:b w:val="1"/>
                <w:bCs w:val="1"/>
                <w:color w:val="auto"/>
              </w:rPr>
              <w:t>Equity Incentive Plan Awards ($)</w:t>
            </w:r>
            <w:r>
              <w:rPr>
                <w:rFonts w:ascii="Times New Roman" w:cs="Times New Roman" w:eastAsia="Times New Roman" w:hAnsi="Times New Roman"/>
                <w:sz w:val="12"/>
                <w:szCs w:val="12"/>
                <w:b w:val="1"/>
                <w:bCs w:val="1"/>
                <w:color w:val="auto"/>
                <w:vertAlign w:val="superscript"/>
              </w:rPr>
              <w: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gridSpan w:val="2"/>
          </w:tcPr>
          <w:p>
            <w:pPr>
              <w:jc w:val="center"/>
              <w:ind w:left="487"/>
              <w:spacing w:after="0" w:line="108" w:lineRule="exact"/>
              <w:rPr>
                <w:sz w:val="20"/>
                <w:szCs w:val="20"/>
                <w:color w:val="auto"/>
              </w:rPr>
            </w:pPr>
            <w:r>
              <w:rPr>
                <w:rFonts w:ascii="Times New Roman" w:cs="Times New Roman" w:eastAsia="Times New Roman" w:hAnsi="Times New Roman"/>
                <w:sz w:val="9"/>
                <w:szCs w:val="9"/>
                <w:b w:val="1"/>
                <w:bCs w:val="1"/>
                <w:color w:val="auto"/>
                <w:w w:val="97"/>
              </w:rPr>
              <w:t>Equity Incentive Plan Awards (#)</w:t>
            </w:r>
            <w:r>
              <w:rPr>
                <w:rFonts w:ascii="Times New Roman" w:cs="Times New Roman" w:eastAsia="Times New Roman" w:hAnsi="Times New Roman"/>
                <w:sz w:val="12"/>
                <w:szCs w:val="12"/>
                <w:b w:val="1"/>
                <w:bCs w:val="1"/>
                <w:color w:val="auto"/>
                <w:w w:val="97"/>
                <w:vertAlign w:val="superscript"/>
              </w:rPr>
              <w:t>(1)</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9"/>
                <w:szCs w:val="9"/>
                <w:b w:val="1"/>
                <w:bCs w:val="1"/>
                <w:color w:val="auto"/>
                <w:w w:val="93"/>
              </w:rPr>
              <w:t>or Units (#)</w:t>
            </w:r>
            <w:r>
              <w:rPr>
                <w:rFonts w:ascii="Times New Roman" w:cs="Times New Roman" w:eastAsia="Times New Roman" w:hAnsi="Times New Roman"/>
                <w:sz w:val="12"/>
                <w:szCs w:val="12"/>
                <w:b w:val="1"/>
                <w:bCs w:val="1"/>
                <w:color w:val="auto"/>
                <w:w w:val="93"/>
                <w:vertAlign w:val="superscript"/>
              </w:rPr>
              <w:t>(2)</w:t>
            </w:r>
          </w:p>
        </w:tc>
        <w:tc>
          <w:tcPr>
            <w:tcW w:w="2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9"/>
                <w:szCs w:val="9"/>
                <w:b w:val="1"/>
                <w:bCs w:val="1"/>
                <w:color w:val="auto"/>
                <w:w w:val="90"/>
              </w:rPr>
              <w:t>(#)</w:t>
            </w:r>
            <w:r>
              <w:rPr>
                <w:rFonts w:ascii="Times New Roman" w:cs="Times New Roman" w:eastAsia="Times New Roman" w:hAnsi="Times New Roman"/>
                <w:sz w:val="12"/>
                <w:szCs w:val="12"/>
                <w:b w:val="1"/>
                <w:bCs w:val="1"/>
                <w:color w:val="auto"/>
                <w:w w:val="90"/>
                <w:vertAlign w:val="superscript"/>
              </w:rPr>
              <w:t>(3)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9"/>
                <w:szCs w:val="9"/>
                <w:b w:val="1"/>
                <w:bCs w:val="1"/>
                <w:color w:val="auto"/>
                <w:w w:val="95"/>
              </w:rPr>
              <w:t>($/Share)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9"/>
                <w:szCs w:val="9"/>
                <w:b w:val="1"/>
                <w:bCs w:val="1"/>
                <w:color w:val="auto"/>
                <w:w w:val="92"/>
              </w:rPr>
              <w:t>Awards ($)</w:t>
            </w:r>
            <w:r>
              <w:rPr>
                <w:rFonts w:ascii="Times New Roman" w:cs="Times New Roman" w:eastAsia="Times New Roman" w:hAnsi="Times New Roman"/>
                <w:sz w:val="12"/>
                <w:szCs w:val="12"/>
                <w:b w:val="1"/>
                <w:bCs w:val="1"/>
                <w:color w:val="auto"/>
                <w:w w:val="92"/>
                <w:vertAlign w:val="superscript"/>
              </w:rPr>
              <w:t>(4)</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Threshold</w:t>
            </w:r>
          </w:p>
        </w:tc>
        <w:tc>
          <w:tcPr>
            <w:tcW w:w="1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207"/>
              <w:spacing w:after="0" w:line="88" w:lineRule="exact"/>
              <w:rPr>
                <w:sz w:val="20"/>
                <w:szCs w:val="20"/>
                <w:color w:val="auto"/>
              </w:rPr>
            </w:pPr>
            <w:r>
              <w:rPr>
                <w:rFonts w:ascii="Times New Roman" w:cs="Times New Roman" w:eastAsia="Times New Roman" w:hAnsi="Times New Roman"/>
                <w:sz w:val="9"/>
                <w:szCs w:val="9"/>
                <w:b w:val="1"/>
                <w:bCs w:val="1"/>
                <w:color w:val="auto"/>
                <w:w w:val="99"/>
              </w:rPr>
              <w:t>Target</w:t>
            </w: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66"/>
              <w:spacing w:after="0" w:line="88" w:lineRule="exact"/>
              <w:rPr>
                <w:sz w:val="20"/>
                <w:szCs w:val="20"/>
                <w:color w:val="auto"/>
              </w:rPr>
            </w:pPr>
            <w:r>
              <w:rPr>
                <w:rFonts w:ascii="Times New Roman" w:cs="Times New Roman" w:eastAsia="Times New Roman" w:hAnsi="Times New Roman"/>
                <w:sz w:val="9"/>
                <w:szCs w:val="9"/>
                <w:b w:val="1"/>
                <w:bCs w:val="1"/>
                <w:color w:val="auto"/>
              </w:rPr>
              <w:t>Maximum</w:t>
            </w:r>
          </w:p>
        </w:tc>
        <w:tc>
          <w:tcPr>
            <w:tcW w:w="200" w:type="dxa"/>
            <w:vAlign w:val="bottom"/>
          </w:tcPr>
          <w:p>
            <w:pPr>
              <w:spacing w:after="0"/>
              <w:rPr>
                <w:sz w:val="7"/>
                <w:szCs w:val="7"/>
                <w:color w:val="auto"/>
              </w:rPr>
            </w:pPr>
          </w:p>
        </w:tc>
        <w:tc>
          <w:tcPr>
            <w:tcW w:w="680" w:type="dxa"/>
            <w:vAlign w:val="bottom"/>
            <w:tcBorders>
              <w:top w:val="single" w:sz="8" w:color="auto"/>
            </w:tcBorders>
          </w:tcPr>
          <w:p>
            <w:pPr>
              <w:jc w:val="right"/>
              <w:ind w:right="87"/>
              <w:spacing w:after="0" w:line="88" w:lineRule="exact"/>
              <w:rPr>
                <w:sz w:val="20"/>
                <w:szCs w:val="20"/>
                <w:color w:val="auto"/>
              </w:rPr>
            </w:pPr>
            <w:r>
              <w:rPr>
                <w:rFonts w:ascii="Times New Roman" w:cs="Times New Roman" w:eastAsia="Times New Roman" w:hAnsi="Times New Roman"/>
                <w:sz w:val="9"/>
                <w:szCs w:val="9"/>
                <w:b w:val="1"/>
                <w:bCs w:val="1"/>
                <w:color w:val="auto"/>
              </w:rPr>
              <w:t>Threshold</w:t>
            </w:r>
          </w:p>
        </w:tc>
        <w:tc>
          <w:tcPr>
            <w:tcW w:w="1200" w:type="dxa"/>
            <w:vAlign w:val="bottom"/>
            <w:tcBorders>
              <w:top w:val="single" w:sz="8" w:color="auto"/>
            </w:tcBorders>
          </w:tcPr>
          <w:p>
            <w:pPr>
              <w:jc w:val="center"/>
              <w:ind w:right="87"/>
              <w:spacing w:after="0" w:line="88" w:lineRule="exact"/>
              <w:rPr>
                <w:sz w:val="20"/>
                <w:szCs w:val="20"/>
                <w:color w:val="auto"/>
              </w:rPr>
            </w:pPr>
            <w:r>
              <w:rPr>
                <w:rFonts w:ascii="Times New Roman" w:cs="Times New Roman" w:eastAsia="Times New Roman" w:hAnsi="Times New Roman"/>
                <w:sz w:val="9"/>
                <w:szCs w:val="9"/>
                <w:b w:val="1"/>
                <w:bCs w:val="1"/>
                <w:color w:val="auto"/>
                <w:w w:val="99"/>
              </w:rPr>
              <w:t>Target</w:t>
            </w:r>
          </w:p>
        </w:tc>
        <w:tc>
          <w:tcPr>
            <w:tcW w:w="540" w:type="dxa"/>
            <w:vAlign w:val="bottom"/>
            <w:tcBorders>
              <w:top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9"/>
                <w:szCs w:val="9"/>
                <w:b w:val="1"/>
                <w:bCs w:val="1"/>
                <w:color w:val="auto"/>
                <w:w w:val="94"/>
              </w:rPr>
              <w:t>Maximum</w:t>
            </w:r>
          </w:p>
        </w:tc>
        <w:tc>
          <w:tcPr>
            <w:tcW w:w="2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Herriot Tabuteau, M.D.</w:t>
            </w: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435"/>
              <w:spacing w:after="0" w:line="10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147"/>
              <w:spacing w:after="0" w:line="108" w:lineRule="exact"/>
              <w:rPr>
                <w:sz w:val="20"/>
                <w:szCs w:val="20"/>
                <w:color w:val="auto"/>
              </w:rPr>
            </w:pPr>
            <w:r>
              <w:rPr>
                <w:rFonts w:ascii="Times New Roman" w:cs="Times New Roman" w:eastAsia="Times New Roman" w:hAnsi="Times New Roman"/>
                <w:sz w:val="11"/>
                <w:szCs w:val="11"/>
                <w:color w:val="auto"/>
              </w:rPr>
              <w:t>584,500</w:t>
            </w:r>
          </w:p>
        </w:tc>
        <w:tc>
          <w:tcPr>
            <w:tcW w:w="1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1,169,000</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7"/>
                <w:szCs w:val="7"/>
                <w:color w:val="auto"/>
              </w:rPr>
            </w:pPr>
          </w:p>
        </w:tc>
        <w:tc>
          <w:tcPr>
            <w:tcW w:w="800" w:type="dxa"/>
            <w:vAlign w:val="bottom"/>
            <w:vMerge w:val="restart"/>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7"/>
                <w:szCs w:val="7"/>
                <w:color w:val="auto"/>
              </w:rPr>
            </w:pPr>
          </w:p>
        </w:tc>
        <w:tc>
          <w:tcPr>
            <w:tcW w:w="68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28,609</w:t>
            </w:r>
          </w:p>
        </w:tc>
        <w:tc>
          <w:tcPr>
            <w:tcW w:w="220" w:type="dxa"/>
            <w:vAlign w:val="bottom"/>
            <w:vMerge w:val="continue"/>
            <w:shd w:val="clear" w:color="auto" w:fill="CFF0FC"/>
          </w:tcPr>
          <w:p>
            <w:pPr>
              <w:spacing w:after="0"/>
              <w:rPr>
                <w:sz w:val="7"/>
                <w:szCs w:val="7"/>
                <w:color w:val="auto"/>
              </w:rPr>
            </w:pPr>
          </w:p>
        </w:tc>
        <w:tc>
          <w:tcPr>
            <w:tcW w:w="7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2,833,151</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60" w:type="dxa"/>
            <w:vAlign w:val="bottom"/>
            <w:vMerge w:val="continue"/>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80" w:type="dxa"/>
            <w:vAlign w:val="bottom"/>
            <w:vMerge w:val="continue"/>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540" w:type="dxa"/>
            <w:vAlign w:val="bottom"/>
            <w:vMerge w:val="continue"/>
            <w:shd w:val="clear" w:color="auto" w:fill="CFF0FC"/>
          </w:tcPr>
          <w:p>
            <w:pPr>
              <w:spacing w:after="0"/>
              <w:rPr>
                <w:sz w:val="2"/>
                <w:szCs w:val="2"/>
                <w:color w:val="auto"/>
              </w:rPr>
            </w:pPr>
          </w:p>
        </w:tc>
        <w:tc>
          <w:tcPr>
            <w:tcW w:w="940" w:type="dxa"/>
            <w:vAlign w:val="bottom"/>
            <w:gridSpan w:val="2"/>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20" w:type="dxa"/>
            <w:vAlign w:val="bottom"/>
            <w:vMerge w:val="continue"/>
            <w:shd w:val="clear" w:color="auto" w:fill="CFF0FC"/>
          </w:tcPr>
          <w:p>
            <w:pPr>
              <w:spacing w:after="0"/>
              <w:rPr>
                <w:sz w:val="2"/>
                <w:szCs w:val="2"/>
                <w:color w:val="auto"/>
              </w:rPr>
            </w:pPr>
          </w:p>
        </w:tc>
        <w:tc>
          <w:tcPr>
            <w:tcW w:w="24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300" w:type="dxa"/>
            <w:vAlign w:val="bottom"/>
            <w:gridSpan w:val="2"/>
            <w:vMerge w:val="continue"/>
            <w:shd w:val="clear" w:color="auto" w:fill="CFF0FC"/>
          </w:tcPr>
          <w:p>
            <w:pPr>
              <w:spacing w:after="0"/>
              <w:rPr>
                <w:sz w:val="2"/>
                <w:szCs w:val="2"/>
                <w:color w:val="auto"/>
              </w:rPr>
            </w:pPr>
          </w:p>
        </w:tc>
        <w:tc>
          <w:tcPr>
            <w:tcW w:w="6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28,887</w:t>
            </w:r>
          </w:p>
        </w:tc>
        <w:tc>
          <w:tcPr>
            <w:tcW w:w="2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30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2,833,237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14,305</w:t>
            </w:r>
          </w:p>
        </w:tc>
        <w:tc>
          <w:tcPr>
            <w:tcW w:w="1200" w:type="dxa"/>
            <w:vAlign w:val="bottom"/>
            <w:shd w:val="clear" w:color="auto" w:fill="CFF0FC"/>
          </w:tcPr>
          <w:p>
            <w:pPr>
              <w:jc w:val="right"/>
              <w:ind w:right="287"/>
              <w:spacing w:after="0"/>
              <w:rPr>
                <w:sz w:val="20"/>
                <w:szCs w:val="20"/>
                <w:color w:val="auto"/>
              </w:rPr>
            </w:pPr>
            <w:r>
              <w:rPr>
                <w:rFonts w:ascii="Times New Roman" w:cs="Times New Roman" w:eastAsia="Times New Roman" w:hAnsi="Times New Roman"/>
                <w:sz w:val="11"/>
                <w:szCs w:val="11"/>
                <w:color w:val="auto"/>
              </w:rPr>
              <w:t>28,609</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57,218</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2,700,404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Nick Pizzie, C.P.A.,</w:t>
            </w:r>
          </w:p>
        </w:tc>
        <w:tc>
          <w:tcPr>
            <w:tcW w:w="12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435"/>
              <w:spacing w:after="0" w:line="10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147"/>
              <w:spacing w:after="0" w:line="108" w:lineRule="exact"/>
              <w:rPr>
                <w:sz w:val="20"/>
                <w:szCs w:val="20"/>
                <w:color w:val="auto"/>
              </w:rPr>
            </w:pPr>
            <w:r>
              <w:rPr>
                <w:rFonts w:ascii="Times New Roman" w:cs="Times New Roman" w:eastAsia="Times New Roman" w:hAnsi="Times New Roman"/>
                <w:sz w:val="11"/>
                <w:szCs w:val="11"/>
                <w:color w:val="auto"/>
              </w:rPr>
              <w:t>238,500</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477,000</w:t>
            </w:r>
          </w:p>
        </w:tc>
        <w:tc>
          <w:tcPr>
            <w:tcW w:w="2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87"/>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M.B.A.</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2/21/2025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80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9,423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933,159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0"/>
                <w:szCs w:val="10"/>
                <w:color w:val="auto"/>
              </w:rPr>
            </w:pPr>
          </w:p>
        </w:tc>
        <w:tc>
          <w:tcPr>
            <w:tcW w:w="800" w:type="dxa"/>
            <w:vAlign w:val="bottom"/>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9,516</w:t>
            </w:r>
          </w:p>
        </w:tc>
        <w:tc>
          <w:tcPr>
            <w:tcW w:w="240" w:type="dxa"/>
            <w:vAlign w:val="bottom"/>
            <w:vMerge w:val="continue"/>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3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933,329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80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4,712</w:t>
            </w:r>
          </w:p>
        </w:tc>
        <w:tc>
          <w:tcPr>
            <w:tcW w:w="12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9,423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18,846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889,437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Mark Jacobson, M.A.</w:t>
            </w: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435"/>
              <w:spacing w:after="0" w:line="10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147"/>
              <w:spacing w:after="0" w:line="108" w:lineRule="exact"/>
              <w:rPr>
                <w:sz w:val="20"/>
                <w:szCs w:val="20"/>
                <w:color w:val="auto"/>
              </w:rPr>
            </w:pPr>
            <w:r>
              <w:rPr>
                <w:rFonts w:ascii="Times New Roman" w:cs="Times New Roman" w:eastAsia="Times New Roman" w:hAnsi="Times New Roman"/>
                <w:sz w:val="11"/>
                <w:szCs w:val="11"/>
                <w:color w:val="auto"/>
              </w:rPr>
              <w:t>258,750</w:t>
            </w:r>
          </w:p>
        </w:tc>
        <w:tc>
          <w:tcPr>
            <w:tcW w:w="1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517,500</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7"/>
                <w:szCs w:val="7"/>
                <w:color w:val="auto"/>
              </w:rPr>
            </w:pPr>
          </w:p>
        </w:tc>
        <w:tc>
          <w:tcPr>
            <w:tcW w:w="800" w:type="dxa"/>
            <w:vAlign w:val="bottom"/>
            <w:vMerge w:val="restart"/>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7"/>
                <w:szCs w:val="7"/>
                <w:color w:val="auto"/>
              </w:rPr>
            </w:pPr>
          </w:p>
        </w:tc>
        <w:tc>
          <w:tcPr>
            <w:tcW w:w="68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10,769</w:t>
            </w:r>
          </w:p>
        </w:tc>
        <w:tc>
          <w:tcPr>
            <w:tcW w:w="220" w:type="dxa"/>
            <w:vAlign w:val="bottom"/>
            <w:vMerge w:val="continue"/>
            <w:shd w:val="clear" w:color="auto" w:fill="CFF0FC"/>
          </w:tcPr>
          <w:p>
            <w:pPr>
              <w:spacing w:after="0"/>
              <w:rPr>
                <w:sz w:val="7"/>
                <w:szCs w:val="7"/>
                <w:color w:val="auto"/>
              </w:rPr>
            </w:pPr>
          </w:p>
        </w:tc>
        <w:tc>
          <w:tcPr>
            <w:tcW w:w="7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1,066,457</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60" w:type="dxa"/>
            <w:vAlign w:val="bottom"/>
            <w:vMerge w:val="continue"/>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80" w:type="dxa"/>
            <w:vAlign w:val="bottom"/>
            <w:vMerge w:val="continue"/>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540" w:type="dxa"/>
            <w:vAlign w:val="bottom"/>
            <w:vMerge w:val="continue"/>
            <w:shd w:val="clear" w:color="auto" w:fill="CFF0FC"/>
          </w:tcPr>
          <w:p>
            <w:pPr>
              <w:spacing w:after="0"/>
              <w:rPr>
                <w:sz w:val="2"/>
                <w:szCs w:val="2"/>
                <w:color w:val="auto"/>
              </w:rPr>
            </w:pPr>
          </w:p>
        </w:tc>
        <w:tc>
          <w:tcPr>
            <w:tcW w:w="940" w:type="dxa"/>
            <w:vAlign w:val="bottom"/>
            <w:gridSpan w:val="2"/>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20" w:type="dxa"/>
            <w:vAlign w:val="bottom"/>
            <w:vMerge w:val="continue"/>
            <w:shd w:val="clear" w:color="auto" w:fill="CFF0FC"/>
          </w:tcPr>
          <w:p>
            <w:pPr>
              <w:spacing w:after="0"/>
              <w:rPr>
                <w:sz w:val="2"/>
                <w:szCs w:val="2"/>
                <w:color w:val="auto"/>
              </w:rPr>
            </w:pPr>
          </w:p>
        </w:tc>
        <w:tc>
          <w:tcPr>
            <w:tcW w:w="24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300" w:type="dxa"/>
            <w:vAlign w:val="bottom"/>
            <w:gridSpan w:val="2"/>
            <w:vMerge w:val="continue"/>
            <w:shd w:val="clear" w:color="auto" w:fill="CFF0FC"/>
          </w:tcPr>
          <w:p>
            <w:pPr>
              <w:spacing w:after="0"/>
              <w:rPr>
                <w:sz w:val="2"/>
                <w:szCs w:val="2"/>
                <w:color w:val="auto"/>
              </w:rPr>
            </w:pPr>
          </w:p>
        </w:tc>
        <w:tc>
          <w:tcPr>
            <w:tcW w:w="6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10,875</w:t>
            </w:r>
          </w:p>
        </w:tc>
        <w:tc>
          <w:tcPr>
            <w:tcW w:w="2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30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1,066,620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5,385</w:t>
            </w:r>
          </w:p>
        </w:tc>
        <w:tc>
          <w:tcPr>
            <w:tcW w:w="1200" w:type="dxa"/>
            <w:vAlign w:val="bottom"/>
            <w:shd w:val="clear" w:color="auto" w:fill="CFF0FC"/>
          </w:tcPr>
          <w:p>
            <w:pPr>
              <w:jc w:val="right"/>
              <w:ind w:right="287"/>
              <w:spacing w:after="0"/>
              <w:rPr>
                <w:sz w:val="20"/>
                <w:szCs w:val="20"/>
                <w:color w:val="auto"/>
              </w:rPr>
            </w:pPr>
            <w:r>
              <w:rPr>
                <w:rFonts w:ascii="Times New Roman" w:cs="Times New Roman" w:eastAsia="Times New Roman" w:hAnsi="Times New Roman"/>
                <w:sz w:val="11"/>
                <w:szCs w:val="11"/>
                <w:color w:val="auto"/>
              </w:rPr>
              <w:t>10,769</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21,538</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1,016,486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Hunter Murdock, Esq.</w:t>
            </w:r>
          </w:p>
        </w:tc>
        <w:tc>
          <w:tcPr>
            <w:tcW w:w="12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435"/>
              <w:spacing w:after="0" w:line="10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147"/>
              <w:spacing w:after="0" w:line="108" w:lineRule="exact"/>
              <w:rPr>
                <w:sz w:val="20"/>
                <w:szCs w:val="20"/>
                <w:color w:val="auto"/>
              </w:rPr>
            </w:pPr>
            <w:r>
              <w:rPr>
                <w:rFonts w:ascii="Times New Roman" w:cs="Times New Roman" w:eastAsia="Times New Roman" w:hAnsi="Times New Roman"/>
                <w:sz w:val="11"/>
                <w:szCs w:val="11"/>
                <w:color w:val="auto"/>
              </w:rPr>
              <w:t>238,500</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477,000</w:t>
            </w:r>
          </w:p>
        </w:tc>
        <w:tc>
          <w:tcPr>
            <w:tcW w:w="2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87"/>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8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vMerge w:val="restart"/>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7"/>
                <w:szCs w:val="7"/>
                <w:color w:val="auto"/>
              </w:rPr>
            </w:pPr>
          </w:p>
        </w:tc>
        <w:tc>
          <w:tcPr>
            <w:tcW w:w="800" w:type="dxa"/>
            <w:vAlign w:val="bottom"/>
            <w:vMerge w:val="restart"/>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7"/>
                <w:szCs w:val="7"/>
                <w:color w:val="auto"/>
              </w:rPr>
            </w:pPr>
          </w:p>
        </w:tc>
        <w:tc>
          <w:tcPr>
            <w:tcW w:w="6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7,740</w:t>
            </w:r>
          </w:p>
        </w:tc>
        <w:tc>
          <w:tcPr>
            <w:tcW w:w="220" w:type="dxa"/>
            <w:vAlign w:val="bottom"/>
            <w:vMerge w:val="continue"/>
          </w:tcPr>
          <w:p>
            <w:pPr>
              <w:spacing w:after="0"/>
              <w:rPr>
                <w:sz w:val="7"/>
                <w:szCs w:val="7"/>
                <w:color w:val="auto"/>
              </w:rPr>
            </w:pPr>
          </w:p>
        </w:tc>
        <w:tc>
          <w:tcPr>
            <w:tcW w:w="72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766,496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2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0"/>
                <w:szCs w:val="10"/>
                <w:color w:val="auto"/>
              </w:rPr>
            </w:pPr>
          </w:p>
        </w:tc>
        <w:tc>
          <w:tcPr>
            <w:tcW w:w="800" w:type="dxa"/>
            <w:vAlign w:val="bottom"/>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7,816</w:t>
            </w:r>
          </w:p>
        </w:tc>
        <w:tc>
          <w:tcPr>
            <w:tcW w:w="240" w:type="dxa"/>
            <w:vAlign w:val="bottom"/>
            <w:vMerge w:val="continue"/>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3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766,593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80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3,870</w:t>
            </w:r>
          </w:p>
        </w:tc>
        <w:tc>
          <w:tcPr>
            <w:tcW w:w="12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7,740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15,480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730,579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Ari Maizel, M.B.A.</w:t>
            </w: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435"/>
              <w:spacing w:after="0" w:line="10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147"/>
              <w:spacing w:after="0" w:line="108" w:lineRule="exact"/>
              <w:rPr>
                <w:sz w:val="20"/>
                <w:szCs w:val="20"/>
                <w:color w:val="auto"/>
              </w:rPr>
            </w:pPr>
            <w:r>
              <w:rPr>
                <w:rFonts w:ascii="Times New Roman" w:cs="Times New Roman" w:eastAsia="Times New Roman" w:hAnsi="Times New Roman"/>
                <w:sz w:val="11"/>
                <w:szCs w:val="11"/>
                <w:color w:val="auto"/>
              </w:rPr>
              <w:t>238,500</w:t>
            </w:r>
          </w:p>
        </w:tc>
        <w:tc>
          <w:tcPr>
            <w:tcW w:w="1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477,000</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08"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1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7"/>
                <w:szCs w:val="7"/>
                <w:color w:val="auto"/>
              </w:rPr>
            </w:pPr>
          </w:p>
        </w:tc>
        <w:tc>
          <w:tcPr>
            <w:tcW w:w="800" w:type="dxa"/>
            <w:vAlign w:val="bottom"/>
            <w:vMerge w:val="restart"/>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7"/>
                <w:szCs w:val="7"/>
                <w:color w:val="auto"/>
              </w:rPr>
            </w:pPr>
          </w:p>
        </w:tc>
        <w:tc>
          <w:tcPr>
            <w:tcW w:w="68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vMerge w:val="restart"/>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7,740</w:t>
            </w:r>
          </w:p>
        </w:tc>
        <w:tc>
          <w:tcPr>
            <w:tcW w:w="220" w:type="dxa"/>
            <w:vAlign w:val="bottom"/>
            <w:vMerge w:val="continue"/>
            <w:shd w:val="clear" w:color="auto" w:fill="CFF0FC"/>
          </w:tcPr>
          <w:p>
            <w:pPr>
              <w:spacing w:after="0"/>
              <w:rPr>
                <w:sz w:val="7"/>
                <w:szCs w:val="7"/>
                <w:color w:val="auto"/>
              </w:rPr>
            </w:pPr>
          </w:p>
        </w:tc>
        <w:tc>
          <w:tcPr>
            <w:tcW w:w="7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766,496</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vMerge w:val="continue"/>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60" w:type="dxa"/>
            <w:vAlign w:val="bottom"/>
            <w:vMerge w:val="continue"/>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80" w:type="dxa"/>
            <w:vAlign w:val="bottom"/>
            <w:vMerge w:val="continue"/>
            <w:shd w:val="clear" w:color="auto" w:fill="CFF0FC"/>
          </w:tcPr>
          <w:p>
            <w:pPr>
              <w:spacing w:after="0"/>
              <w:rPr>
                <w:sz w:val="2"/>
                <w:szCs w:val="2"/>
                <w:color w:val="auto"/>
              </w:rPr>
            </w:pPr>
          </w:p>
        </w:tc>
        <w:tc>
          <w:tcPr>
            <w:tcW w:w="1200" w:type="dxa"/>
            <w:vAlign w:val="bottom"/>
            <w:vMerge w:val="continue"/>
            <w:shd w:val="clear" w:color="auto" w:fill="CFF0FC"/>
          </w:tcPr>
          <w:p>
            <w:pPr>
              <w:spacing w:after="0"/>
              <w:rPr>
                <w:sz w:val="2"/>
                <w:szCs w:val="2"/>
                <w:color w:val="auto"/>
              </w:rPr>
            </w:pPr>
          </w:p>
        </w:tc>
        <w:tc>
          <w:tcPr>
            <w:tcW w:w="540" w:type="dxa"/>
            <w:vAlign w:val="bottom"/>
            <w:vMerge w:val="continue"/>
            <w:shd w:val="clear" w:color="auto" w:fill="CFF0FC"/>
          </w:tcPr>
          <w:p>
            <w:pPr>
              <w:spacing w:after="0"/>
              <w:rPr>
                <w:sz w:val="2"/>
                <w:szCs w:val="2"/>
                <w:color w:val="auto"/>
              </w:rPr>
            </w:pPr>
          </w:p>
        </w:tc>
        <w:tc>
          <w:tcPr>
            <w:tcW w:w="940" w:type="dxa"/>
            <w:vAlign w:val="bottom"/>
            <w:gridSpan w:val="2"/>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20" w:type="dxa"/>
            <w:vAlign w:val="bottom"/>
            <w:vMerge w:val="continue"/>
            <w:shd w:val="clear" w:color="auto" w:fill="CFF0FC"/>
          </w:tcPr>
          <w:p>
            <w:pPr>
              <w:spacing w:after="0"/>
              <w:rPr>
                <w:sz w:val="2"/>
                <w:szCs w:val="2"/>
                <w:color w:val="auto"/>
              </w:rPr>
            </w:pPr>
          </w:p>
        </w:tc>
        <w:tc>
          <w:tcPr>
            <w:tcW w:w="24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shd w:val="clear" w:color="auto" w:fill="CFF0FC"/>
          </w:tcPr>
          <w:p>
            <w:pPr>
              <w:spacing w:after="0"/>
              <w:rPr>
                <w:sz w:val="2"/>
                <w:szCs w:val="2"/>
                <w:color w:val="auto"/>
              </w:rPr>
            </w:pPr>
          </w:p>
        </w:tc>
        <w:tc>
          <w:tcPr>
            <w:tcW w:w="560" w:type="dxa"/>
            <w:vAlign w:val="bottom"/>
            <w:vMerge w:val="continue"/>
            <w:shd w:val="clear" w:color="auto" w:fill="CFF0FC"/>
          </w:tcPr>
          <w:p>
            <w:pPr>
              <w:spacing w:after="0"/>
              <w:rPr>
                <w:sz w:val="2"/>
                <w:szCs w:val="2"/>
                <w:color w:val="auto"/>
              </w:rPr>
            </w:pPr>
          </w:p>
        </w:tc>
        <w:tc>
          <w:tcPr>
            <w:tcW w:w="300" w:type="dxa"/>
            <w:vAlign w:val="bottom"/>
            <w:gridSpan w:val="2"/>
            <w:vMerge w:val="continue"/>
            <w:shd w:val="clear" w:color="auto" w:fill="CFF0FC"/>
          </w:tcPr>
          <w:p>
            <w:pPr>
              <w:spacing w:after="0"/>
              <w:rPr>
                <w:sz w:val="2"/>
                <w:szCs w:val="2"/>
                <w:color w:val="auto"/>
              </w:rPr>
            </w:pPr>
          </w:p>
        </w:tc>
        <w:tc>
          <w:tcPr>
            <w:tcW w:w="6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147"/>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87"/>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7,816</w:t>
            </w:r>
          </w:p>
        </w:tc>
        <w:tc>
          <w:tcPr>
            <w:tcW w:w="2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30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766,593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3,870</w:t>
            </w:r>
          </w:p>
        </w:tc>
        <w:tc>
          <w:tcPr>
            <w:tcW w:w="1200" w:type="dxa"/>
            <w:vAlign w:val="bottom"/>
            <w:shd w:val="clear" w:color="auto" w:fill="CFF0FC"/>
          </w:tcPr>
          <w:p>
            <w:pPr>
              <w:jc w:val="right"/>
              <w:ind w:right="287"/>
              <w:spacing w:after="0"/>
              <w:rPr>
                <w:sz w:val="20"/>
                <w:szCs w:val="20"/>
                <w:color w:val="auto"/>
              </w:rPr>
            </w:pPr>
            <w:r>
              <w:rPr>
                <w:rFonts w:ascii="Times New Roman" w:cs="Times New Roman" w:eastAsia="Times New Roman" w:hAnsi="Times New Roman"/>
                <w:sz w:val="11"/>
                <w:szCs w:val="11"/>
                <w:color w:val="auto"/>
              </w:rPr>
              <w:t>7,740</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15,480</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730,579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20" w:hanging="281"/>
        <w:spacing w:after="0"/>
        <w:tabs>
          <w:tab w:leader="none" w:pos="3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amounts earned are included in the Summary Compensation Table set forth above.</w:t>
      </w:r>
    </w:p>
    <w:p>
      <w:pPr>
        <w:spacing w:after="0" w:line="26" w:lineRule="exact"/>
        <w:rPr>
          <w:sz w:val="20"/>
          <w:szCs w:val="20"/>
          <w:color w:val="auto"/>
        </w:rPr>
      </w:pPr>
    </w:p>
    <w:p>
      <w:pPr>
        <w:ind w:left="380" w:right="80" w:hanging="372"/>
        <w:spacing w:after="0" w:line="226" w:lineRule="auto"/>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PSU awards to our NEOs were granted on February 24, 2025. The PSUs are subject to performance-based vesting over a three-year performance period subject to certain revenue metrics and clinical regulatory milestones to further tie compensation incentives to our long-term performance. Specifically, 50% of the target number of PSUs shall be subject to a three-year revenue performance goal, and 50% of the target number of PSUs shall be subject to a three-year clinical and regulatory performance goal. Vested shares will be delivered to the NEO upon the earlier of (i) the closing of a Change in Control (as defined in the 2025 Plan), (ii) the NEO’s separation of service from the Company (including termination with or without Cause (as defined in the 2025 Plan) or termination due to death or Total and Permanent Disability (as defined in the 2025 Plan), or (iii) seven (7) years from the date of grant).</w:t>
      </w: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RSUs.</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our common stock underlying options awarded.</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value of each equity award on the date of grant, as computed in accordance with FASB ASC 718.</w:t>
      </w:r>
    </w:p>
    <w:p>
      <w:pPr>
        <w:spacing w:after="0" w:line="14" w:lineRule="exact"/>
        <w:rPr>
          <w:rFonts w:ascii="Times New Roman" w:cs="Times New Roman" w:eastAsia="Times New Roman" w:hAnsi="Times New Roman"/>
          <w:sz w:val="13"/>
          <w:szCs w:val="13"/>
          <w:color w:val="auto"/>
        </w:rPr>
      </w:pPr>
    </w:p>
    <w:p>
      <w:pPr>
        <w:jc w:val="both"/>
        <w:ind w:left="380" w:right="280" w:hanging="372"/>
        <w:spacing w:after="0" w:line="231" w:lineRule="auto"/>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 awards vest in four equal annual installments over four years such that they will be fully vested on February 21, 2029. Vested shares will be delivered to the NEO upon the earlier of (i) the closing of a Change in Control (as defined in the 2025 Plan), (ii) the NEO’s separation of service from the Company (including termination with or without Cause (as defined in the 2025 Plan) or termination due to death or Total and Permanent Disability (as defined in the 2025 Plan), or (iii) seven (7) years from the date of grant).</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awards vest in sixteen equal quarterly installments over four years such that the options will be fully vested on February 21, 2029.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as of December 31, 2025</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information regarding each outstanding and unexercised options, RSUs, and PSUs held by each of our NEOs as of December 31,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subject to each award and, where applicable, the exercise price per share, reflect all changes as a result of our capitalization adjustments.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vesting and exercisability schedule applicable to each outstanding award is described in the footnotes to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Market</w:t>
            </w: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plan awards:</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plan awards: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market or payout</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 or Units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of Shares or</w:t>
            </w:r>
          </w:p>
        </w:tc>
        <w:tc>
          <w:tcPr>
            <w:tcW w:w="12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value of unearned</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unearned shares,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units or</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4"/>
              </w:rPr>
              <w:t>that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units or 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other rights that</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2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 have not</w:t>
            </w:r>
          </w:p>
        </w:tc>
        <w:tc>
          <w:tcPr>
            <w:tcW w:w="12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rights that have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have not vested</w:t>
            </w:r>
          </w:p>
        </w:tc>
        <w:tc>
          <w:tcPr>
            <w:tcW w:w="0" w:type="dxa"/>
            <w:vAlign w:val="bottom"/>
          </w:tcPr>
          <w:p>
            <w:pPr>
              <w:spacing w:after="0"/>
              <w:rPr>
                <w:sz w:val="1"/>
                <w:szCs w:val="1"/>
                <w:color w:val="auto"/>
              </w:rPr>
            </w:pPr>
          </w:p>
        </w:tc>
      </w:tr>
      <w:tr>
        <w:trPr>
          <w:trHeight w:val="137"/>
        </w:trPr>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Exercisable (#)</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Unexercisable (#)</w:t>
            </w: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Price ($)</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Vested ($)</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not vested (#)</w:t>
            </w: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1"/>
        </w:trPr>
        <w:tc>
          <w:tcPr>
            <w:tcW w:w="20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Herriot Tabuteau, M.D.</w:t>
            </w:r>
          </w:p>
        </w:tc>
        <w:tc>
          <w:tcPr>
            <w:tcW w:w="94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5/27/2016</w:t>
            </w:r>
          </w:p>
        </w:tc>
        <w:tc>
          <w:tcPr>
            <w:tcW w:w="86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171,824</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jc w:val="right"/>
              <w:ind w:right="2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8.02</w:t>
            </w:r>
          </w:p>
        </w:tc>
        <w:tc>
          <w:tcPr>
            <w:tcW w:w="1040" w:type="dxa"/>
            <w:vAlign w:val="bottom"/>
            <w:gridSpan w:val="3"/>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5/27/2026</w:t>
            </w:r>
          </w:p>
        </w:tc>
        <w:tc>
          <w:tcPr>
            <w:tcW w:w="1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3/15/2017</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149,000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3/15/2027</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3/12/2018</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187,628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3/12/2028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319,212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68,837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168,776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97,155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196,552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13,103</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27,715</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5,061,868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75,647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34,385</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w w:val="72"/>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31,200</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5,698,368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38,147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49,045</w:t>
            </w:r>
          </w:p>
        </w:tc>
        <w:tc>
          <w:tcPr>
            <w:tcW w:w="10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w w:val="72"/>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35,540</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6,491,026</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5,417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23,470</w:t>
            </w:r>
          </w:p>
        </w:tc>
        <w:tc>
          <w:tcPr>
            <w:tcW w:w="10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2/21/2035</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28,609</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5,225,148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28,609</w:t>
            </w:r>
          </w:p>
        </w:tc>
        <w:tc>
          <w:tcPr>
            <w:tcW w:w="1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5,225,148</w:t>
            </w:r>
          </w:p>
        </w:tc>
        <w:tc>
          <w:tcPr>
            <w:tcW w:w="0" w:type="dxa"/>
            <w:vAlign w:val="bottom"/>
          </w:tcPr>
          <w:p>
            <w:pPr>
              <w:spacing w:after="0"/>
              <w:rPr>
                <w:sz w:val="1"/>
                <w:szCs w:val="1"/>
                <w:color w:val="auto"/>
              </w:rPr>
            </w:pPr>
          </w:p>
        </w:tc>
      </w:tr>
      <w:tr>
        <w:trPr>
          <w:trHeight w:val="108"/>
        </w:trPr>
        <w:tc>
          <w:tcPr>
            <w:tcW w:w="2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Nick Pizzie, C.P.A., M.B.A.</w:t>
            </w:r>
          </w:p>
        </w:tc>
        <w:tc>
          <w:tcPr>
            <w:tcW w:w="1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5/16/2018</w:t>
            </w:r>
          </w:p>
        </w:tc>
        <w:tc>
          <w:tcPr>
            <w:tcW w:w="1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117,000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3.50</w:t>
            </w:r>
          </w:p>
        </w:tc>
        <w:tc>
          <w:tcPr>
            <w:tcW w:w="120" w:type="dxa"/>
            <w:vAlign w:val="bottom"/>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5/16/2028</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75,102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25,813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36,086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11/12/2021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36,086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39.26</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11/12/2031</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73,005</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4,867</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10,294</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1,880,096</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24,920</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11,326</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10,277</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1,876,991</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12,566</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16,156</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11,707</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2,138,166</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1,785</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7,731</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2/21/2035</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9,423</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1,721,017</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9,423</w:t>
            </w:r>
          </w:p>
        </w:tc>
        <w:tc>
          <w:tcPr>
            <w:tcW w:w="180" w:type="dxa"/>
            <w:vAlign w:val="bottom"/>
            <w:gridSpan w:val="2"/>
            <w:vMerge w:val="continue"/>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1,721,017</w:t>
            </w:r>
          </w:p>
        </w:tc>
        <w:tc>
          <w:tcPr>
            <w:tcW w:w="0" w:type="dxa"/>
            <w:vAlign w:val="bottom"/>
          </w:tcPr>
          <w:p>
            <w:pPr>
              <w:spacing w:after="0"/>
              <w:rPr>
                <w:sz w:val="1"/>
                <w:szCs w:val="1"/>
                <w:color w:val="auto"/>
              </w:rPr>
            </w:pPr>
          </w:p>
        </w:tc>
      </w:tr>
      <w:tr>
        <w:trPr>
          <w:trHeight w:val="108"/>
        </w:trPr>
        <w:tc>
          <w:tcPr>
            <w:tcW w:w="20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Mark Jacobson, M.A.</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3/12/2018</w:t>
            </w:r>
          </w:p>
        </w:tc>
        <w:tc>
          <w:tcPr>
            <w:tcW w:w="8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35,378</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2.85</w:t>
            </w:r>
          </w:p>
        </w:tc>
        <w:tc>
          <w:tcPr>
            <w:tcW w:w="104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3/12/2028</w:t>
            </w: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119,704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25,813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48,237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41,638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11/12/2021</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41,638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39.26</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11/12/2031</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83,818</w:t>
            </w:r>
          </w:p>
        </w:tc>
        <w:tc>
          <w:tcPr>
            <w:tcW w:w="12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5,587</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11,997</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2,191,132</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28,479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12,945</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w w:val="72"/>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11,745</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2,145,107</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18,464</w:t>
            </w:r>
          </w:p>
        </w:tc>
        <w:tc>
          <w:tcPr>
            <w:tcW w:w="10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w w:val="72"/>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13,379</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2,443,541</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2,040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8,835</w:t>
            </w:r>
          </w:p>
        </w:tc>
        <w:tc>
          <w:tcPr>
            <w:tcW w:w="10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2/21/2035</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10,769</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1,966,850</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10,769</w:t>
            </w:r>
          </w:p>
        </w:tc>
        <w:tc>
          <w:tcPr>
            <w:tcW w:w="1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1,966,850</w:t>
            </w:r>
          </w:p>
        </w:tc>
        <w:tc>
          <w:tcPr>
            <w:tcW w:w="0" w:type="dxa"/>
            <w:vAlign w:val="bottom"/>
          </w:tcPr>
          <w:p>
            <w:pPr>
              <w:spacing w:after="0"/>
              <w:rPr>
                <w:sz w:val="1"/>
                <w:szCs w:val="1"/>
                <w:color w:val="auto"/>
              </w:rPr>
            </w:pPr>
          </w:p>
        </w:tc>
      </w:tr>
      <w:tr>
        <w:trPr>
          <w:trHeight w:val="108"/>
        </w:trPr>
        <w:tc>
          <w:tcPr>
            <w:tcW w:w="2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Hunter Murdock, Esq.</w:t>
            </w:r>
          </w:p>
        </w:tc>
        <w:tc>
          <w:tcPr>
            <w:tcW w:w="1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12/13/2021</w:t>
            </w:r>
          </w:p>
        </w:tc>
        <w:tc>
          <w:tcPr>
            <w:tcW w:w="1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40,000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32.55</w:t>
            </w:r>
          </w:p>
        </w:tc>
        <w:tc>
          <w:tcPr>
            <w:tcW w:w="120" w:type="dxa"/>
            <w:vAlign w:val="bottom"/>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12/13/2031</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13,096</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3,273</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6,924</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1,264,599</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20,469</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9,304</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8,441</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1,541,664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10,322</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13,271</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1,756,266</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1,466</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6,350</w:t>
            </w:r>
          </w:p>
        </w:tc>
        <w:tc>
          <w:tcPr>
            <w:tcW w:w="220" w:type="dxa"/>
            <w:vAlign w:val="bottom"/>
            <w:gridSpan w:val="2"/>
            <w:vMerge w:val="continue"/>
          </w:tcPr>
          <w:p>
            <w:pPr>
              <w:spacing w:after="0"/>
              <w:rPr>
                <w:sz w:val="10"/>
                <w:szCs w:val="10"/>
                <w:color w:val="auto"/>
              </w:rPr>
            </w:pPr>
          </w:p>
        </w:tc>
        <w:tc>
          <w:tcPr>
            <w:tcW w:w="1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10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2/21/2035</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7,740</w:t>
            </w:r>
          </w:p>
        </w:tc>
        <w:tc>
          <w:tcPr>
            <w:tcW w:w="180" w:type="dxa"/>
            <w:vAlign w:val="bottom"/>
            <w:gridSpan w:val="2"/>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1,413,634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7,740</w:t>
            </w:r>
          </w:p>
        </w:tc>
        <w:tc>
          <w:tcPr>
            <w:tcW w:w="180" w:type="dxa"/>
            <w:vAlign w:val="bottom"/>
            <w:gridSpan w:val="2"/>
            <w:vMerge w:val="continue"/>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1,413,634</w:t>
            </w: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Ari Maizel, M.B.A.</w:t>
            </w:r>
          </w:p>
        </w:tc>
        <w:tc>
          <w:tcPr>
            <w:tcW w:w="9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9/25/2023</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21,775</w:t>
            </w:r>
          </w:p>
        </w:tc>
        <w:tc>
          <w:tcPr>
            <w:tcW w:w="112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16,935</w:t>
            </w:r>
          </w:p>
        </w:tc>
        <w:tc>
          <w:tcPr>
            <w:tcW w:w="2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(2)</w:t>
            </w: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70.73</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9/25/2033</w:t>
            </w:r>
          </w:p>
        </w:tc>
        <w:tc>
          <w:tcPr>
            <w:tcW w:w="102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10,868</w:t>
            </w: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1,984,932</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9/25/2023</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10,322</w:t>
            </w:r>
          </w:p>
        </w:tc>
        <w:tc>
          <w:tcPr>
            <w:tcW w:w="112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13,271</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1,756,266</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1,466</w:t>
            </w:r>
          </w:p>
        </w:tc>
        <w:tc>
          <w:tcPr>
            <w:tcW w:w="112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6,350</w:t>
            </w:r>
          </w:p>
        </w:tc>
        <w:tc>
          <w:tcPr>
            <w:tcW w:w="22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137.75</w:t>
            </w:r>
          </w:p>
        </w:tc>
        <w:tc>
          <w:tcPr>
            <w:tcW w:w="10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2/21/2035</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2/21/2025</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7,740</w:t>
            </w:r>
          </w:p>
        </w:tc>
        <w:tc>
          <w:tcPr>
            <w:tcW w:w="1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1,413,634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2/24/2025</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7,740</w:t>
            </w:r>
          </w:p>
        </w:tc>
        <w:tc>
          <w:tcPr>
            <w:tcW w:w="1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1,413,634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543560</wp:posOffset>
            </wp:positionV>
            <wp:extent cx="1903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in equal quarterly installments over four years from date of grant provided that the executive continues to provide services to us through the applicable dates.</w:t>
      </w:r>
    </w:p>
    <w:p>
      <w:pPr>
        <w:spacing w:after="0" w:line="26" w:lineRule="exact"/>
        <w:rPr>
          <w:rFonts w:ascii="Times New Roman" w:cs="Times New Roman" w:eastAsia="Times New Roman" w:hAnsi="Times New Roman"/>
          <w:sz w:val="13"/>
          <w:szCs w:val="13"/>
          <w:color w:val="auto"/>
        </w:rPr>
      </w:pPr>
    </w:p>
    <w:p>
      <w:pPr>
        <w:ind w:left="380" w:right="400" w:hanging="372"/>
        <w:spacing w:after="0"/>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over a four-year period as follows: 25% of the options will vest on the first anniversary of the grant date and the remaining 75% of the options will vest in equal increments thereafter during each quarter of the remaining three-year period, provided that the executive continues to provide services to us through the applicable dates.</w:t>
      </w:r>
    </w:p>
    <w:p>
      <w:pPr>
        <w:jc w:val="both"/>
        <w:ind w:left="380" w:right="140" w:hanging="372"/>
        <w:spacing w:after="0" w:line="231"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 awards vest in equal annual installments over four years. Vested shares will be delivered to the NEO upon the earlier of (i) the closing of a Change in Control (as defined in the 2025 Plan), (ii) the NEO’s separation of service from the Company (including termination with or without Cause (as defined in the 2025 Plan), or termination due to death or Total and Permanent Disability (as defined in the 2025 Plan)), or (iii) seven (7) years from the date of grant.</w:t>
      </w:r>
    </w:p>
    <w:p>
      <w:pPr>
        <w:spacing w:after="0" w:line="11" w:lineRule="exact"/>
        <w:rPr>
          <w:rFonts w:ascii="Times New Roman" w:cs="Times New Roman" w:eastAsia="Times New Roman" w:hAnsi="Times New Roman"/>
          <w:sz w:val="13"/>
          <w:szCs w:val="13"/>
          <w:color w:val="auto"/>
        </w:rPr>
      </w:pPr>
    </w:p>
    <w:p>
      <w:pPr>
        <w:jc w:val="both"/>
        <w:ind w:left="380" w:right="100" w:hanging="372"/>
        <w:spacing w:after="0" w:line="232"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PSUs are subject to performance-based vesting over a three-year performance period subject to certain revenue metrics and clinical regulatory milestones to further tie compensation incentives to our long-term performance. Specifically, 50% of the target number of PSUs shall be subject to a three-year revenue performance goal, and 50% of the target number of PSUs shall be subject to a three-year clinical and regulatory performance goal. PSUs are shown at the target level.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Option Exercises and Stock Vested</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for our NEOs concerning the option awards that were exercised and RSUs that were vested during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806"/>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08"/>
        </w:trPr>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jc w:val="center"/>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5"/>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66"/>
              <w:spacing w:after="0" w:line="135" w:lineRule="exact"/>
              <w:rPr>
                <w:sz w:val="20"/>
                <w:szCs w:val="20"/>
                <w:color w:val="auto"/>
              </w:rPr>
            </w:pPr>
            <w:r>
              <w:rPr>
                <w:rFonts w:ascii="Times New Roman" w:cs="Times New Roman" w:eastAsia="Times New Roman" w:hAnsi="Times New Roman"/>
                <w:sz w:val="13"/>
                <w:szCs w:val="13"/>
                <w:b w:val="1"/>
                <w:bCs w:val="1"/>
                <w:color w:val="auto"/>
              </w:rPr>
              <w:t>Value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286"/>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r>
      <w:tr>
        <w:trPr>
          <w:trHeight w:val="135"/>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06"/>
              <w:spacing w:after="0" w:line="135" w:lineRule="exact"/>
              <w:rPr>
                <w:sz w:val="20"/>
                <w:szCs w:val="20"/>
                <w:color w:val="auto"/>
              </w:rPr>
            </w:pPr>
            <w:r>
              <w:rPr>
                <w:rFonts w:ascii="Times New Roman" w:cs="Times New Roman" w:eastAsia="Times New Roman" w:hAnsi="Times New Roman"/>
                <w:sz w:val="13"/>
                <w:szCs w:val="13"/>
                <w:b w:val="1"/>
                <w:bCs w:val="1"/>
                <w:color w:val="auto"/>
              </w:rPr>
              <w:t>Realized 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286"/>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Realized on</w:t>
            </w:r>
          </w:p>
        </w:tc>
        <w:tc>
          <w:tcPr>
            <w:tcW w:w="220" w:type="dxa"/>
            <w:vAlign w:val="bottom"/>
          </w:tcPr>
          <w:p>
            <w:pPr>
              <w:spacing w:after="0"/>
              <w:rPr>
                <w:sz w:val="11"/>
                <w:szCs w:val="11"/>
                <w:color w:val="auto"/>
              </w:rPr>
            </w:pPr>
          </w:p>
        </w:tc>
      </w:tr>
      <w:tr>
        <w:trPr>
          <w:trHeight w:val="155"/>
        </w:trPr>
        <w:tc>
          <w:tcPr>
            <w:tcW w:w="552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3"/>
                <w:szCs w:val="13"/>
                <w:color w:val="auto"/>
              </w:rPr>
            </w:pPr>
          </w:p>
        </w:tc>
        <w:tc>
          <w:tcPr>
            <w:tcW w:w="12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Exercise ($)</w:t>
            </w: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3"/>
                <w:szCs w:val="13"/>
                <w:b w:val="1"/>
                <w:bCs w:val="1"/>
                <w:color w:val="auto"/>
                <w:w w:val="96"/>
              </w:rPr>
              <w:t>Vesting ($)</w:t>
            </w:r>
          </w:p>
        </w:tc>
        <w:tc>
          <w:tcPr>
            <w:tcW w:w="220" w:type="dxa"/>
            <w:vAlign w:val="bottom"/>
          </w:tcPr>
          <w:p>
            <w:pPr>
              <w:spacing w:after="0"/>
              <w:rPr>
                <w:sz w:val="13"/>
                <w:szCs w:val="13"/>
                <w:color w:val="auto"/>
              </w:rPr>
            </w:pPr>
          </w:p>
        </w:tc>
      </w:tr>
      <w:tr>
        <w:trPr>
          <w:trHeight w:val="196"/>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352,176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43,420,053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68,589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8,647,747</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1,899,014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24,301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3,062,758</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r>
      <w:tr>
        <w:trPr>
          <w:trHeight w:val="202"/>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115,673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12,033,743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28,059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3,536,239</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36,014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2,570,283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20,049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2,654,398</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8,774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1,052,608</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realized on exercise is based on the difference between the closing price of our common stock on The Nasdaq Global Select Market on the date of exercise and the exercise price of the option, and does not represent proceeds from any sale of any common stock acquired upon exercise.</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shares are subject to a post-vesting holding period, and therefore, the actual realized value may be higher or lower.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Termination/Change of Control and Employment Agreements</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2025. The calculations use the closing price per share of our common stock on Nasdaq on December 31, 2025, which was $182.64. As described above, only Mr. Pizzie has entered into an employment agreement with the Company which provides for severance payments.</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5"/>
          </w:tcPr>
          <w:p>
            <w:pPr>
              <w:jc w:val="center"/>
              <w:ind w:right="226"/>
              <w:spacing w:after="0"/>
              <w:rPr>
                <w:sz w:val="20"/>
                <w:szCs w:val="20"/>
                <w:color w:val="auto"/>
              </w:rPr>
            </w:pPr>
            <w:r>
              <w:rPr>
                <w:rFonts w:ascii="Times New Roman" w:cs="Times New Roman" w:eastAsia="Times New Roman" w:hAnsi="Times New Roman"/>
                <w:sz w:val="13"/>
                <w:szCs w:val="13"/>
                <w:b w:val="1"/>
                <w:bCs w:val="1"/>
                <w:color w:val="auto"/>
                <w:w w:val="97"/>
              </w:rPr>
              <w:t>Termination Without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5"/>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Cause in Connection with</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center"/>
              <w:ind w:right="226"/>
              <w:spacing w:after="0"/>
              <w:rPr>
                <w:sz w:val="20"/>
                <w:szCs w:val="20"/>
                <w:color w:val="auto"/>
              </w:rPr>
            </w:pPr>
            <w:r>
              <w:rPr>
                <w:rFonts w:ascii="Times New Roman" w:cs="Times New Roman" w:eastAsia="Times New Roman" w:hAnsi="Times New Roman"/>
                <w:sz w:val="13"/>
                <w:szCs w:val="13"/>
                <w:b w:val="1"/>
                <w:bCs w:val="1"/>
                <w:color w:val="auto"/>
                <w:w w:val="96"/>
              </w:rPr>
              <w:t>Change in Control</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center"/>
              <w:ind w:right="229"/>
              <w:spacing w:after="0" w:line="109" w:lineRule="exact"/>
              <w:rPr>
                <w:sz w:val="20"/>
                <w:szCs w:val="20"/>
                <w:color w:val="auto"/>
              </w:rPr>
            </w:pPr>
            <w:r>
              <w:rPr>
                <w:rFonts w:ascii="Times New Roman" w:cs="Times New Roman" w:eastAsia="Times New Roman" w:hAnsi="Times New Roman"/>
                <w:sz w:val="12"/>
                <w:szCs w:val="12"/>
                <w:b w:val="1"/>
                <w:bCs w:val="1"/>
                <w:color w:val="auto"/>
              </w:rPr>
              <w:t>Salary</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ind w:left="200"/>
              <w:spacing w:after="0" w:line="109" w:lineRule="exact"/>
              <w:rPr>
                <w:sz w:val="20"/>
                <w:szCs w:val="20"/>
                <w:color w:val="auto"/>
              </w:rPr>
            </w:pPr>
            <w:r>
              <w:rPr>
                <w:rFonts w:ascii="Times New Roman" w:cs="Times New Roman" w:eastAsia="Times New Roman" w:hAnsi="Times New Roman"/>
                <w:sz w:val="12"/>
                <w:szCs w:val="12"/>
                <w:b w:val="1"/>
                <w:bCs w:val="1"/>
                <w:color w:val="auto"/>
              </w:rPr>
              <w:t>Salary</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center"/>
              <w:ind w:right="186"/>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2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Bonus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Acceleration</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and Bonus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86"/>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Acceleration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39,628,193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(2)</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7"/>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265,000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13,350,063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(3)</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7"/>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15,303,382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(2)</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7"/>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10,575,331</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7"/>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10,057,764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(2)</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20" w:hanging="281"/>
        <w:spacing w:after="0"/>
        <w:tabs>
          <w:tab w:leader="none" w:pos="3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2015 Plan, any acceleration of the equity awards granted to non-exempt employees upon the employee’s death, disability or retirement would be at the discretion of the Compensation Committee.</w:t>
      </w:r>
    </w:p>
    <w:p>
      <w:pPr>
        <w:spacing w:after="0" w:line="26"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Tabuteau, Mr. Jacobson, Mr. Murdock, and Mr. Maizel will not receive any severance payments upon an involuntary termination without cause, including a termination in connection with a change of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80" w:hanging="372"/>
        <w:spacing w:after="0" w:line="238" w:lineRule="auto"/>
        <w:tabs>
          <w:tab w:leader="none" w:pos="3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2015 Plan includes a double-trigger provision, whereby the unvested portion of each NEO’s outstanding equity awards shall become immediately vested and exercisable upon such NEO’s termination without cause in connection with a Change in Control (as defined in the 2015 Plan). The 2015 Plan does not otherwise provide for acceleration of equity in connection with a termination for any other reason or a termination without cause not in connection with a Change in Control. The 2025 Plan addresses the treatment of outstanding equity awards upon a Change in Control (as defined in the 2025 Plan) in two scenarios. First, if a Change in Control occurs and no provision is made for the continuation, assumption, or substitution of outstanding Awards (as defined in the 2025 Plan), all such Awards will terminate upon the effective time of the Change in Control, and immediately prior to such termination, all outstanding stock options and stock appreciation rights will become fully exercisable, all time-based Restricted Stock (as defined in the 2025 Plan) will become fully vested and free of restrictions, and all time-based RSUs, Performance Shares (as defined in the 2025 Plan), PSUs, and Performance Cash Units (as defined in the 2025 Plan) as will become fully earned and vested; performance-based Awards will vest at the target level of the applicable performance criteria. In addition, the PSU agreements provide that if the PSUs are not assumed by or replaced with similar awards by the acquiror in a Change in Control, the number of PSUs that will be earned will be the greater of the number of PSUs that would be earned at target and the number of PSUs that would be earned based on actual performance through the date of the Change in Control. This acceleration occurs solely upon the Change in Control and does not require a concurrent termination of employment. Second, where Awards are assumed, continued, or replaced with Replacement Awards (as defined in the 2025 Plan) in connection with a Change in Control, the Administrator may specify on or after the date of grant, in an Award Agreement or amendment thereto, the consequences of a Participant's Termination of Service that occurs coincident with or following the Change in Control. In addition, the 2025 Plan separately provides the Administrator with general discretion to waive forfeiture conditions upon a Participant's Termination of Service resulting from specified causes or otherwise, as described above. The 2025 Plan does not otherwise provide for acceleration of equity in connection with a termination for any other reason or a termination without cause not in connection with a Change in Control.</w:t>
      </w:r>
    </w:p>
    <w:p>
      <w:pPr>
        <w:spacing w:after="0" w:line="16" w:lineRule="exact"/>
        <w:rPr>
          <w:rFonts w:ascii="Times New Roman" w:cs="Times New Roman" w:eastAsia="Times New Roman" w:hAnsi="Times New Roman"/>
          <w:sz w:val="12"/>
          <w:szCs w:val="12"/>
          <w:color w:val="auto"/>
        </w:rPr>
      </w:pPr>
    </w:p>
    <w:p>
      <w:pPr>
        <w:ind w:left="380" w:right="60" w:hanging="372"/>
        <w:spacing w:after="0"/>
        <w:tabs>
          <w:tab w:leader="none" w:pos="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Executive Officer Pay Ratio</w:t>
      </w:r>
    </w:p>
    <w:p>
      <w:pPr>
        <w:spacing w:after="0" w:line="129"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We are providing the following information about the relationship of the annual total compensation of our employees and the annual total compensation of our CEO. Based on the information for fiscal year 2025, we reasonably estimate that the ratio of our CEO’s annual total compensation to the annual total compensation of our median employee was 23:1. Our pay ratio estimate has been calculated in a manner consistent with Item 402(u) of Regulation S-K using the data and assumptions summarized below.</w:t>
      </w:r>
    </w:p>
    <w:p>
      <w:pPr>
        <w:spacing w:after="0" w:line="75" w:lineRule="exact"/>
        <w:rPr>
          <w:sz w:val="20"/>
          <w:szCs w:val="20"/>
          <w:color w:val="auto"/>
        </w:rPr>
      </w:pPr>
    </w:p>
    <w:p>
      <w:pPr>
        <w:ind w:right="220" w:firstLine="374"/>
        <w:spacing w:after="0" w:line="269" w:lineRule="auto"/>
        <w:rPr>
          <w:sz w:val="20"/>
          <w:szCs w:val="20"/>
          <w:color w:val="auto"/>
        </w:rPr>
      </w:pPr>
      <w:r>
        <w:rPr>
          <w:rFonts w:ascii="Times New Roman" w:cs="Times New Roman" w:eastAsia="Times New Roman" w:hAnsi="Times New Roman"/>
          <w:sz w:val="16"/>
          <w:szCs w:val="16"/>
          <w:color w:val="auto"/>
        </w:rPr>
        <w:t>We utilized annual base pay as our consistently applied compensation measure and December 31, 2025 as our determination date in order to identify the median employee (by assessing our entire employee population as of such date, other than Dr. Tabuteau). We did not annualize compensation for any employees who were employed for less than the full fiscal year. Once the median employee was identified, we calculated the median employee’s total annual compensation using the same methodology as our CEO in the Summary Compensation Table. Once we calculated the median employee’s total annual compensation, we compared it to Dr. Tabuteau’s total compensation in accordance with the requirements of the Summary Compensation Table. The total annual compensation of the median employee for 2025 was $437,980. The total annual compensation for our CEO for 2025 was $10,283,492. Therefore, the ratio of CEO total annual compensation to the median employee total annual compensation for 2025 was approximately 23 to 1.</w:t>
      </w:r>
    </w:p>
    <w:p>
      <w:pPr>
        <w:spacing w:after="0" w:line="82" w:lineRule="exact"/>
        <w:rPr>
          <w:sz w:val="20"/>
          <w:szCs w:val="20"/>
          <w:color w:val="auto"/>
        </w:rPr>
      </w:pPr>
    </w:p>
    <w:p>
      <w:pPr>
        <w:ind w:right="160" w:firstLine="374"/>
        <w:spacing w:after="0" w:line="272" w:lineRule="auto"/>
        <w:rPr>
          <w:sz w:val="20"/>
          <w:szCs w:val="20"/>
          <w:color w:val="auto"/>
        </w:rPr>
      </w:pPr>
      <w:r>
        <w:rPr>
          <w:rFonts w:ascii="Times New Roman" w:cs="Times New Roman" w:eastAsia="Times New Roman" w:hAnsi="Times New Roman"/>
          <w:sz w:val="16"/>
          <w:szCs w:val="16"/>
          <w:color w:val="auto"/>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 This information is being provided for compliance purposes only. Neither the Compensation Committee nor management of Axsome uses the pay ratio measure in making compensation decisions.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and Practices Related to the Grant of Certain Equity Awards</w:t>
      </w:r>
    </w:p>
    <w:p>
      <w:pPr>
        <w:spacing w:after="0" w:line="129"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In accordance with Item 402(x) of Regulation S-K, we are providing information regarding our procedures related to the grant of stock options close in time to the release of material non-public information. For our annual awards, we typically grant equity awards three business days after the filing of the Form 10-K. For other awards, we take into account the timing of material non-public information so that we do not make any grants of stock options close in time to the release of material non-public information. During fiscal year 2025, there were no stock option or stock appreciation right awards to any NEOs within four business days preceding or one business day after the filing of any report of Forms 10-K, 10-Q, or 8-K that discloses material nonpublic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7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The following table sets forth compensation information for our Chief Executive Officer, referred to below as our PEO, and our other NEOs for purposes of comparing their compensation to the value of our shareholders’ investments and our results of operations, calculated in accordance with SEC regulations, for fiscal years 2025, 2024, 2023, 2022 and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8"/>
              </w:rPr>
              <w:t>(1) (2)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(1)</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(1)(2)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(3)</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79"/>
              </w:rPr>
              <w:t>initial</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3"/>
              </w:rPr>
              <w:t>(4)</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17"/>
              <w:spacing w:after="0" w:line="100"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260" w:type="dxa"/>
            <w:vAlign w:val="bottom"/>
            <w:vMerge w:val="continue"/>
          </w:tcPr>
          <w:p>
            <w:pPr>
              <w:spacing w:after="0"/>
              <w:rPr>
                <w:sz w:val="8"/>
                <w:szCs w:val="8"/>
                <w:color w:val="auto"/>
              </w:rPr>
            </w:pPr>
          </w:p>
        </w:tc>
        <w:tc>
          <w:tcPr>
            <w:tcW w:w="8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fixed $100</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6"/>
              </w:rPr>
              <w:t>investment based on: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center"/>
              <w:ind w:right="58"/>
              <w:spacing w:after="0" w:line="100" w:lineRule="exact"/>
              <w:rPr>
                <w:sz w:val="20"/>
                <w:szCs w:val="20"/>
                <w:color w:val="auto"/>
              </w:rPr>
            </w:pPr>
            <w:r>
              <w:rPr>
                <w:rFonts w:ascii="Times New Roman" w:cs="Times New Roman" w:eastAsia="Times New Roman" w:hAnsi="Times New Roman"/>
                <w:sz w:val="11"/>
                <w:szCs w:val="11"/>
                <w:b w:val="1"/>
                <w:bCs w:val="1"/>
                <w:color w:val="auto"/>
                <w:w w:val="98"/>
              </w:rPr>
              <w:t>NASDAQ</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1"/>
                <w:szCs w:val="11"/>
                <w:b w:val="1"/>
                <w:bCs w:val="1"/>
                <w:color w:val="auto"/>
                <w:w w:val="98"/>
              </w:rPr>
              <w:t>Summary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4"/>
              </w:rPr>
              <w:t>summary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8"/>
              </w:rPr>
              <w:t>Biotechnology</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Index</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1"/>
                <w:szCs w:val="11"/>
                <w:b w:val="1"/>
                <w:bCs w:val="1"/>
                <w:color w:val="auto"/>
                <w:w w:val="99"/>
              </w:rPr>
              <w:t>table total for</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actually paid to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6"/>
              </w:rPr>
              <w:t>table total for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actually paid to</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1"/>
                <w:szCs w:val="11"/>
                <w:b w:val="1"/>
                <w:bCs w:val="1"/>
                <w:color w:val="auto"/>
              </w:rPr>
              <w:t>Total share-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share-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Loss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selected</w:t>
            </w:r>
          </w:p>
        </w:tc>
        <w:tc>
          <w:tcPr>
            <w:tcW w:w="0" w:type="dxa"/>
            <w:vAlign w:val="bottom"/>
          </w:tcPr>
          <w:p>
            <w:pPr>
              <w:spacing w:after="0"/>
              <w:rPr>
                <w:sz w:val="1"/>
                <w:szCs w:val="1"/>
                <w:color w:val="auto"/>
              </w:rPr>
            </w:pPr>
          </w:p>
        </w:tc>
      </w:tr>
      <w:tr>
        <w:trPr>
          <w:trHeight w:val="13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7"/>
              </w:rPr>
              <w:t>PEO</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w w:val="97"/>
              </w:rPr>
              <w:t>PEO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8"/>
              </w:rPr>
              <w:t>non-PEO NEOs</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8"/>
              </w:rPr>
              <w:t>non-PEO NEOs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7"/>
              </w:rPr>
              <w:t>holder return</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7"/>
              </w:rPr>
              <w:t>holder return</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5"/>
              </w:rPr>
              <w:t>measure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10,283,492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33,803,679</w:t>
            </w:r>
          </w:p>
        </w:tc>
        <w:tc>
          <w:tcPr>
            <w:tcW w:w="1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3,587,903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11,038,014</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224.18</w:t>
            </w:r>
          </w:p>
        </w:tc>
        <w:tc>
          <w:tcPr>
            <w:tcW w:w="340" w:type="dxa"/>
            <w:vAlign w:val="bottom"/>
            <w:gridSpan w:val="2"/>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124.75</w:t>
            </w:r>
          </w:p>
        </w:tc>
        <w:tc>
          <w:tcPr>
            <w:tcW w:w="4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(183,174)</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10,364,688</w:t>
            </w: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10,059,065</w:t>
            </w:r>
          </w:p>
        </w:tc>
        <w:tc>
          <w:tcPr>
            <w:tcW w:w="1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3,611,563</w:t>
            </w: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3,557,974</w:t>
            </w:r>
          </w:p>
        </w:tc>
        <w:tc>
          <w:tcPr>
            <w:tcW w:w="1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103.85</w:t>
            </w:r>
          </w:p>
        </w:tc>
        <w:tc>
          <w:tcPr>
            <w:tcW w:w="3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93.49</w:t>
            </w: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(287,216)</w:t>
            </w: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9,896,629</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9,643,777</w:t>
            </w:r>
          </w:p>
        </w:tc>
        <w:tc>
          <w:tcPr>
            <w:tcW w:w="1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3,553,199</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3,429,516</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97.69</w:t>
            </w:r>
          </w:p>
        </w:tc>
        <w:tc>
          <w:tcPr>
            <w:tcW w:w="340" w:type="dxa"/>
            <w:vAlign w:val="bottom"/>
            <w:gridSpan w:val="2"/>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94.03</w:t>
            </w:r>
          </w:p>
        </w:tc>
        <w:tc>
          <w:tcPr>
            <w:tcW w:w="4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(239,238)</w:t>
            </w: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8,322,402</w:t>
            </w: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28,012,845</w:t>
            </w:r>
          </w:p>
        </w:tc>
        <w:tc>
          <w:tcPr>
            <w:tcW w:w="1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3,201,133</w:t>
            </w: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10,647,212</w:t>
            </w:r>
          </w:p>
        </w:tc>
        <w:tc>
          <w:tcPr>
            <w:tcW w:w="1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94.67</w:t>
            </w:r>
          </w:p>
        </w:tc>
        <w:tc>
          <w:tcPr>
            <w:tcW w:w="3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89.90</w:t>
            </w: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(187,134)</w:t>
            </w: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8,054,631</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(11,115,528)</w:t>
            </w: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4,511,767</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(2,163,524)</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46.37</w:t>
            </w:r>
          </w:p>
        </w:tc>
        <w:tc>
          <w:tcPr>
            <w:tcW w:w="340" w:type="dxa"/>
            <w:vAlign w:val="bottom"/>
            <w:gridSpan w:val="2"/>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100.02</w:t>
            </w:r>
          </w:p>
        </w:tc>
        <w:tc>
          <w:tcPr>
            <w:tcW w:w="4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(130,403)</w:t>
            </w: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right="60" w:hanging="372"/>
        <w:spacing w:after="0"/>
        <w:tabs>
          <w:tab w:leader="none" w:pos="380"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each fiscal year, represents amount reported for our PEOs and average amount reported for our NEOs, in each case in the Total column of the Summary of Compensation Table. Our PEOs and NEOs for each of these fiscal years are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 w:type="dxa"/>
            <w:vAlign w:val="bottom"/>
          </w:tcPr>
          <w:p>
            <w:pPr>
              <w:jc w:val="center"/>
              <w:ind w:left="2"/>
              <w:spacing w:after="0"/>
              <w:rPr>
                <w:sz w:val="20"/>
                <w:szCs w:val="20"/>
                <w:color w:val="auto"/>
              </w:rPr>
            </w:pPr>
            <w:r>
              <w:rPr>
                <w:rFonts w:ascii="Times New Roman" w:cs="Times New Roman" w:eastAsia="Times New Roman" w:hAnsi="Times New Roman"/>
                <w:sz w:val="13"/>
                <w:szCs w:val="13"/>
                <w:b w:val="1"/>
                <w:bCs w:val="1"/>
                <w:color w:val="auto"/>
              </w:rPr>
              <w:t>Year</w:t>
            </w: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CEO</w:t>
            </w:r>
          </w:p>
        </w:tc>
        <w:tc>
          <w:tcPr>
            <w:tcW w:w="7980" w:type="dxa"/>
            <w:vAlign w:val="bottom"/>
          </w:tcPr>
          <w:p>
            <w:pPr>
              <w:ind w:left="1140"/>
              <w:spacing w:after="0"/>
              <w:rPr>
                <w:sz w:val="20"/>
                <w:szCs w:val="20"/>
                <w:color w:val="auto"/>
              </w:rPr>
            </w:pPr>
            <w:r>
              <w:rPr>
                <w:rFonts w:ascii="Times New Roman" w:cs="Times New Roman" w:eastAsia="Times New Roman" w:hAnsi="Times New Roman"/>
                <w:sz w:val="13"/>
                <w:szCs w:val="13"/>
                <w:b w:val="1"/>
                <w:bCs w:val="1"/>
                <w:color w:val="auto"/>
              </w:rPr>
              <w:t>Non-CEO NEOs</w:t>
            </w:r>
          </w:p>
        </w:tc>
      </w:tr>
      <w:tr>
        <w:trPr>
          <w:trHeight w:val="43"/>
        </w:trPr>
        <w:tc>
          <w:tcPr>
            <w:tcW w:w="5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r>
      <w:tr>
        <w:trPr>
          <w:trHeight w:val="180"/>
        </w:trPr>
        <w:tc>
          <w:tcPr>
            <w:tcW w:w="520" w:type="dxa"/>
            <w:vAlign w:val="bottom"/>
          </w:tcPr>
          <w:p>
            <w:pPr>
              <w:jc w:val="center"/>
              <w:ind w:left="2"/>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7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Herriot Tabuteau, M.D.</w:t>
            </w:r>
          </w:p>
        </w:tc>
        <w:tc>
          <w:tcPr>
            <w:tcW w:w="7980" w:type="dxa"/>
            <w:vAlign w:val="bottom"/>
          </w:tcPr>
          <w:p>
            <w:pPr>
              <w:ind w:left="1140"/>
              <w:spacing w:after="0" w:line="181" w:lineRule="exact"/>
              <w:rPr>
                <w:sz w:val="20"/>
                <w:szCs w:val="20"/>
                <w:color w:val="auto"/>
              </w:rPr>
            </w:pPr>
            <w:r>
              <w:rPr>
                <w:rFonts w:ascii="Times New Roman" w:cs="Times New Roman" w:eastAsia="Times New Roman" w:hAnsi="Times New Roman"/>
                <w:sz w:val="16"/>
                <w:szCs w:val="16"/>
                <w:color w:val="auto"/>
              </w:rPr>
              <w:t>Nick Pizzie, C.P.A., M.B.A., Mark Jacobson, M.A., Hunter Murdock, Esq., Ari Maizel, M.B.A.</w:t>
            </w:r>
          </w:p>
        </w:tc>
      </w:tr>
      <w:tr>
        <w:trPr>
          <w:trHeight w:val="203"/>
        </w:trPr>
        <w:tc>
          <w:tcPr>
            <w:tcW w:w="52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 Ari Maizel, M.B.A.</w:t>
            </w:r>
          </w:p>
        </w:tc>
      </w:tr>
      <w:tr>
        <w:trPr>
          <w:trHeight w:val="203"/>
        </w:trPr>
        <w:tc>
          <w:tcPr>
            <w:tcW w:w="52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03"/>
        </w:trPr>
        <w:tc>
          <w:tcPr>
            <w:tcW w:w="52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15"/>
        </w:trPr>
        <w:tc>
          <w:tcPr>
            <w:tcW w:w="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w:t>
            </w:r>
          </w:p>
        </w:tc>
      </w:tr>
    </w:tbl>
    <w:p>
      <w:pPr>
        <w:spacing w:after="0" w:line="63" w:lineRule="exact"/>
        <w:rPr>
          <w:sz w:val="20"/>
          <w:szCs w:val="20"/>
          <w:color w:val="auto"/>
        </w:rPr>
      </w:pPr>
    </w:p>
    <w:p>
      <w:pPr>
        <w:ind w:left="380" w:right="20" w:hanging="372"/>
        <w:spacing w:after="0" w:line="246" w:lineRule="auto"/>
        <w:tabs>
          <w:tab w:leader="none" w:pos="380" w:val="left"/>
        </w:tabs>
        <w:numPr>
          <w:ilvl w:val="0"/>
          <w:numId w:val="5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Amounts represent Compensation Actually Paid to our PEO and the average Compensation Actually Paid to our non-CEO NEOs for the relevant fiscal year. Compensation Actually Paid represents the amount reported in the Total column of the Summary Compensation Table for the applicable fiscal year, adjusted as shown below. Fair value or change in fair value, as applicable, of equity awards in the Compensation Actually Paid columns was determined as follows: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Equity values are calculated in accordance with ASC 718.</w:t>
      </w:r>
    </w:p>
    <w:p>
      <w:pPr>
        <w:spacing w:after="0" w:line="8" w:lineRule="exact"/>
        <w:rPr>
          <w:rFonts w:ascii="Times New Roman" w:cs="Times New Roman" w:eastAsia="Times New Roman" w:hAnsi="Times New Roman"/>
          <w:sz w:val="12"/>
          <w:szCs w:val="12"/>
          <w:color w:val="231F20"/>
        </w:rPr>
      </w:pPr>
    </w:p>
    <w:p>
      <w:pPr>
        <w:ind w:left="380" w:hanging="372"/>
        <w:spacing w:after="0"/>
        <w:tabs>
          <w:tab w:leader="none" w:pos="380" w:val="left"/>
        </w:tabs>
        <w:numPr>
          <w:ilvl w:val="0"/>
          <w:numId w:val="5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Total Shareholder Return illustrates the value, as of the last day of the indicated fiscal year, of an investment of $100 in the Company’s common stock on December 31, 2020.</w:t>
      </w:r>
    </w:p>
    <w:p>
      <w:pPr>
        <w:spacing w:after="0" w:line="14" w:lineRule="exact"/>
        <w:rPr>
          <w:rFonts w:ascii="Times New Roman" w:cs="Times New Roman" w:eastAsia="Times New Roman" w:hAnsi="Times New Roman"/>
          <w:sz w:val="13"/>
          <w:szCs w:val="13"/>
          <w:color w:val="231F20"/>
        </w:rPr>
      </w:pPr>
    </w:p>
    <w:p>
      <w:pPr>
        <w:ind w:left="380" w:hanging="372"/>
        <w:spacing w:after="0"/>
        <w:tabs>
          <w:tab w:leader="none" w:pos="380" w:val="left"/>
        </w:tabs>
        <w:numPr>
          <w:ilvl w:val="0"/>
          <w:numId w:val="5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NASDAQ Biotechnology Index total shareholder return.</w:t>
      </w:r>
    </w:p>
    <w:p>
      <w:pPr>
        <w:spacing w:after="0" w:line="23" w:lineRule="exact"/>
        <w:rPr>
          <w:rFonts w:ascii="Times New Roman" w:cs="Times New Roman" w:eastAsia="Times New Roman" w:hAnsi="Times New Roman"/>
          <w:sz w:val="13"/>
          <w:szCs w:val="13"/>
          <w:color w:val="231F20"/>
        </w:rPr>
      </w:pPr>
    </w:p>
    <w:p>
      <w:pPr>
        <w:ind w:left="380" w:right="300" w:hanging="372"/>
        <w:spacing w:after="0" w:line="232" w:lineRule="auto"/>
        <w:tabs>
          <w:tab w:leader="none" w:pos="380" w:val="left"/>
        </w:tabs>
        <w:numPr>
          <w:ilvl w:val="0"/>
          <w:numId w:val="5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much of the Company’s history, Axsome was a research and development company without revenue, and therefore, we did not have any specific financial performance measures linked to executive compensation. However, our Compensation Committee approved robust operational, commercial, clinical, strategic, and other performance goals discussed further below. In the future, this may change, and the Compensation Committee may adopt certain financial measures as one or more corporate goals and objectives.</w:t>
      </w:r>
    </w:p>
    <w:p>
      <w:pPr>
        <w:spacing w:after="0" w:line="84" w:lineRule="exact"/>
        <w:rPr>
          <w:sz w:val="20"/>
          <w:szCs w:val="20"/>
          <w:color w:val="auto"/>
        </w:rPr>
      </w:pPr>
    </w:p>
    <w:p>
      <w:pPr>
        <w:ind w:right="6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Pay versus Performance (“PvP”) table to determine the “compensation actually paid” to our Principal Executive Officer during each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2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tcPr>
          <w:p>
            <w:pPr>
              <w:jc w:val="center"/>
              <w:ind w:right="248"/>
              <w:spacing w:after="0" w:line="109" w:lineRule="exact"/>
              <w:rPr>
                <w:sz w:val="20"/>
                <w:szCs w:val="20"/>
                <w:color w:val="auto"/>
              </w:rPr>
            </w:pPr>
            <w:r>
              <w:rPr>
                <w:rFonts w:ascii="Times New Roman" w:cs="Times New Roman" w:eastAsia="Times New Roman" w:hAnsi="Times New Roman"/>
                <w:sz w:val="12"/>
                <w:szCs w:val="12"/>
                <w:b w:val="1"/>
                <w:bCs w:val="1"/>
                <w:color w:val="auto"/>
              </w:rPr>
              <w:t>Reported Summary</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 Value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r>
      <w:tr>
        <w:trPr>
          <w:trHeight w:val="15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center"/>
              <w:ind w:right="267"/>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326"/>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100" w:type="dxa"/>
            <w:vAlign w:val="bottom"/>
          </w:tcPr>
          <w:p>
            <w:pPr>
              <w:spacing w:after="0"/>
              <w:rPr>
                <w:sz w:val="13"/>
                <w:szCs w:val="13"/>
                <w:color w:val="auto"/>
              </w:rPr>
            </w:pPr>
          </w:p>
        </w:tc>
      </w:tr>
      <w:tr>
        <w:trPr>
          <w:trHeight w:val="19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10,283,492</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(8,366,791)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31,886,978</w:t>
            </w:r>
          </w:p>
        </w:tc>
        <w:tc>
          <w:tcPr>
            <w:tcW w:w="1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33,803,679</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10,364,688</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(8,499,758)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8,194,135</w:t>
            </w:r>
          </w:p>
        </w:tc>
        <w:tc>
          <w:tcPr>
            <w:tcW w:w="18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10,059,065</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(8,501,168)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1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9,643,777</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(7,001,434)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18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28,012,845</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(6,999,606)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(12,170,553)</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(11,115,528)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26" w:lineRule="exact"/>
        <w:rPr>
          <w:rFonts w:ascii="Times New Roman" w:cs="Times New Roman" w:eastAsia="Times New Roman" w:hAnsi="Times New Roman"/>
          <w:sz w:val="13"/>
          <w:szCs w:val="13"/>
          <w:color w:val="231F20"/>
        </w:rPr>
      </w:pPr>
    </w:p>
    <w:p>
      <w:pPr>
        <w:ind w:left="380" w:right="260" w:hanging="372"/>
        <w:spacing w:after="0"/>
        <w:tabs>
          <w:tab w:leader="none" w:pos="380" w:val="left"/>
        </w:tabs>
        <w:numPr>
          <w:ilvl w:val="0"/>
          <w:numId w:val="6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210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0563C1"/>
                <w:w w:val="95"/>
              </w:rPr>
              <w:t>TABLE OF CONTENTS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614"/>
        </w:trPr>
        <w:tc>
          <w:tcPr>
            <w:tcW w:w="740" w:type="dxa"/>
            <w:vAlign w:val="bottom"/>
            <w:tcBorders>
              <w:top w:val="single" w:sz="8" w:color="0563C1"/>
              <w:bottom w:val="single" w:sz="8" w:color="auto"/>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bottom w:val="single" w:sz="8" w:color="auto"/>
            </w:tcBorders>
          </w:tcPr>
          <w:p>
            <w:pPr>
              <w:spacing w:after="0"/>
              <w:rPr>
                <w:sz w:val="24"/>
                <w:szCs w:val="24"/>
                <w:color w:val="auto"/>
              </w:rPr>
            </w:pPr>
          </w:p>
        </w:tc>
        <w:tc>
          <w:tcPr>
            <w:tcW w:w="440" w:type="dxa"/>
            <w:vAlign w:val="bottom"/>
            <w:tcBorders>
              <w:top w:val="single" w:sz="8" w:color="0563C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jc w:val="center"/>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Dollar Value of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Earnings Paid 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Option Awards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Year-End Fair Value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200" w:type="dxa"/>
            <w:vAlign w:val="bottom"/>
          </w:tcPr>
          <w:p>
            <w:pPr>
              <w:spacing w:after="0"/>
              <w:rPr>
                <w:sz w:val="11"/>
                <w:szCs w:val="11"/>
                <w:color w:val="auto"/>
              </w:rPr>
            </w:pP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Prior to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Equity Awards</w:t>
            </w:r>
          </w:p>
        </w:tc>
        <w:tc>
          <w:tcPr>
            <w:tcW w:w="220" w:type="dxa"/>
            <w:vAlign w:val="bottom"/>
          </w:tcPr>
          <w:p>
            <w:pPr>
              <w:spacing w:after="0"/>
              <w:rPr>
                <w:sz w:val="11"/>
                <w:szCs w:val="11"/>
                <w:color w:val="auto"/>
              </w:rPr>
            </w:pPr>
          </w:p>
        </w:tc>
        <w:tc>
          <w:tcPr>
            <w:tcW w:w="14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62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from Last Day of Prior</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at Last Day</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Vesting Date that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During Year</w:t>
            </w:r>
          </w:p>
        </w:tc>
        <w:tc>
          <w:tcPr>
            <w:tcW w:w="220" w:type="dxa"/>
            <w:vAlign w:val="bottom"/>
          </w:tcPr>
          <w:p>
            <w:pPr>
              <w:spacing w:after="0"/>
              <w:rPr>
                <w:sz w:val="11"/>
                <w:szCs w:val="11"/>
                <w:color w:val="auto"/>
              </w:rPr>
            </w:pPr>
          </w:p>
        </w:tc>
        <w:tc>
          <w:tcPr>
            <w:tcW w:w="14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from Last Day of Prior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Granted</w:t>
            </w:r>
          </w:p>
        </w:tc>
        <w:tc>
          <w:tcPr>
            <w:tcW w:w="200" w:type="dxa"/>
            <w:vAlign w:val="bottom"/>
          </w:tcPr>
          <w:p>
            <w:pPr>
              <w:spacing w:after="0"/>
              <w:rPr>
                <w:sz w:val="11"/>
                <w:szCs w:val="11"/>
                <w:color w:val="auto"/>
              </w:rPr>
            </w:pP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to Vesting Date</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Prior Year of Equity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are not otherwise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to Last Day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that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Unvested Equity</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Failed to Meet</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included in the 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1700" w:type="dxa"/>
            <w:vAlign w:val="bottom"/>
            <w:gridSpan w:val="4"/>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Year of Unvested Equity</w:t>
            </w:r>
          </w:p>
        </w:tc>
        <w:tc>
          <w:tcPr>
            <w:tcW w:w="8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 During Year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that 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 Conditions</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Day of Year for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for Dr.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for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for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for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Aggregate Equity</w:t>
            </w:r>
          </w:p>
        </w:tc>
      </w:tr>
      <w:tr>
        <w:trPr>
          <w:trHeight w:val="155"/>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Tabuteau</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6"/>
              </w:rPr>
              <w:t>Awards Adjustment</w:t>
            </w:r>
          </w:p>
        </w:tc>
        <w:tc>
          <w:tcPr>
            <w:tcW w:w="100" w:type="dxa"/>
            <w:vAlign w:val="bottom"/>
          </w:tcPr>
          <w:p>
            <w:pPr>
              <w:spacing w:after="0"/>
              <w:rPr>
                <w:sz w:val="13"/>
                <w:szCs w:val="13"/>
                <w:color w:val="auto"/>
              </w:rPr>
            </w:pPr>
          </w:p>
        </w:tc>
      </w:tr>
      <w:tr>
        <w:trPr>
          <w:trHeight w:val="196"/>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10,551,245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15,413,145</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423,671</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5,498,917</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31,886,978</w:t>
            </w:r>
          </w:p>
        </w:tc>
        <w:tc>
          <w:tcPr>
            <w:tcW w:w="100" w:type="dxa"/>
            <w:vAlign w:val="bottom"/>
            <w:shd w:val="clear" w:color="auto" w:fill="CFF0FC"/>
          </w:tcPr>
          <w:p>
            <w:pPr>
              <w:spacing w:after="0"/>
              <w:rPr>
                <w:sz w:val="17"/>
                <w:szCs w:val="17"/>
                <w:color w:val="auto"/>
              </w:rPr>
            </w:pP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7,044,559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282,885</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979,122</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(112,431)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8,194,135</w:t>
            </w:r>
          </w:p>
        </w:tc>
        <w:tc>
          <w:tcPr>
            <w:tcW w:w="100" w:type="dxa"/>
            <w:vAlign w:val="bottom"/>
          </w:tcPr>
          <w:p>
            <w:pPr>
              <w:spacing w:after="0"/>
              <w:rPr>
                <w:sz w:val="17"/>
                <w:szCs w:val="17"/>
                <w:color w:val="auto"/>
              </w:rPr>
            </w:pPr>
          </w:p>
        </w:tc>
      </w:tr>
      <w:tr>
        <w:trPr>
          <w:trHeight w:val="203"/>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9,047,580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(45,740)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1,145,283</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(1,898,807)</w:t>
            </w: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100" w:type="dxa"/>
            <w:vAlign w:val="bottom"/>
            <w:shd w:val="clear" w:color="auto" w:fill="CFF0FC"/>
          </w:tcPr>
          <w:p>
            <w:pPr>
              <w:spacing w:after="0"/>
              <w:rPr>
                <w:sz w:val="17"/>
                <w:szCs w:val="17"/>
                <w:color w:val="auto"/>
              </w:rPr>
            </w:pP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17,258,108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6,410,202</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1,795,203</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1,228,364</w:t>
            </w:r>
          </w:p>
        </w:tc>
        <w:tc>
          <w:tcPr>
            <w:tcW w:w="14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100" w:type="dxa"/>
            <w:vAlign w:val="bottom"/>
          </w:tcPr>
          <w:p>
            <w:pPr>
              <w:spacing w:after="0"/>
              <w:rPr>
                <w:sz w:val="17"/>
                <w:szCs w:val="17"/>
                <w:color w:val="auto"/>
              </w:rPr>
            </w:pPr>
          </w:p>
        </w:tc>
      </w:tr>
      <w:tr>
        <w:trPr>
          <w:trHeight w:val="203"/>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3,465,249</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(10,256,116)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499,935</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(5,879,621)</w:t>
            </w: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(12,170,553)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-1614805</wp:posOffset>
            </wp:positionV>
            <wp:extent cx="93980" cy="9855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-1614805</wp:posOffset>
            </wp:positionV>
            <wp:extent cx="93980" cy="9855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-1614805</wp:posOffset>
            </wp:positionV>
            <wp:extent cx="93980" cy="9855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-1614805</wp:posOffset>
            </wp:positionV>
            <wp:extent cx="93980" cy="9855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-1614805</wp:posOffset>
            </wp:positionV>
            <wp:extent cx="93980" cy="9855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-1614805</wp:posOffset>
            </wp:positionV>
            <wp:extent cx="93980" cy="9855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-1614805</wp:posOffset>
            </wp:positionV>
            <wp:extent cx="93980" cy="9855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-1614805</wp:posOffset>
            </wp:positionV>
            <wp:extent cx="93980" cy="9855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985520"/>
                    </a:xfrm>
                    <a:prstGeom prst="rect">
                      <a:avLst/>
                    </a:prstGeom>
                    <a:noFill/>
                  </pic:spPr>
                </pic:pic>
              </a:graphicData>
            </a:graphic>
          </wp:anchor>
        </w:drawing>
      </w:r>
    </w:p>
    <w:p>
      <w:pPr>
        <w:spacing w:after="0" w:line="74" w:lineRule="exact"/>
        <w:rPr>
          <w:sz w:val="20"/>
          <w:szCs w:val="20"/>
          <w:color w:val="auto"/>
        </w:rPr>
      </w:pPr>
    </w:p>
    <w:p>
      <w:pPr>
        <w:ind w:right="40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PvP table to determine the “compensation actually paid” to our non-CEO NEOs during each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2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tcPr>
          <w:p>
            <w:pPr>
              <w:jc w:val="center"/>
              <w:ind w:right="288"/>
              <w:spacing w:after="0" w:line="109" w:lineRule="exact"/>
              <w:rPr>
                <w:sz w:val="20"/>
                <w:szCs w:val="20"/>
                <w:color w:val="auto"/>
              </w:rPr>
            </w:pPr>
            <w:r>
              <w:rPr>
                <w:rFonts w:ascii="Times New Roman" w:cs="Times New Roman" w:eastAsia="Times New Roman" w:hAnsi="Times New Roman"/>
                <w:sz w:val="12"/>
                <w:szCs w:val="12"/>
                <w:b w:val="1"/>
                <w:bCs w:val="1"/>
                <w:color w:val="auto"/>
              </w:rPr>
              <w:t>Reported Summary</w:t>
            </w:r>
          </w:p>
        </w:tc>
        <w:tc>
          <w:tcPr>
            <w:tcW w:w="2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9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jc w:val="center"/>
              <w:ind w:right="2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Reported Value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jc w:val="center"/>
              <w:ind w:right="2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Actually Paid to</w:t>
            </w:r>
          </w:p>
        </w:tc>
      </w:tr>
      <w:tr>
        <w:trPr>
          <w:trHeight w:val="15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center"/>
              <w:ind w:right="287"/>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center"/>
              <w:ind w:right="346"/>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100" w:type="dxa"/>
            <w:vAlign w:val="bottom"/>
          </w:tcPr>
          <w:p>
            <w:pPr>
              <w:spacing w:after="0"/>
              <w:rPr>
                <w:sz w:val="13"/>
                <w:szCs w:val="13"/>
                <w:color w:val="auto"/>
              </w:rPr>
            </w:pPr>
          </w:p>
        </w:tc>
      </w:tr>
      <w:tr>
        <w:trPr>
          <w:trHeight w:val="19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3,587,903</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(2,608,206)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10,058,317</w:t>
            </w:r>
          </w:p>
        </w:tc>
        <w:tc>
          <w:tcPr>
            <w:tcW w:w="1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11,038,014</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3,611,563</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(2,649,862)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2,596,273</w:t>
            </w:r>
          </w:p>
        </w:tc>
        <w:tc>
          <w:tcPr>
            <w:tcW w:w="16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3,557,974</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3,553,199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(2,766,988)</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1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3,429,516</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3,201,133</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(2,450,136)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16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10,647,212</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4,511,767</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(3,957,422)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(2,717,869)</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(2,163,524)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26" w:lineRule="exact"/>
        <w:rPr>
          <w:rFonts w:ascii="Times New Roman" w:cs="Times New Roman" w:eastAsia="Times New Roman" w:hAnsi="Times New Roman"/>
          <w:sz w:val="13"/>
          <w:szCs w:val="13"/>
          <w:color w:val="231F20"/>
        </w:rPr>
      </w:pPr>
    </w:p>
    <w:p>
      <w:pPr>
        <w:ind w:left="380" w:right="260" w:hanging="372"/>
        <w:spacing w:after="0"/>
        <w:tabs>
          <w:tab w:leader="none" w:pos="380" w:val="left"/>
        </w:tabs>
        <w:numPr>
          <w:ilvl w:val="0"/>
          <w:numId w:val="6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57785</wp:posOffset>
            </wp:positionV>
            <wp:extent cx="93980" cy="9855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57785</wp:posOffset>
            </wp:positionV>
            <wp:extent cx="93980" cy="9855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57785</wp:posOffset>
            </wp:positionV>
            <wp:extent cx="93980" cy="9855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57785</wp:posOffset>
            </wp:positionV>
            <wp:extent cx="93980" cy="9855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57785</wp:posOffset>
            </wp:positionV>
            <wp:extent cx="93980" cy="9855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57785</wp:posOffset>
            </wp:positionV>
            <wp:extent cx="93980" cy="9855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57785</wp:posOffset>
            </wp:positionV>
            <wp:extent cx="93980" cy="9855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9855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wp:posOffset>
            </wp:positionV>
            <wp:extent cx="93980" cy="9855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98552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5"/>
              </w:rPr>
              <w:t>Dollar Value of any</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Earnings Paid 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Option Awards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Year-End Fair Value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Prior to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Equity Awards</w:t>
            </w:r>
          </w:p>
        </w:tc>
        <w:tc>
          <w:tcPr>
            <w:tcW w:w="220" w:type="dxa"/>
            <w:vAlign w:val="bottom"/>
          </w:tcPr>
          <w:p>
            <w:pPr>
              <w:spacing w:after="0"/>
              <w:rPr>
                <w:sz w:val="11"/>
                <w:szCs w:val="11"/>
                <w:color w:val="auto"/>
              </w:rPr>
            </w:pPr>
          </w:p>
        </w:tc>
        <w:tc>
          <w:tcPr>
            <w:tcW w:w="14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162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from Last Day of Prior</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at Last Day</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Vesting Date that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During Year</w:t>
            </w:r>
          </w:p>
        </w:tc>
        <w:tc>
          <w:tcPr>
            <w:tcW w:w="220" w:type="dxa"/>
            <w:vAlign w:val="bottom"/>
          </w:tcPr>
          <w:p>
            <w:pPr>
              <w:spacing w:after="0"/>
              <w:rPr>
                <w:sz w:val="11"/>
                <w:szCs w:val="11"/>
                <w:color w:val="auto"/>
              </w:rPr>
            </w:pPr>
          </w:p>
        </w:tc>
        <w:tc>
          <w:tcPr>
            <w:tcW w:w="14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from Last Day of Prior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200" w:type="dxa"/>
            <w:vAlign w:val="bottom"/>
          </w:tcPr>
          <w:p>
            <w:pPr>
              <w:spacing w:after="0"/>
              <w:rPr>
                <w:sz w:val="11"/>
                <w:szCs w:val="11"/>
                <w:color w:val="auto"/>
              </w:rPr>
            </w:pP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to Vesting Date</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Prior Year of Equity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are not otherwise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to Last Day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Granted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Unvested Equity</w:t>
            </w:r>
          </w:p>
        </w:tc>
        <w:tc>
          <w:tcPr>
            <w:tcW w:w="13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Failed to Meet</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included in the 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1700" w:type="dxa"/>
            <w:vAlign w:val="bottom"/>
            <w:gridSpan w:val="4"/>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Year of Unvested 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that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that Vested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44"/>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 Conditions</w:t>
            </w: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Day of Year for Non-</w:t>
            </w:r>
          </w:p>
        </w:tc>
        <w:tc>
          <w:tcPr>
            <w:tcW w:w="220" w:type="dxa"/>
            <w:vAlign w:val="bottom"/>
          </w:tcPr>
          <w:p>
            <w:pPr>
              <w:spacing w:after="0"/>
              <w:rPr>
                <w:sz w:val="11"/>
                <w:szCs w:val="11"/>
                <w:color w:val="auto"/>
              </w:rPr>
            </w:pPr>
          </w:p>
        </w:tc>
        <w:tc>
          <w:tcPr>
            <w:tcW w:w="14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for Non-PEO</w:t>
            </w:r>
          </w:p>
        </w:tc>
        <w:tc>
          <w:tcPr>
            <w:tcW w:w="8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 During Year</w:t>
            </w:r>
          </w:p>
        </w:tc>
        <w:tc>
          <w:tcPr>
            <w:tcW w:w="200" w:type="dxa"/>
            <w:vAlign w:val="bottom"/>
          </w:tcPr>
          <w:p>
            <w:pPr>
              <w:spacing w:after="0"/>
              <w:rPr>
                <w:sz w:val="11"/>
                <w:szCs w:val="11"/>
                <w:color w:val="auto"/>
              </w:rPr>
            </w:pPr>
          </w:p>
        </w:tc>
        <w:tc>
          <w:tcPr>
            <w:tcW w:w="14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During Year for Non-</w:t>
            </w:r>
          </w:p>
        </w:tc>
        <w:tc>
          <w:tcPr>
            <w:tcW w:w="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for Non-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for Non-PEO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Aggregate Equity</w:t>
            </w:r>
          </w:p>
        </w:tc>
      </w:tr>
      <w:tr>
        <w:trPr>
          <w:trHeight w:val="155"/>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8"/>
              </w:rPr>
              <w:t>PEO NEOs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for Non-PEO NEOs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PEO NEOs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4"/>
              </w:rPr>
              <w:t>PEO NEOs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6"/>
              </w:rPr>
              <w:t>Awards Adjustment</w:t>
            </w:r>
          </w:p>
        </w:tc>
        <w:tc>
          <w:tcPr>
            <w:tcW w:w="100" w:type="dxa"/>
            <w:vAlign w:val="bottom"/>
          </w:tcPr>
          <w:p>
            <w:pPr>
              <w:spacing w:after="0"/>
              <w:rPr>
                <w:sz w:val="13"/>
                <w:szCs w:val="13"/>
                <w:color w:val="auto"/>
              </w:rPr>
            </w:pPr>
          </w:p>
        </w:tc>
      </w:tr>
      <w:tr>
        <w:trPr>
          <w:trHeight w:val="196"/>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3,289,088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4,820,303</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132,120</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1,816,806</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10,058,317</w:t>
            </w:r>
          </w:p>
        </w:tc>
        <w:tc>
          <w:tcPr>
            <w:tcW w:w="100" w:type="dxa"/>
            <w:vAlign w:val="bottom"/>
            <w:shd w:val="clear" w:color="auto" w:fill="CFF0FC"/>
          </w:tcPr>
          <w:p>
            <w:pPr>
              <w:spacing w:after="0"/>
              <w:rPr>
                <w:sz w:val="17"/>
                <w:szCs w:val="17"/>
                <w:color w:val="auto"/>
              </w:rPr>
            </w:pP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2,196,169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89,304</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305,264</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4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2,596,273</w:t>
            </w:r>
          </w:p>
        </w:tc>
        <w:tc>
          <w:tcPr>
            <w:tcW w:w="100" w:type="dxa"/>
            <w:vAlign w:val="bottom"/>
          </w:tcPr>
          <w:p>
            <w:pPr>
              <w:spacing w:after="0"/>
              <w:rPr>
                <w:sz w:val="17"/>
                <w:szCs w:val="17"/>
                <w:color w:val="auto"/>
              </w:rPr>
            </w:pPr>
          </w:p>
        </w:tc>
      </w:tr>
      <w:tr>
        <w:trPr>
          <w:trHeight w:val="203"/>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2,944,798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(43,134)</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372,802</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(631,161)</w:t>
            </w: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100" w:type="dxa"/>
            <w:vAlign w:val="bottom"/>
            <w:shd w:val="clear" w:color="auto" w:fill="CFF0FC"/>
          </w:tcPr>
          <w:p>
            <w:pPr>
              <w:spacing w:after="0"/>
              <w:rPr>
                <w:sz w:val="17"/>
                <w:szCs w:val="17"/>
                <w:color w:val="auto"/>
              </w:rPr>
            </w:pP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6,039,799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2,701,764</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626,942</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527,710</w:t>
            </w:r>
          </w:p>
        </w:tc>
        <w:tc>
          <w:tcPr>
            <w:tcW w:w="14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100" w:type="dxa"/>
            <w:vAlign w:val="bottom"/>
          </w:tcPr>
          <w:p>
            <w:pPr>
              <w:spacing w:after="0"/>
              <w:rPr>
                <w:sz w:val="17"/>
                <w:szCs w:val="17"/>
                <w:color w:val="auto"/>
              </w:rPr>
            </w:pPr>
          </w:p>
        </w:tc>
      </w:tr>
      <w:tr>
        <w:trPr>
          <w:trHeight w:val="203"/>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2,495,052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(3,349,097)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199,967</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(2,063,791)</w:t>
            </w: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(2,717,869)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Relationship Between NEO Compensation Actually Paid and Company Total Shareholder Return (“TSR”)</w:t>
      </w:r>
    </w:p>
    <w:p>
      <w:pPr>
        <w:spacing w:after="0" w:line="129" w:lineRule="exact"/>
        <w:rPr>
          <w:sz w:val="20"/>
          <w:szCs w:val="20"/>
          <w:color w:val="auto"/>
        </w:rPr>
      </w:pPr>
    </w:p>
    <w:p>
      <w:pPr>
        <w:ind w:right="540" w:firstLine="374"/>
        <w:spacing w:after="0" w:line="298" w:lineRule="auto"/>
        <w:rPr>
          <w:sz w:val="20"/>
          <w:szCs w:val="20"/>
          <w:color w:val="auto"/>
        </w:rPr>
      </w:pPr>
      <w:r>
        <w:rPr>
          <w:rFonts w:ascii="Times New Roman" w:cs="Times New Roman" w:eastAsia="Times New Roman" w:hAnsi="Times New Roman"/>
          <w:sz w:val="16"/>
          <w:szCs w:val="16"/>
          <w:color w:val="auto"/>
        </w:rPr>
        <w:t>Below are graphs showing the relationship of “compensation actually paid” to our CEOs and other non-CEO NEOs in 2025, 2024, 2023, 2022 and 2021 to (1) Company total shareholder return (“TSR”) of both Axsome and the NASDAQ Biotechnology Index and (2) Axsome’s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52705</wp:posOffset>
            </wp:positionV>
            <wp:extent cx="2588895" cy="4166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8889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At this time, we do not use any specific financial measures for purposes of determining “compensation actually paid.” As a result, we are not able to, as stipulated by Section 953(a) of the Dodd-Frank Wall Street Reform and Consumer Protection Act and Item 402(v) of Regulation S-K, provide three financial performance measures that in our assessment represent the most important performance measures we use to link “compensation actually paid” to our named executive officers to company performance for 2025. For a discussion of how our Compensation Committee assessed our performance and our named executive officers’ pay each year, see “Compensation Discussion and Analysis” in this proxy statement.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the Record Date for:</w:t>
      </w:r>
    </w:p>
    <w:p>
      <w:pPr>
        <w:spacing w:after="0" w:line="127"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known by us to beneficially own more than 5% of our common stock.</w:t>
      </w:r>
    </w:p>
    <w:p>
      <w:pPr>
        <w:spacing w:after="0" w:line="127"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Applicable percentage ownership is based on 51,439,952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One World Trade Center, 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New York, New York 10007.</w:t>
      </w:r>
    </w:p>
    <w:tbl>
      <w:tblPr>
        <w:tblLayout w:type="fixed"/>
        <w:tblInd w:w="0" w:type="dxa"/>
        <w:tblCellMar>
          <w:top w:w="0" w:type="dxa"/>
          <w:left w:w="0" w:type="dxa"/>
          <w:bottom w:w="0" w:type="dxa"/>
          <w:right w:w="0" w:type="dxa"/>
        </w:tblCellMar>
      </w:tblPr>
      <w:tr>
        <w:trPr>
          <w:trHeight w:val="143"/>
        </w:trPr>
        <w:tc>
          <w:tcPr>
            <w:tcW w:w="30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3"/>
                <w:szCs w:val="13"/>
                <w:b w:val="1"/>
                <w:bCs w:val="1"/>
                <w:color w:val="auto"/>
                <w:w w:val="95"/>
              </w:rPr>
              <w:t>Percentage of</w:t>
            </w:r>
          </w:p>
        </w:tc>
        <w:tc>
          <w:tcPr>
            <w:tcW w:w="0" w:type="dxa"/>
            <w:vAlign w:val="bottom"/>
          </w:tcPr>
          <w:p>
            <w:pPr>
              <w:spacing w:after="0"/>
              <w:rPr>
                <w:sz w:val="1"/>
                <w:szCs w:val="1"/>
                <w:color w:val="auto"/>
              </w:rPr>
            </w:pPr>
          </w:p>
        </w:tc>
      </w:tr>
      <w:tr>
        <w:trPr>
          <w:trHeight w:val="135"/>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22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Beneficially</w:t>
            </w:r>
          </w:p>
        </w:tc>
        <w:tc>
          <w:tcPr>
            <w:tcW w:w="0" w:type="dxa"/>
            <w:vAlign w:val="bottom"/>
          </w:tcPr>
          <w:p>
            <w:pPr>
              <w:spacing w:after="0"/>
              <w:rPr>
                <w:sz w:val="1"/>
                <w:szCs w:val="1"/>
                <w:color w:val="auto"/>
              </w:rPr>
            </w:pPr>
          </w:p>
        </w:tc>
      </w:tr>
      <w:tr>
        <w:trPr>
          <w:trHeight w:val="155"/>
        </w:trPr>
        <w:tc>
          <w:tcPr>
            <w:tcW w:w="7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22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0" w:type="dxa"/>
            <w:vAlign w:val="bottom"/>
          </w:tcPr>
          <w:p>
            <w:pPr>
              <w:spacing w:after="0"/>
              <w:rPr>
                <w:sz w:val="1"/>
                <w:szCs w:val="1"/>
                <w:color w:val="auto"/>
              </w:rPr>
            </w:pPr>
          </w:p>
        </w:tc>
      </w:tr>
      <w:tr>
        <w:trPr>
          <w:trHeight w:val="196"/>
        </w:trPr>
        <w:tc>
          <w:tcPr>
            <w:tcW w:w="75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or Greater Stockholders</w:t>
            </w:r>
          </w:p>
        </w:tc>
        <w:tc>
          <w:tcPr>
            <w:tcW w:w="12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Antecip Capital LLC</w:t>
            </w:r>
            <w:r>
              <w:rPr>
                <w:rFonts w:ascii="Times New Roman" w:cs="Times New Roman" w:eastAsia="Times New Roman" w:hAnsi="Times New Roman"/>
                <w:sz w:val="21"/>
                <w:szCs w:val="21"/>
                <w:color w:val="auto"/>
                <w:vertAlign w:val="superscript"/>
              </w:rPr>
              <w:t>(2)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7,344,500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The Vanguard Group, Inc. (subsidiaries/business divisions)</w:t>
            </w:r>
            <w:r>
              <w:rPr>
                <w:rFonts w:ascii="Times New Roman" w:cs="Times New Roman" w:eastAsia="Times New Roman" w:hAnsi="Times New Roman"/>
                <w:sz w:val="21"/>
                <w:szCs w:val="21"/>
                <w:color w:val="auto"/>
                <w:vertAlign w:val="superscript"/>
              </w:rPr>
              <w:t>(3)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3,696,766</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3,239,746</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2"/>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Herriot Tabuteau, M.D.</w:t>
            </w:r>
            <w:r>
              <w:rPr>
                <w:rFonts w:ascii="Times New Roman" w:cs="Times New Roman" w:eastAsia="Times New Roman" w:hAnsi="Times New Roman"/>
                <w:sz w:val="21"/>
                <w:szCs w:val="21"/>
                <w:color w:val="auto"/>
                <w:vertAlign w:val="superscript"/>
              </w:rPr>
              <w:t>(5)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8,992,422</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Nick Pizzie, C.P.A., M.B.A.</w:t>
            </w:r>
            <w:r>
              <w:rPr>
                <w:rFonts w:ascii="Times New Roman" w:cs="Times New Roman" w:eastAsia="Times New Roman" w:hAnsi="Times New Roman"/>
                <w:sz w:val="21"/>
                <w:szCs w:val="21"/>
                <w:color w:val="auto"/>
                <w:vertAlign w:val="superscript"/>
              </w:rPr>
              <w:t>(6)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596,924</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Mark Jacobson, M.A.</w:t>
            </w:r>
            <w:r>
              <w:rPr>
                <w:rFonts w:ascii="Times New Roman" w:cs="Times New Roman" w:eastAsia="Times New Roman" w:hAnsi="Times New Roman"/>
                <w:sz w:val="21"/>
                <w:szCs w:val="21"/>
                <w:color w:val="auto"/>
                <w:vertAlign w:val="superscript"/>
              </w:rPr>
              <w:t>(7)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536,499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Hunter Murdock, Esq.</w:t>
            </w:r>
            <w:r>
              <w:rPr>
                <w:rFonts w:ascii="Times New Roman" w:cs="Times New Roman" w:eastAsia="Times New Roman" w:hAnsi="Times New Roman"/>
                <w:sz w:val="21"/>
                <w:szCs w:val="21"/>
                <w:color w:val="auto"/>
                <w:vertAlign w:val="superscript"/>
              </w:rPr>
              <w:t>(8)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167,517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Ari Maizel, M.B.A.</w:t>
            </w:r>
            <w:r>
              <w:rPr>
                <w:rFonts w:ascii="Times New Roman" w:cs="Times New Roman" w:eastAsia="Times New Roman" w:hAnsi="Times New Roman"/>
                <w:sz w:val="21"/>
                <w:szCs w:val="21"/>
                <w:color w:val="auto"/>
                <w:vertAlign w:val="superscript"/>
              </w:rPr>
              <w:t>(9)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51,905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Mark Coleman, M.D.</w:t>
            </w:r>
            <w:r>
              <w:rPr>
                <w:rFonts w:ascii="Times New Roman" w:cs="Times New Roman" w:eastAsia="Times New Roman" w:hAnsi="Times New Roman"/>
                <w:sz w:val="21"/>
                <w:szCs w:val="21"/>
                <w:color w:val="auto"/>
                <w:vertAlign w:val="superscript"/>
              </w:rPr>
              <w:t>(10)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612,219</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Roger Jeffs, Ph.D.</w:t>
            </w:r>
            <w:r>
              <w:rPr>
                <w:rFonts w:ascii="Times New Roman" w:cs="Times New Roman" w:eastAsia="Times New Roman" w:hAnsi="Times New Roman"/>
                <w:sz w:val="21"/>
                <w:szCs w:val="21"/>
                <w:color w:val="auto"/>
                <w:vertAlign w:val="superscript"/>
              </w:rPr>
              <w:t>(11)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104,784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Susan Mahony, Ph.D., M.B.A.</w:t>
            </w:r>
            <w:r>
              <w:rPr>
                <w:rFonts w:ascii="Times New Roman" w:cs="Times New Roman" w:eastAsia="Times New Roman" w:hAnsi="Times New Roman"/>
                <w:sz w:val="21"/>
                <w:szCs w:val="21"/>
                <w:color w:val="auto"/>
                <w:vertAlign w:val="superscript"/>
              </w:rPr>
              <w:t>(12)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Mark Saad</w:t>
            </w:r>
            <w:r>
              <w:rPr>
                <w:rFonts w:ascii="Times New Roman" w:cs="Times New Roman" w:eastAsia="Times New Roman" w:hAnsi="Times New Roman"/>
                <w:sz w:val="21"/>
                <w:szCs w:val="21"/>
                <w:color w:val="auto"/>
                <w:vertAlign w:val="superscript"/>
              </w:rPr>
              <w:t>(13)</w:t>
            </w: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175,271</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(9 persons)**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11,254,855</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02"/>
        </w:trPr>
        <w:tc>
          <w:tcPr>
            <w:tcW w:w="3000" w:type="dxa"/>
            <w:vAlign w:val="bottom"/>
            <w:tcBorders>
              <w:top w:val="single" w:sz="8" w:color="CFF0FC"/>
              <w:bottom w:val="single" w:sz="8" w:color="auto"/>
            </w:tcBorders>
          </w:tcPr>
          <w:p>
            <w:pPr>
              <w:spacing w:after="0"/>
              <w:rPr>
                <w:sz w:val="8"/>
                <w:szCs w:val="8"/>
                <w:color w:val="auto"/>
              </w:rPr>
            </w:pPr>
          </w:p>
        </w:tc>
        <w:tc>
          <w:tcPr>
            <w:tcW w:w="45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-111125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-93980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-111125</wp:posOffset>
            </wp:positionV>
            <wp:extent cx="93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-93980</wp:posOffset>
            </wp:positionV>
            <wp:extent cx="93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 w:lineRule="exact"/>
        <w:rPr>
          <w:sz w:val="20"/>
          <w:szCs w:val="20"/>
          <w:color w:val="auto"/>
        </w:rPr>
      </w:pPr>
    </w:p>
    <w:p>
      <w:pPr>
        <w:ind w:left="420" w:hanging="412"/>
        <w:spacing w:after="0"/>
        <w:tabs>
          <w:tab w:leader="none" w:pos="4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beneficial ownership of less than 1% of the outstanding shares of our common stock.</w:t>
      </w:r>
    </w:p>
    <w:p>
      <w:pPr>
        <w:spacing w:after="0" w:line="26" w:lineRule="exact"/>
        <w:rPr>
          <w:sz w:val="20"/>
          <w:szCs w:val="20"/>
          <w:color w:val="auto"/>
        </w:rPr>
      </w:pPr>
    </w:p>
    <w:p>
      <w:pPr>
        <w:ind w:left="420" w:hanging="412"/>
        <w:spacing w:after="0"/>
        <w:tabs>
          <w:tab w:leader="none" w:pos="4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all of our current executive officers as of the record date who served during 2025 until the Record Date.</w:t>
      </w:r>
    </w:p>
    <w:p>
      <w:pPr>
        <w:spacing w:after="0" w:line="26" w:lineRule="exact"/>
        <w:rPr>
          <w:sz w:val="20"/>
          <w:szCs w:val="20"/>
          <w:color w:val="auto"/>
        </w:rPr>
      </w:pPr>
    </w:p>
    <w:p>
      <w:pPr>
        <w:ind w:left="380" w:right="100" w:hanging="372"/>
        <w:spacing w:after="0" w:line="232" w:lineRule="auto"/>
        <w:tabs>
          <w:tab w:leader="none" w:pos="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ind w:left="380" w:right="20" w:hanging="372"/>
        <w:spacing w:after="0" w:line="238" w:lineRule="auto"/>
        <w:tabs>
          <w:tab w:leader="none" w:pos="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business address of Antecip Capital LLC is 630 5th Avenue, Suite 2000, New York, NY 10111. Dr. Tabuteau is the managing member of Antecip Capital LLC and exercises sole dispositive and voting power over these shares.</w:t>
      </w:r>
    </w:p>
    <w:p>
      <w:pPr>
        <w:spacing w:after="0" w:line="11" w:lineRule="exact"/>
        <w:rPr>
          <w:rFonts w:ascii="Times New Roman" w:cs="Times New Roman" w:eastAsia="Times New Roman" w:hAnsi="Times New Roman"/>
          <w:sz w:val="13"/>
          <w:szCs w:val="13"/>
          <w:color w:val="auto"/>
        </w:rPr>
      </w:pPr>
    </w:p>
    <w:p>
      <w:pPr>
        <w:ind w:left="380" w:right="160" w:hanging="372"/>
        <w:spacing w:after="0" w:line="228" w:lineRule="auto"/>
        <w:tabs>
          <w:tab w:leader="none" w:pos="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February 13, 2024 by The Vanguard Group, Inc. (“Vanguard”), according to which Vanguard beneficially owns 3,696,766 shares of our common stock, with shared voting power over 64,820 shares, sole dispositive power over 3,595,865 shares, and shared dispositive power over 100,901 shares. In a Schedule 13G/A filed on March 26, 2026, Vanguard reported that, following an internal realignment, Vanguard no longer beneficially owns such shares and the Vanguard subsidiaries or business divisions that beneficially own such shares will be filing a Schedule 13G. The principal business address of Vanguard is 100 Vanguard Blvd., Malvern, PA 19355.</w:t>
      </w:r>
    </w:p>
    <w:p>
      <w:pPr>
        <w:spacing w:after="0" w:line="12" w:lineRule="exact"/>
        <w:rPr>
          <w:rFonts w:ascii="Times New Roman" w:cs="Times New Roman" w:eastAsia="Times New Roman" w:hAnsi="Times New Roman"/>
          <w:sz w:val="13"/>
          <w:szCs w:val="13"/>
          <w:color w:val="auto"/>
        </w:rPr>
      </w:pPr>
    </w:p>
    <w:p>
      <w:pPr>
        <w:ind w:left="380" w:right="140" w:hanging="372"/>
        <w:spacing w:after="0"/>
        <w:tabs>
          <w:tab w:leader="none" w:pos="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January 26, 2024 by BlackRock, Inc. (“BlackRock”), according to which BlackRock beneficially owns 3,239,746 shares of our common stock, with sole voting power over 3,189,731 shares and sole dispositive power over 3,239,746 shares. The principal business address of BlackRock is 55 East 52nd Street, New York, NY 10055.</w:t>
      </w:r>
    </w:p>
    <w:p>
      <w:pPr>
        <w:ind w:left="380" w:right="100" w:hanging="372"/>
        <w:spacing w:after="0" w:line="241" w:lineRule="auto"/>
        <w:tabs>
          <w:tab w:leader="none" w:pos="3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7,229 shares of common stock owned by Dr. Tabuteau; (b) 1,640,693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 Such shares are included when the shares are fully vested or vested within 60 days of the Record Date, even when the issuance of such shares is deferred. Excludes (a) 92,769 shares of common stock underlying options;</w:t>
      </w:r>
    </w:p>
    <w:p>
      <w:pPr>
        <w:spacing w:after="0" w:line="1" w:lineRule="exact"/>
        <w:rPr>
          <w:rFonts w:ascii="Times New Roman" w:cs="Times New Roman" w:eastAsia="Times New Roman" w:hAnsi="Times New Roman"/>
          <w:sz w:val="12"/>
          <w:szCs w:val="12"/>
          <w:color w:val="auto"/>
        </w:rPr>
      </w:pPr>
    </w:p>
    <w:p>
      <w:pPr>
        <w:ind w:left="380" w:right="40"/>
        <w:spacing w:after="0" w:line="22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114,830 shares of common stock underlying restricted stock units and (c) 28,609 shares of common stock underlying performance stock units, in each case, that will remain unvested within 60 days of the Record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80" w:right="20" w:hanging="372"/>
        <w:spacing w:after="0" w:line="224"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42,588 shares of common stock owned by Mr. Pizzie; (b) 201 shares of common stock that may be deemed to be indirectly beneficially owned by Mr. Pizzie as custodian for his son’s Uniform Transfers to Minors Act (UTMA) account; (c) 145 shares of common stock that may be deemed to be indirectly beneficially owned by Mr. Pizzie as custodian for his daughter’s UTMA account; (d) 142 shares of common stock that may be deemed to be indirectly beneficially owned by Mr. Pizzie as custodian for his other son’s UTMA account and (e) 553,848 shares of common stock that Mr. Pizzie has the right to acquire from us within 60 days of the Record Date. Such shares are included when the shares are fully vested or vested within 60 days of the Record Date, even when the issuance of such shares is deferred. Excludes (a) 30,559 shares of common stock underlying options; (b) 38,401 shares of common stock underlying restricted stock units and (c) 9,423 shares of common stock underlying performance stock units, in each case, that will remain unvested within 60 days of the Record Date. Mr. Pizzie disclaims beneficial ownership of the 488 shares of common stock held in his children’s UTMA accounts.</w:t>
      </w:r>
    </w:p>
    <w:p>
      <w:pPr>
        <w:spacing w:after="0" w:line="13" w:lineRule="exact"/>
        <w:rPr>
          <w:rFonts w:ascii="Times New Roman" w:cs="Times New Roman" w:eastAsia="Times New Roman" w:hAnsi="Times New Roman"/>
          <w:sz w:val="13"/>
          <w:szCs w:val="13"/>
          <w:color w:val="auto"/>
        </w:rPr>
      </w:pPr>
    </w:p>
    <w:p>
      <w:pPr>
        <w:ind w:left="380" w:right="6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536,499 shares of common stock that Mr. Jacobson has the right to acquire from us within 60 days of the Record Date. Such shares are included when the shares are fully vested or vested within 60 days of the Record Date, even when the issuance of such shares is deferred. Excludes (a) 34,924 shares of common stock underlying options; (b) 42,327 shares of common stock underlying restricted stock units and (c) 10,769 shares of common stock underlying performance stock units, in each case, that will remain unvested within 60 days of the Record Date.</w:t>
      </w:r>
    </w:p>
    <w:p>
      <w:pPr>
        <w:ind w:left="380" w:right="60" w:hanging="372"/>
        <w:spacing w:after="0" w:line="231"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167,517 shares of common stock that Mr. Murdock has the right to acquire from us within 60 days of the Record Date. Such shares are included when the shares are fully vested or vested within 60 days of the Record Date, even when the issuance of such shares is deferred. Excludes (a) 25,101 shares of common stock underlying options; (b) 32,674 shares of common stock underlying restricted stock units and (c) 7,740 shares of common stock underlying performance stock units, in each case, that will remain unvested within 60 days of the Record Date.</w:t>
      </w:r>
    </w:p>
    <w:p>
      <w:pPr>
        <w:spacing w:after="0" w:line="11" w:lineRule="exact"/>
        <w:rPr>
          <w:rFonts w:ascii="Times New Roman" w:cs="Times New Roman" w:eastAsia="Times New Roman" w:hAnsi="Times New Roman"/>
          <w:sz w:val="13"/>
          <w:szCs w:val="13"/>
          <w:color w:val="auto"/>
        </w:rPr>
      </w:pPr>
    </w:p>
    <w:p>
      <w:pPr>
        <w:ind w:left="380" w:right="6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51,905 shares of common stock that Mr. Maizel has the right to acquire from us within 60 days of the Record Date. Such shares are included when the shares are fully vested or vested within 60 days of the Record Date, even when the issuance of such shares is deferred. Excludes (a) 32,174 shares of common stock underlying options; (b) 39,322 shares of common stock underlying restricted stock units and (c) 7,740 shares of common stock underlying performance stock units, in each case, that will remain unvested within 60 days of the Record Date.</w:t>
      </w:r>
    </w:p>
    <w:p>
      <w:pPr>
        <w:spacing w:after="0" w:line="11" w:lineRule="exact"/>
        <w:rPr>
          <w:rFonts w:ascii="Times New Roman" w:cs="Times New Roman" w:eastAsia="Times New Roman" w:hAnsi="Times New Roman"/>
          <w:sz w:val="13"/>
          <w:szCs w:val="13"/>
          <w:color w:val="auto"/>
        </w:rPr>
      </w:pPr>
    </w:p>
    <w:p>
      <w:pPr>
        <w:ind w:left="380" w:right="2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47,140 shares of common stock owned by Dr. Coleman, (b) 403,856 shares of common stock owned by entities of which Dr. Coleman has sole voting and dispositive power and (c) 161,223 shares of common stock that Dr. Coleman has the right to acquire from us within 60 days of the Record Date. Such shares are included when the shares are fully vested or vested within 60 days of the Record Date, even when the issuance of such shares is deferred.</w:t>
      </w:r>
    </w:p>
    <w:p>
      <w:pPr>
        <w:ind w:left="380" w:right="240" w:hanging="372"/>
        <w:spacing w:after="0" w:line="238"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57,510 shares of common stock owned by Dr. Jeffs and (b) 47,274 shares of common stock that Dr. Jeffs has the right to acquire from us within 60 days of the Record Date. Such shares are included when the shares are fully vested or vested within 60 days of the Record Date, even when the issuance of such shares is deferred.</w:t>
      </w:r>
    </w:p>
    <w:p>
      <w:pPr>
        <w:spacing w:after="0" w:line="11" w:lineRule="exact"/>
        <w:rPr>
          <w:rFonts w:ascii="Times New Roman" w:cs="Times New Roman" w:eastAsia="Times New Roman" w:hAnsi="Times New Roman"/>
          <w:sz w:val="13"/>
          <w:szCs w:val="13"/>
          <w:color w:val="auto"/>
        </w:rPr>
      </w:pPr>
    </w:p>
    <w:p>
      <w:pPr>
        <w:ind w:left="380" w:right="20" w:hanging="372"/>
        <w:spacing w:after="0"/>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17,314 shares of common stock that Dr. Mahony has the right to acquire from us within 60 days of the Record Date. Such shares are included when the shares are fully vested or vested within 60 days of the Record Date, even when the issuance of such shares is deferred.</w:t>
      </w:r>
    </w:p>
    <w:p>
      <w:pPr>
        <w:spacing w:after="0" w:line="11" w:lineRule="exact"/>
        <w:rPr>
          <w:rFonts w:ascii="Times New Roman" w:cs="Times New Roman" w:eastAsia="Times New Roman" w:hAnsi="Times New Roman"/>
          <w:sz w:val="13"/>
          <w:szCs w:val="13"/>
          <w:color w:val="auto"/>
        </w:rPr>
      </w:pPr>
    </w:p>
    <w:p>
      <w:pPr>
        <w:ind w:left="380" w:hanging="372"/>
        <w:spacing w:after="0" w:line="226"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10,002 shares of common stock owned by Mr. Saad; (b) 100 shares of common stock that may be deemed to be indirectly beneficially owned by Mr. Saad as custodian for his child’s UTMA account; (c) 100 shares of common stock that may be deemed to be indirectly beneficially owned by Mr. Saad as custodian for his second child’s UTMA account; (d) 100 shares of common stock that may be deemed to be indirectly beneficially owned by Mr. Saad as custodian for his third child’s UTMA account and (e) 164,969 shares of common stock that Mr. Saad has the right to acquire from us within 60 days of the Record Date. Such shares are included when the shares are fully vested or vested within 60 days of the Record Date, even when the issuance of such shares is deferred. Mr. Saad disclaims beneficial ownership of the 300 shares of common stock held in his children’s UTMA accounts.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about our equity compensation plans as of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securities to be</w:t>
            </w: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available for</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issued upon</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of</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 equity</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outstanding</w:t>
            </w:r>
          </w:p>
        </w:tc>
        <w:tc>
          <w:tcPr>
            <w:tcW w:w="1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plans (excluding</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warrants, and</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warrants, and</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reflected</w:t>
            </w:r>
          </w:p>
        </w:tc>
      </w:tr>
      <w:tr>
        <w:trPr>
          <w:trHeight w:val="155"/>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60" w:type="dxa"/>
            <w:vAlign w:val="bottom"/>
          </w:tcPr>
          <w:p>
            <w:pPr>
              <w:spacing w:after="0"/>
              <w:rPr>
                <w:sz w:val="13"/>
                <w:szCs w:val="13"/>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 column (a))</w:t>
            </w:r>
          </w:p>
        </w:tc>
      </w:tr>
      <w:tr>
        <w:trPr>
          <w:trHeight w:val="128"/>
        </w:trPr>
        <w:tc>
          <w:tcPr>
            <w:tcW w:w="300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87"/>
              </w:rPr>
              <w:t>(b)</w:t>
            </w:r>
          </w:p>
        </w:tc>
        <w:tc>
          <w:tcPr>
            <w:tcW w:w="2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220" w:type="dxa"/>
            <w:vAlign w:val="bottom"/>
          </w:tcPr>
          <w:p>
            <w:pPr>
              <w:spacing w:after="0"/>
              <w:rPr>
                <w:sz w:val="11"/>
                <w:szCs w:val="11"/>
                <w:color w:val="auto"/>
              </w:rPr>
            </w:pPr>
          </w:p>
        </w:tc>
      </w:tr>
      <w:tr>
        <w:trPr>
          <w:trHeight w:val="203"/>
        </w:trPr>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780" w:type="dxa"/>
            <w:vAlign w:val="bottom"/>
            <w:gridSpan w:val="3"/>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6"/>
                <w:szCs w:val="16"/>
                <w:color w:val="auto"/>
              </w:rPr>
              <w:t>8,605,933</w:t>
            </w:r>
            <w:r>
              <w:rPr>
                <w:rFonts w:ascii="Times New Roman" w:cs="Times New Roman" w:eastAsia="Times New Roman" w:hAnsi="Times New Roman"/>
                <w:sz w:val="21"/>
                <w:szCs w:val="21"/>
                <w:color w:val="auto"/>
                <w:vertAlign w:val="superscript"/>
              </w:rPr>
              <w:t>(1)</w:t>
            </w:r>
          </w:p>
        </w:tc>
        <w:tc>
          <w:tcPr>
            <w:tcW w:w="1620" w:type="dxa"/>
            <w:vAlign w:val="bottom"/>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6"/>
                <w:szCs w:val="16"/>
                <w:color w:val="auto"/>
              </w:rPr>
              <w:t>$51.98</w:t>
            </w:r>
            <w:r>
              <w:rPr>
                <w:rFonts w:ascii="Times New Roman" w:cs="Times New Roman" w:eastAsia="Times New Roman" w:hAnsi="Times New Roman"/>
                <w:sz w:val="21"/>
                <w:szCs w:val="21"/>
                <w:color w:val="auto"/>
                <w:vertAlign w:val="superscript"/>
              </w:rPr>
              <w:t>(2)</w:t>
            </w:r>
          </w:p>
        </w:tc>
        <w:tc>
          <w:tcPr>
            <w:tcW w:w="1600" w:type="dxa"/>
            <w:vAlign w:val="bottom"/>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6"/>
                <w:szCs w:val="16"/>
                <w:color w:val="auto"/>
              </w:rPr>
              <w:t>3,548,237</w:t>
            </w:r>
            <w:r>
              <w:rPr>
                <w:rFonts w:ascii="Times New Roman" w:cs="Times New Roman" w:eastAsia="Times New Roman" w:hAnsi="Times New Roman"/>
                <w:sz w:val="21"/>
                <w:szCs w:val="21"/>
                <w:color w:val="auto"/>
                <w:vertAlign w:val="superscript"/>
              </w:rPr>
              <w:t>(3)</w:t>
            </w:r>
          </w:p>
        </w:tc>
      </w:tr>
      <w:tr>
        <w:trPr>
          <w:trHeight w:val="203"/>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36"/>
        </w:trPr>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gridSpan w:val="3"/>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6"/>
                <w:szCs w:val="16"/>
                <w:color w:val="auto"/>
              </w:rPr>
              <w:t>8,605,933</w:t>
            </w:r>
            <w:r>
              <w:rPr>
                <w:rFonts w:ascii="Times New Roman" w:cs="Times New Roman" w:eastAsia="Times New Roman" w:hAnsi="Times New Roman"/>
                <w:sz w:val="21"/>
                <w:szCs w:val="21"/>
                <w:color w:val="auto"/>
                <w:vertAlign w:val="superscript"/>
              </w:rPr>
              <w:t>(1)</w:t>
            </w:r>
          </w:p>
        </w:tc>
        <w:tc>
          <w:tcPr>
            <w:tcW w:w="16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6"/>
                <w:szCs w:val="16"/>
                <w:color w:val="auto"/>
              </w:rPr>
              <w:t>$51.98</w:t>
            </w:r>
            <w:r>
              <w:rPr>
                <w:rFonts w:ascii="Times New Roman" w:cs="Times New Roman" w:eastAsia="Times New Roman" w:hAnsi="Times New Roman"/>
                <w:sz w:val="21"/>
                <w:szCs w:val="21"/>
                <w:color w:val="auto"/>
                <w:vertAlign w:val="superscript"/>
              </w:rPr>
              <w:t>(2)</w:t>
            </w:r>
          </w:p>
        </w:tc>
        <w:tc>
          <w:tcPr>
            <w:tcW w:w="16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6"/>
                <w:szCs w:val="16"/>
                <w:color w:val="auto"/>
              </w:rPr>
              <w:t>3,548,237</w:t>
            </w:r>
            <w:r>
              <w:rPr>
                <w:rFonts w:ascii="Times New Roman" w:cs="Times New Roman" w:eastAsia="Times New Roman" w:hAnsi="Times New Roman"/>
                <w:sz w:val="21"/>
                <w:szCs w:val="21"/>
                <w:color w:val="auto"/>
                <w:vertAlign w:val="superscript"/>
              </w:rPr>
              <w:t>(3)</w:t>
            </w:r>
          </w:p>
        </w:tc>
      </w:tr>
      <w:tr>
        <w:trPr>
          <w:trHeight w:val="116"/>
        </w:trPr>
        <w:tc>
          <w:tcPr>
            <w:tcW w:w="3000" w:type="dxa"/>
            <w:vAlign w:val="bottom"/>
            <w:tcBorders>
              <w:top w:val="single" w:sz="8" w:color="CFF0FC"/>
              <w:bottom w:val="single" w:sz="8" w:color="auto"/>
            </w:tcBorders>
          </w:tcPr>
          <w:p>
            <w:pPr>
              <w:spacing w:after="0"/>
              <w:rPr>
                <w:sz w:val="10"/>
                <w:szCs w:val="10"/>
                <w:color w:val="auto"/>
              </w:rPr>
            </w:pPr>
          </w:p>
        </w:tc>
        <w:tc>
          <w:tcPr>
            <w:tcW w:w="324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-119380</wp:posOffset>
            </wp:positionV>
            <wp:extent cx="154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-102235</wp:posOffset>
            </wp:positionV>
            <wp:extent cx="1543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-119380</wp:posOffset>
            </wp:positionV>
            <wp:extent cx="146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146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-119380</wp:posOffset>
            </wp:positionV>
            <wp:extent cx="145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1454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 w:lineRule="exact"/>
        <w:rPr>
          <w:sz w:val="20"/>
          <w:szCs w:val="20"/>
          <w:color w:val="auto"/>
        </w:rPr>
      </w:pPr>
    </w:p>
    <w:p>
      <w:pPr>
        <w:ind w:left="380" w:right="40" w:hanging="372"/>
        <w:spacing w:after="0" w:line="232" w:lineRule="auto"/>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1,507,374 RSUs, 7,034,278 stock options, and 64,281 PSUs outstanding as of December 31, 2025. Does not include purchase rights that accrue under the 2023 Employee Stock Purchase Plan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11" w:lineRule="exact"/>
        <w:rPr>
          <w:rFonts w:ascii="Times New Roman" w:cs="Times New Roman" w:eastAsia="Times New Roman" w:hAnsi="Times New Roman"/>
          <w:sz w:val="13"/>
          <w:szCs w:val="13"/>
          <w:color w:val="auto"/>
        </w:rPr>
      </w:pPr>
    </w:p>
    <w:p>
      <w:pPr>
        <w:ind w:left="380" w:right="30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weighted-average exercise price does not account for outstanding RSUs / PSUs, as RSUs / PSUs have no exercise price associated with them. Also excludes purchase rights under the 2023 Employee Stock Purchase Plan for the reasons described above.</w:t>
      </w:r>
    </w:p>
    <w:p>
      <w:pPr>
        <w:ind w:left="38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2,560,212 shares of common stock available for issuance under the 2025 Long-Term Incentive Plan and (ii) 988,025 shares of common stock available for issuance under the ESPP.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is a description of transactions since January 1, 2025, in which we were a party or participant and the amount involved exceeded or will exceed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$120,000, and in which any of our executive officers, directors, or holders of more than 5% of any class of our voting securities, or an affiliate or immediate family member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thereof, had or will have a direct or indirect material interest, other than compensation arrangements which are described under “Compensation Discussion and Analysis.”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terms obtained or consideration that we paid or received, as applicable, in connection with the transactions described below were comparable to terms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available or amounts that would be paid or received, as applicable, in arm’s-length transactions with unrelated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31"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(“Antecip”), an entity owned by our Chief Executive Officer and Chairman of the Board, Herriot Tabuteau, M.D., in which we were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we are required to use commercially reasonable efforts to develop, obtain regulatory approval for and commercialize these product candidates. Under the terms of the agreements, we are required to pay to Antecip a royalty equal to 3.0% for AXS-05 (and</w:t>
      </w:r>
    </w:p>
    <w:p>
      <w:pPr>
        <w:spacing w:after="0" w:line="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1.5% or 4.5% for the other two product candidates no longer under active development),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shall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began recording royalty payments to Antecip along with the initiation of sales of AUVELITY in the fourth quarter of 2022. We recorded royalty expense of $15.2 million and $8.7 million for the years ended December 31, 2025 and 2024, respectively, which equal 3.0% of net sales of AUVELITY for those respective years.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29" w:lineRule="exact"/>
        <w:rPr>
          <w:sz w:val="20"/>
          <w:szCs w:val="20"/>
          <w:color w:val="auto"/>
        </w:rPr>
      </w:pPr>
    </w:p>
    <w:p>
      <w:pPr>
        <w:jc w:val="both"/>
        <w:ind w:right="20" w:firstLine="374"/>
        <w:spacing w:after="0" w:line="275"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and Approval of Related Party Transactions</w:t>
      </w:r>
    </w:p>
    <w:p>
      <w:pPr>
        <w:spacing w:after="0" w:line="129" w:lineRule="exact"/>
        <w:rPr>
          <w:sz w:val="20"/>
          <w:szCs w:val="20"/>
          <w:color w:val="auto"/>
        </w:rPr>
      </w:pPr>
    </w:p>
    <w:p>
      <w:pPr>
        <w:ind w:right="200" w:firstLine="374"/>
        <w:spacing w:after="0" w:line="275" w:lineRule="auto"/>
        <w:rPr>
          <w:sz w:val="20"/>
          <w:szCs w:val="20"/>
          <w:color w:val="auto"/>
        </w:rPr>
      </w:pPr>
      <w:r>
        <w:rPr>
          <w:rFonts w:ascii="Times New Roman" w:cs="Times New Roman" w:eastAsia="Times New Roman" w:hAnsi="Times New Roman"/>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75"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56"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party’s interest in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we could have reached with an unrelated third party;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and potential benefit to us of the transaction.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29"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6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2025, all Section 16(a) filing requirements were satisfied in a timely manner.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127"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6"/>
          <w:szCs w:val="16"/>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 of the Audit Committee</w:t>
      </w:r>
    </w:p>
    <w:p>
      <w:pPr>
        <w:spacing w:after="0" w:line="129"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86"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of Audited Financial Statements for the Year Ended December 31, 2025</w:t>
      </w:r>
    </w:p>
    <w:p>
      <w:pPr>
        <w:spacing w:after="0" w:line="129"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has reviewed and discussed with Axsome’s management and Deloitte &amp; Touche LLP the audited consolidated financial statements of Axsome Therapeutics, Inc. for the year ended December 31, 2025. The Audit Committee has also discussed with Deloitte &amp; Touche LLP the matters required to be discussed by applicable requirements of the Public Company Accounting Oversight Board regarding communications between our independent registered public accounting firm and Audit Committee.</w:t>
      </w:r>
    </w:p>
    <w:p>
      <w:pPr>
        <w:spacing w:after="0" w:line="75"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The Audit Committee has received and reviewed the written disclosures and the letter from Deloitte &amp; Touche LLP required by applicable requirements of the Public Company Accounting Oversight Board regarding the independent accountant’s communications with the Audit Committee concerning independence, and has discussed with Deloitte &amp; Touche LLP its independence from us.</w:t>
      </w:r>
    </w:p>
    <w:p>
      <w:pPr>
        <w:spacing w:after="0" w:line="69"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of Directors that the audited financial statements be included in Axsome’s Annual Report on Form 10-K for the year ended December 31, 2025 for filing with the Securities and Exchange Commission.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Submitted by the Audit Committee of the Board of Directors: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Saad (Chair)</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Coleman, M.D.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Roger Jeffs, Ph.D.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Susan Mahony, Ph.D., M.B.A.</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29"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56" w:lineRule="exact"/>
        <w:rPr>
          <w:sz w:val="20"/>
          <w:szCs w:val="20"/>
          <w:color w:val="auto"/>
        </w:rPr>
      </w:pPr>
    </w:p>
    <w:p>
      <w:pPr>
        <w:ind w:right="320" w:firstLine="374"/>
        <w:spacing w:after="0" w:line="298" w:lineRule="auto"/>
        <w:rPr>
          <w:sz w:val="20"/>
          <w:szCs w:val="20"/>
          <w:color w:val="auto"/>
        </w:rPr>
      </w:pPr>
      <w:r>
        <w:rPr>
          <w:rFonts w:ascii="Times New Roman" w:cs="Times New Roman" w:eastAsia="Times New Roman" w:hAnsi="Times New Roman"/>
          <w:sz w:val="16"/>
          <w:szCs w:val="16"/>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24, 2026</w:t>
      </w: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7"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8356600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6240780" cy="7458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40780" cy="7458075"/>
                    </a:xfrm>
                    <a:prstGeom prst="rect">
                      <a:avLst/>
                    </a:prstGeom>
                    <a:noFill/>
                  </pic:spPr>
                </pic:pic>
              </a:graphicData>
            </a:graphic>
          </wp:anchor>
        </w:drawing>
      </w:r>
    </w:p>
    <w:p>
      <w:pPr>
        <w:sectPr>
          <w:pgSz w:w="11900" w:h="16838" w:orient="portrait"/>
          <w:cols w:equalWidth="0" w:num="1">
            <w:col w:w="10139"/>
          </w:cols>
          <w:pgMar w:left="320" w:top="76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8347710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6240780" cy="74580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40780" cy="7458075"/>
                    </a:xfrm>
                    <a:prstGeom prst="rect">
                      <a:avLst/>
                    </a:prstGeom>
                    <a:noFill/>
                  </pic:spPr>
                </pic:pic>
              </a:graphicData>
            </a:graphic>
          </wp:anchor>
        </w:drawing>
      </w:r>
    </w:p>
    <w:p>
      <w:pPr>
        <w:sectPr>
          <w:pgSz w:w="11900" w:h="16838" w:orient="portrait"/>
          <w:cols w:equalWidth="0" w:num="1">
            <w:col w:w="10139"/>
          </w:cols>
          <w:pgMar w:left="320" w:top="767" w:right="1440"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upperLetter"/>
      <w:start w:val="1"/>
    </w:lvl>
  </w:abstractNum>
  <w:abstractNum w:abstractNumId="6">
    <w:nsid w:val="7724C67E"/>
    <w:multiLevelType w:val="hybridMultilevel"/>
    <w:lvl w:ilvl="0">
      <w:lvlJc w:val="left"/>
      <w:lvlText w:val="%1:"/>
      <w:numFmt w:val="upperLetter"/>
      <w:start w:val="1"/>
    </w:lvl>
  </w:abstractNum>
  <w:abstractNum w:abstractNumId="7">
    <w:nsid w:val="5C482A97"/>
    <w:multiLevelType w:val="hybridMultilevel"/>
    <w:lvl w:ilvl="0">
      <w:lvlJc w:val="left"/>
      <w:lvlText w:val="%1:"/>
      <w:numFmt w:val="upperLetter"/>
      <w:start w:val="1"/>
    </w:lvl>
  </w:abstractNum>
  <w:abstractNum w:abstractNumId="8">
    <w:nsid w:val="2463B9EA"/>
    <w:multiLevelType w:val="hybridMultilevel"/>
    <w:lvl w:ilvl="0">
      <w:lvlJc w:val="left"/>
      <w:lvlText w:val="%1:"/>
      <w:numFmt w:val="upperLetter"/>
      <w:start w:val="1"/>
    </w:lvl>
    <w:lvl w:ilvl="1">
      <w:lvlJc w:val="left"/>
      <w:lvlText w:val="•"/>
      <w:numFmt w:val="bullet"/>
      <w:start w:val="1"/>
    </w:lvl>
  </w:abstractNum>
  <w:abstractNum w:abstractNumId="9">
    <w:nsid w:val="5E884ADC"/>
    <w:multiLevelType w:val="hybridMultilevel"/>
    <w:lvl w:ilvl="0">
      <w:lvlJc w:val="left"/>
      <w:lvlText w:val="%1:"/>
      <w:numFmt w:val="upperLetter"/>
      <w:start w:val="1"/>
    </w:lvl>
  </w:abstractNum>
  <w:abstractNum w:abstractNumId="10">
    <w:nsid w:val="51EAD36B"/>
    <w:multiLevelType w:val="hybridMultilevel"/>
    <w:lvl w:ilvl="0">
      <w:lvlJc w:val="left"/>
      <w:lvlText w:val="%1:"/>
      <w:numFmt w:val="upperLetter"/>
      <w:start w:val="1"/>
    </w:lvl>
  </w:abstractNum>
  <w:abstractNum w:abstractNumId="11">
    <w:nsid w:val="2D517796"/>
    <w:multiLevelType w:val="hybridMultilevel"/>
    <w:lvl w:ilvl="0">
      <w:lvlJc w:val="left"/>
      <w:lvlText w:val="%1:"/>
      <w:numFmt w:val="upperLetter"/>
      <w:start w:val="1"/>
    </w:lvl>
  </w:abstractNum>
  <w:abstractNum w:abstractNumId="12">
    <w:nsid w:val="580BD78F"/>
    <w:multiLevelType w:val="hybridMultilevel"/>
    <w:lvl w:ilvl="0">
      <w:lvlJc w:val="left"/>
      <w:lvlText w:val="%1:"/>
      <w:numFmt w:val="upperLetter"/>
      <w:start w:val="1"/>
    </w:lvl>
  </w:abstractNum>
  <w:abstractNum w:abstractNumId="13">
    <w:nsid w:val="153EA438"/>
    <w:multiLevelType w:val="hybridMultilevel"/>
    <w:lvl w:ilvl="0">
      <w:lvlJc w:val="left"/>
      <w:lvlText w:val="%1:"/>
      <w:numFmt w:val="upperLetter"/>
      <w:start w:val="1"/>
    </w:lvl>
  </w:abstractNum>
  <w:abstractNum w:abstractNumId="14">
    <w:nsid w:val="3855585C"/>
    <w:multiLevelType w:val="hybridMultilevel"/>
    <w:lvl w:ilvl="0">
      <w:lvlJc w:val="left"/>
      <w:lvlText w:val="%1:"/>
      <w:numFmt w:val="upperLetter"/>
      <w:start w:val="1"/>
    </w:lvl>
  </w:abstractNum>
  <w:abstractNum w:abstractNumId="15">
    <w:nsid w:val="70A64E2A"/>
    <w:multiLevelType w:val="hybridMultilevel"/>
    <w:lvl w:ilvl="0">
      <w:lvlJc w:val="left"/>
      <w:lvlText w:val="%1:"/>
      <w:numFmt w:val="upperLetter"/>
      <w:start w:val="1"/>
    </w:lvl>
  </w:abstractNum>
  <w:abstractNum w:abstractNumId="16">
    <w:nsid w:val="6A2342EC"/>
    <w:multiLevelType w:val="hybridMultilevel"/>
    <w:lvl w:ilvl="0">
      <w:lvlJc w:val="left"/>
      <w:lvlText w:val="%1:"/>
      <w:numFmt w:val="upperLetter"/>
      <w:start w:val="1"/>
    </w:lvl>
    <w:lvl w:ilvl="1">
      <w:lvlJc w:val="left"/>
      <w:lvlText w:val="•"/>
      <w:numFmt w:val="bullet"/>
      <w:start w:val="1"/>
    </w:lvl>
  </w:abstractNum>
  <w:abstractNum w:abstractNumId="17">
    <w:nsid w:val="2A487CB0"/>
    <w:multiLevelType w:val="hybridMultilevel"/>
    <w:lvl w:ilvl="0">
      <w:lvlJc w:val="left"/>
      <w:lvlText w:val="%1:"/>
      <w:numFmt w:val="upperLetter"/>
      <w:start w:val="1"/>
    </w:lvl>
  </w:abstractNum>
  <w:abstractNum w:abstractNumId="18">
    <w:nsid w:val="1D4ED43B"/>
    <w:multiLevelType w:val="hybridMultilevel"/>
    <w:lvl w:ilvl="0">
      <w:lvlJc w:val="left"/>
      <w:lvlText w:val="%1:"/>
      <w:numFmt w:val="upperLetter"/>
      <w:start w:val="1"/>
    </w:lvl>
    <w:lvl w:ilvl="1">
      <w:lvlJc w:val="left"/>
      <w:lvlText w:val="(%2)"/>
      <w:numFmt w:val="decimal"/>
      <w:start w:val="1"/>
    </w:lvl>
  </w:abstractNum>
  <w:abstractNum w:abstractNumId="19">
    <w:nsid w:val="725A06FB"/>
    <w:multiLevelType w:val="hybridMultilevel"/>
    <w:lvl w:ilvl="0">
      <w:lvlJc w:val="left"/>
      <w:lvlText w:val="%1:"/>
      <w:numFmt w:val="upperLetter"/>
      <w:start w:val="1"/>
    </w:lvl>
  </w:abstractNum>
  <w:abstractNum w:abstractNumId="20">
    <w:nsid w:val="2CD89A32"/>
    <w:multiLevelType w:val="hybridMultilevel"/>
    <w:lvl w:ilvl="0">
      <w:lvlJc w:val="left"/>
      <w:lvlText w:val="%1:"/>
      <w:numFmt w:val="upperLetter"/>
      <w:start w:val="1"/>
    </w:lvl>
    <w:lvl w:ilvl="1">
      <w:lvlJc w:val="left"/>
      <w:lvlText w:val="•"/>
      <w:numFmt w:val="bullet"/>
      <w:start w:val="1"/>
    </w:lvl>
  </w:abstractNum>
  <w:abstractNum w:abstractNumId="21">
    <w:nsid w:val="57E4CCAF"/>
    <w:multiLevelType w:val="hybridMultilevel"/>
    <w:lvl w:ilvl="0">
      <w:lvlJc w:val="left"/>
      <w:lvlText w:val="%1:"/>
      <w:numFmt w:val="upperLetter"/>
      <w:start w:val="1"/>
    </w:lvl>
    <w:lvl w:ilvl="1">
      <w:lvlJc w:val="left"/>
      <w:lvlText w:val="•"/>
      <w:numFmt w:val="bullet"/>
      <w:start w:val="1"/>
    </w:lvl>
  </w:abstractNum>
  <w:abstractNum w:abstractNumId="22">
    <w:nsid w:val="7A6D8D3C"/>
    <w:multiLevelType w:val="hybridMultilevel"/>
    <w:lvl w:ilvl="0">
      <w:lvlJc w:val="left"/>
      <w:lvlText w:val="%1:"/>
      <w:numFmt w:val="upperLetter"/>
      <w:start w:val="1"/>
    </w:lvl>
  </w:abstractNum>
  <w:abstractNum w:abstractNumId="23">
    <w:nsid w:val="4B588F54"/>
    <w:multiLevelType w:val="hybridMultilevel"/>
    <w:lvl w:ilvl="0">
      <w:lvlJc w:val="left"/>
      <w:lvlText w:val="%1:"/>
      <w:numFmt w:val="upperLetter"/>
      <w:start w:val="1"/>
    </w:lvl>
  </w:abstractNum>
  <w:abstractNum w:abstractNumId="24">
    <w:nsid w:val="542289EC"/>
    <w:multiLevelType w:val="hybridMultilevel"/>
    <w:lvl w:ilvl="0">
      <w:lvlJc w:val="left"/>
      <w:lvlText w:val="%1:"/>
      <w:numFmt w:val="upperLetter"/>
      <w:start w:val="1"/>
    </w:lvl>
  </w:abstractNum>
  <w:abstractNum w:abstractNumId="25">
    <w:nsid w:val="6DE91B18"/>
    <w:multiLevelType w:val="hybridMultilevel"/>
    <w:lvl w:ilvl="0">
      <w:lvlJc w:val="left"/>
      <w:lvlText w:val="%1:"/>
      <w:numFmt w:val="upperLetter"/>
      <w:start w:val="1"/>
    </w:lvl>
  </w:abstractNum>
  <w:abstractNum w:abstractNumId="26">
    <w:nsid w:val="38437FDB"/>
    <w:multiLevelType w:val="hybridMultilevel"/>
    <w:lvl w:ilvl="0">
      <w:lvlJc w:val="left"/>
      <w:lvlText w:val="%1:"/>
      <w:numFmt w:val="upperLetter"/>
      <w:start w:val="1"/>
    </w:lvl>
  </w:abstractNum>
  <w:abstractNum w:abstractNumId="27">
    <w:nsid w:val="7644A45C"/>
    <w:multiLevelType w:val="hybridMultilevel"/>
    <w:lvl w:ilvl="0">
      <w:lvlJc w:val="left"/>
      <w:lvlText w:val="%1:"/>
      <w:numFmt w:val="upperLetter"/>
      <w:start w:val="1"/>
    </w:lvl>
  </w:abstractNum>
  <w:abstractNum w:abstractNumId="28">
    <w:nsid w:val="32FFF902"/>
    <w:multiLevelType w:val="hybridMultilevel"/>
    <w:lvl w:ilvl="0">
      <w:lvlJc w:val="left"/>
      <w:lvlText w:val="%1:"/>
      <w:numFmt w:val="upperLetter"/>
      <w:start w:val="1"/>
    </w:lvl>
  </w:abstractNum>
  <w:abstractNum w:abstractNumId="29">
    <w:nsid w:val="684A481A"/>
    <w:multiLevelType w:val="hybridMultilevel"/>
    <w:lvl w:ilvl="0">
      <w:lvlJc w:val="left"/>
      <w:lvlText w:val="%1:"/>
      <w:numFmt w:val="upperLetter"/>
      <w:start w:val="1"/>
    </w:lvl>
  </w:abstractNum>
  <w:abstractNum w:abstractNumId="30">
    <w:nsid w:val="579478FE"/>
    <w:multiLevelType w:val="hybridMultilevel"/>
    <w:lvl w:ilvl="0">
      <w:lvlJc w:val="left"/>
      <w:lvlText w:val="%1:"/>
      <w:numFmt w:val="upperLetter"/>
      <w:start w:val="1"/>
    </w:lvl>
  </w:abstractNum>
  <w:abstractNum w:abstractNumId="31">
    <w:nsid w:val="749ABB43"/>
    <w:multiLevelType w:val="hybridMultilevel"/>
    <w:lvl w:ilvl="0">
      <w:lvlJc w:val="left"/>
      <w:lvlText w:val="%1:"/>
      <w:numFmt w:val="upperLetter"/>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
      <w:numFmt w:val="bullet"/>
      <w:start w:val="1"/>
    </w:lvl>
  </w:abstractNum>
  <w:abstractNum w:abstractNumId="45">
    <w:nsid w:val="1CF10FD8"/>
    <w:multiLevelType w:val="hybridMultilevel"/>
    <w:lvl w:ilvl="0">
      <w:lvlJc w:val="left"/>
      <w:lvlText w:val=" "/>
      <w:numFmt w:val="bullet"/>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2"/>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6"/>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2026-04-24T17:27:43Z</dcterms:created>
  <dcterms:modified xsi:type="dcterms:W3CDTF">2026-04-24T17:27:43Z</dcterms:modified>
</cp:coreProperties>
</file>