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580" w:hanging="182"/>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jc w:val="center"/>
        <w:ind w:left="3800" w:right="1400" w:hanging="2398"/>
        <w:spacing w:after="0" w:line="334" w:lineRule="auto"/>
        <w:tabs>
          <w:tab w:leader="none" w:pos="159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6" w:lineRule="exact"/>
        <w:rPr>
          <w:sz w:val="24"/>
          <w:szCs w:val="24"/>
          <w:color w:val="auto"/>
        </w:rPr>
      </w:pPr>
    </w:p>
    <w:tbl>
      <w:tblPr>
        <w:tblLayout w:type="fixed"/>
        <w:tblInd w:w="1100" w:type="dxa"/>
        <w:tblCellMar>
          <w:top w:w="0" w:type="dxa"/>
          <w:left w:w="0" w:type="dxa"/>
          <w:bottom w:w="0" w:type="dxa"/>
          <w:right w:w="0" w:type="dxa"/>
        </w:tblCellMar>
      </w:tblP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7"/>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0"/>
                <w:szCs w:val="20"/>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520" w:type="dxa"/>
            <w:vAlign w:val="bottom"/>
          </w:tcPr>
          <w:p>
            <w:pPr>
              <w:spacing w:after="0"/>
              <w:rPr>
                <w:sz w:val="17"/>
                <w:szCs w:val="17"/>
                <w:color w:val="auto"/>
              </w:rPr>
            </w:pPr>
          </w:p>
        </w:tc>
      </w:tr>
      <w:tr>
        <w:trPr>
          <w:trHeight w:val="196"/>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8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52,599,985 shares of the registrant’s common stock, $0.0001 par value, outstanding as of October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40" w:type="dxa"/>
            <w:vAlign w:val="bottom"/>
            <w:gridSpan w:val="4"/>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20" w:type="dxa"/>
            <w:vAlign w:val="bottom"/>
            <w:gridSpan w:val="14"/>
            <w:vMerge w:val="continue"/>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8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6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40" w:type="dxa"/>
            <w:vAlign w:val="bottom"/>
            <w:gridSpan w:val="4"/>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040" w:type="dxa"/>
            <w:vAlign w:val="bottom"/>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220" w:type="dxa"/>
            <w:vAlign w:val="bottom"/>
            <w:gridSpan w:val="3"/>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20" w:type="dxa"/>
            <w:vAlign w:val="bottom"/>
            <w:tcBorders>
              <w:top w:val="single" w:sz="8" w:color="0000EE"/>
            </w:tcBorders>
            <w:gridSpan w:val="3"/>
          </w:tcPr>
          <w:p>
            <w:pPr>
              <w:spacing w:after="0"/>
              <w:rPr>
                <w:sz w:val="24"/>
                <w:szCs w:val="24"/>
                <w:color w:val="auto"/>
              </w:rPr>
            </w:pPr>
          </w:p>
        </w:tc>
        <w:tc>
          <w:tcPr>
            <w:tcW w:w="7540" w:type="dxa"/>
            <w:vAlign w:val="bottom"/>
            <w:gridSpan w:val="5"/>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80" w:type="dxa"/>
            <w:vAlign w:val="bottom"/>
            <w:gridSpan w:val="9"/>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180" w:type="dxa"/>
            <w:vAlign w:val="bottom"/>
            <w:gridSpan w:val="9"/>
          </w:tcPr>
          <w:p>
            <w:pPr>
              <w:spacing w:after="0"/>
              <w:rPr>
                <w:sz w:val="17"/>
                <w:szCs w:val="17"/>
                <w:color w:val="auto"/>
              </w:rPr>
            </w:pP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5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7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700" w:type="dxa"/>
            <w:vAlign w:val="bottom"/>
            <w:tcBorders>
              <w:top w:val="single" w:sz="8" w:color="0000EE"/>
            </w:tcBorders>
            <w:gridSpan w:val="2"/>
          </w:tcPr>
          <w:p>
            <w:pPr>
              <w:spacing w:after="0"/>
              <w:rPr>
                <w:sz w:val="24"/>
                <w:szCs w:val="24"/>
                <w:color w:val="auto"/>
              </w:rPr>
            </w:pPr>
          </w:p>
        </w:tc>
        <w:tc>
          <w:tcPr>
            <w:tcW w:w="414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313,859</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322,933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724,636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588,986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826,773</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2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96,075</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378,836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72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52,576,839 and</w:t>
            </w: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50,882,766 shares issued and outstanding at September 30, 2026 and December 31, 2025,</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(1,434,694)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(1,305,961)</w:t>
            </w:r>
          </w:p>
        </w:tc>
      </w:tr>
      <w:tr>
        <w:trPr>
          <w:trHeight w:val="209"/>
        </w:trPr>
        <w:tc>
          <w:tcPr>
            <w:tcW w:w="20" w:type="dxa"/>
            <w:vAlign w:val="bottom"/>
          </w:tcPr>
          <w:p>
            <w:pPr>
              <w:spacing w:after="0"/>
              <w:rPr>
                <w:sz w:val="18"/>
                <w:szCs w:val="18"/>
                <w:color w:val="auto"/>
              </w:rPr>
            </w:pPr>
          </w:p>
        </w:tc>
        <w:tc>
          <w:tcPr>
            <w:tcW w:w="7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88,295</w:t>
            </w:r>
          </w:p>
        </w:tc>
        <w:tc>
          <w:tcPr>
            <w:tcW w:w="100" w:type="dxa"/>
            <w:vAlign w:val="bottom"/>
            <w:tcBorders>
              <w:top w:val="single" w:sz="8" w:color="CFF0F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826,773</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689,805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-3239770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-3222625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-3239770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-3222625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-1559560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-1559560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-316230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655,706</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12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669,269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12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149,521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134,488</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401,302</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tcPr>
          <w:p>
            <w:pPr>
              <w:spacing w:after="0"/>
              <w:rPr>
                <w:sz w:val="18"/>
                <w:szCs w:val="18"/>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217,101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793,340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582,302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(124,071)</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(139,805)</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(4,446)</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(5,385)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(10,385)</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(128,517)</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(155,575)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(47,229)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(128,733)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(154,615)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(3.13)</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52,445,193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50,021,851</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51,818,984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49,449,220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-2322195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-2322195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-2322195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-1199515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-351155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-351155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2100" w:type="dxa"/>
            <w:vAlign w:val="bottom"/>
            <w:gridSpan w:val="3"/>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Additional paid-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0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80" w:type="dxa"/>
            <w:vAlign w:val="bottom"/>
          </w:tcPr>
          <w:p>
            <w:pPr>
              <w:spacing w:after="0"/>
              <w:rPr>
                <w:sz w:val="12"/>
                <w:szCs w:val="12"/>
                <w:color w:val="auto"/>
              </w:rPr>
            </w:pPr>
          </w:p>
        </w:tc>
        <w:tc>
          <w:tcPr>
            <w:tcW w:w="132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1080" w:type="dxa"/>
            <w:vAlign w:val="bottom"/>
            <w:tcBorders>
              <w:bottom w:val="single" w:sz="8" w:color="auto"/>
            </w:tcBorders>
          </w:tcPr>
          <w:p>
            <w:pPr>
              <w:jc w:val="right"/>
              <w:ind w:right="304"/>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24"/>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jc w:val="right"/>
              <w:ind w:right="264"/>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4"/>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2024</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48,667,587</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1,179,797</w:t>
            </w:r>
          </w:p>
        </w:tc>
        <w:tc>
          <w:tcPr>
            <w:tcW w:w="140" w:type="dxa"/>
            <w:vAlign w:val="bottom"/>
            <w:shd w:val="clear" w:color="auto" w:fill="CFF0FC"/>
          </w:tcPr>
          <w:p>
            <w:pPr>
              <w:spacing w:after="0"/>
              <w:rPr>
                <w:sz w:val="13"/>
                <w:szCs w:val="13"/>
                <w:color w:val="auto"/>
              </w:rPr>
            </w:pPr>
          </w:p>
        </w:tc>
        <w:tc>
          <w:tcPr>
            <w:tcW w:w="1300" w:type="dxa"/>
            <w:vAlign w:val="bottom"/>
            <w:gridSpan w:val="3"/>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(1,122,787)</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57,015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331,853</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60,835</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156,484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19,257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(4,336)</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(59,413)</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2025</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49,216,759</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1,235,400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(1,182,200)</w:t>
            </w:r>
          </w:p>
        </w:tc>
        <w:tc>
          <w:tcPr>
            <w:tcW w:w="1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53,205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24,954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24,954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12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upon exercise of options and under employee stock</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276,280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15,776</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306,486</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32,116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(888)</w:t>
            </w: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(888)</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(47,973)</w:t>
            </w:r>
          </w:p>
        </w:tc>
        <w:tc>
          <w:tcPr>
            <w:tcW w:w="10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(47,973)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2025</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49,815,301</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1,303,243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(1,230,173)</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73,075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389,542</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14,479</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88,512</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9,757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(47,229)</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(47,229)</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2025</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50,307,834</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1,351,124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(1,277,402)</w:t>
            </w:r>
          </w:p>
        </w:tc>
        <w:tc>
          <w:tcPr>
            <w:tcW w:w="1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73,727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Balance at December 31, 2025</w:t>
            </w:r>
          </w:p>
        </w:tc>
        <w:tc>
          <w:tcPr>
            <w:tcW w:w="10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50,882,766</w:t>
            </w: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1,394,251</w:t>
            </w:r>
          </w:p>
        </w:tc>
        <w:tc>
          <w:tcPr>
            <w:tcW w:w="140" w:type="dxa"/>
            <w:vAlign w:val="bottom"/>
            <w:shd w:val="clear" w:color="auto" w:fill="CFF0FC"/>
          </w:tcPr>
          <w:p>
            <w:pPr>
              <w:spacing w:after="0"/>
              <w:rPr>
                <w:sz w:val="12"/>
                <w:szCs w:val="12"/>
                <w:color w:val="auto"/>
              </w:rPr>
            </w:pPr>
          </w:p>
        </w:tc>
        <w:tc>
          <w:tcPr>
            <w:tcW w:w="1300" w:type="dxa"/>
            <w:vAlign w:val="bottom"/>
            <w:gridSpan w:val="3"/>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(1,305,961)</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88,295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412,310</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89,567</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35,802</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(9,301)</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(9,301)</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(64,542)</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(64,542)</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March 31, 2026</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51,420,445</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1,425,085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(1,370,503)</w:t>
            </w:r>
          </w:p>
        </w:tc>
        <w:tc>
          <w:tcPr>
            <w:tcW w:w="1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54,587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27,625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12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upon exercise of options and under employee stock</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755,644</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28,979</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54,644</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warrants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40,177</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(2,834)</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(2,834)</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(51,314)</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(51,314)</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June 30, 2026</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52,299,889</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1,505,116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(1,421,817)</w:t>
            </w:r>
          </w:p>
        </w:tc>
        <w:tc>
          <w:tcPr>
            <w:tcW w:w="10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83,304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261,171</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15,779</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512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(1,845)</w:t>
            </w:r>
          </w:p>
        </w:tc>
        <w:tc>
          <w:tcPr>
            <w:tcW w:w="80" w:type="dxa"/>
            <w:vAlign w:val="bottom"/>
          </w:tcPr>
          <w:p>
            <w:pPr>
              <w:spacing w:after="0"/>
              <w:rPr>
                <w:sz w:val="14"/>
                <w:szCs w:val="14"/>
                <w:color w:val="auto"/>
              </w:rPr>
            </w:pPr>
          </w:p>
        </w:tc>
        <w:tc>
          <w:tcPr>
            <w:tcW w:w="132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162"/>
        </w:trPr>
        <w:tc>
          <w:tcPr>
            <w:tcW w:w="512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(12,877)</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(12,877)</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September 30, 2026</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52,576,839</w:t>
            </w:r>
          </w:p>
        </w:tc>
        <w:tc>
          <w:tcPr>
            <w:tcW w:w="1020" w:type="dxa"/>
            <w:vAlign w:val="bottom"/>
            <w:gridSpan w:val="2"/>
          </w:tcPr>
          <w:p>
            <w:pPr>
              <w:jc w:val="right"/>
              <w:ind w:right="637"/>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w:t>
            </w:r>
          </w:p>
        </w:tc>
        <w:tc>
          <w:tcPr>
            <w:tcW w:w="420" w:type="dxa"/>
            <w:vAlign w:val="bottom"/>
            <w:gridSpan w:val="2"/>
          </w:tcPr>
          <w:p>
            <w:pPr>
              <w:jc w:val="right"/>
              <w:ind w:right="57"/>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1,540,123</w:t>
            </w:r>
          </w:p>
        </w:tc>
        <w:tc>
          <w:tcPr>
            <w:tcW w:w="140" w:type="dxa"/>
            <w:vAlign w:val="bottom"/>
          </w:tcPr>
          <w:p>
            <w:pPr>
              <w:spacing w:after="0"/>
              <w:rPr>
                <w:sz w:val="13"/>
                <w:szCs w:val="13"/>
                <w:color w:val="auto"/>
              </w:rPr>
            </w:pPr>
          </w:p>
        </w:tc>
        <w:tc>
          <w:tcPr>
            <w:tcW w:w="1400" w:type="dxa"/>
            <w:vAlign w:val="bottom"/>
            <w:gridSpan w:val="4"/>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   (1,434,694)  $</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105,434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-4114165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-4114165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-4114165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-4114165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-2553970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-2553970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-2553970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-2553970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-1696720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-1696720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-1696720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-1696720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-762000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-762000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-136525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-136525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-136525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-136525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(128,733)</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(154,615)</w:t>
            </w: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71,022</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in fair value of contingent consideration</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(3,286)</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Gain from lease modification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(2,250)</w:t>
            </w: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amortization for finance lease</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(118,650)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(54,506)</w:t>
            </w:r>
          </w:p>
        </w:tc>
      </w:tr>
      <w:tr>
        <w:trPr>
          <w:trHeight w:val="203"/>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(13,260)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(7,020)</w:t>
            </w:r>
          </w:p>
        </w:tc>
      </w:tr>
      <w:tr>
        <w:trPr>
          <w:trHeight w:val="20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(7,811)</w:t>
            </w:r>
          </w:p>
        </w:tc>
      </w:tr>
      <w:tr>
        <w:trPr>
          <w:trHeight w:val="203"/>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(5,159)</w:t>
            </w:r>
          </w:p>
        </w:tc>
      </w:tr>
      <w:tr>
        <w:trPr>
          <w:trHeight w:val="20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(17,770)</w:t>
            </w:r>
          </w:p>
        </w:tc>
      </w:tr>
      <w:tr>
        <w:trPr>
          <w:trHeight w:val="203"/>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95,896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76,569</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r>
      <w:tr>
        <w:trPr>
          <w:trHeight w:val="20"/>
        </w:trPr>
        <w:tc>
          <w:tcPr>
            <w:tcW w:w="7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(63,121)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(74,752)</w:t>
            </w:r>
          </w:p>
        </w:tc>
      </w:tr>
      <w:tr>
        <w:trPr>
          <w:trHeight w:val="196"/>
        </w:trPr>
        <w:tc>
          <w:tcPr>
            <w:tcW w:w="7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equipment</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(409)</w:t>
            </w:r>
          </w:p>
        </w:tc>
      </w:tr>
      <w:tr>
        <w:trPr>
          <w:trHeight w:val="20"/>
        </w:trPr>
        <w:tc>
          <w:tcPr>
            <w:tcW w:w="73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(409)</w:t>
            </w:r>
          </w:p>
        </w:tc>
      </w:tr>
      <w:tr>
        <w:trPr>
          <w:trHeight w:val="19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draw down of debt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(3,638)</w:t>
            </w: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debt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(210,000)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(261,988)</w:t>
            </w: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principal portion of finance lease obligation</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(1,583)</w:t>
            </w: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financing</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62,229</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common stock issuance costs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(1,099)</w:t>
            </w: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options and under employee stock purchase plan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44,220</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(9,431)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(6,995)</w:t>
            </w: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tax withholdings on stock awards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(13,980)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(6,066)</w:t>
            </w:r>
          </w:p>
        </w:tc>
      </w:tr>
      <w:tr>
        <w:trPr>
          <w:trHeight w:val="19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54,815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9,919</w:t>
            </w:r>
          </w:p>
        </w:tc>
        <w:tc>
          <w:tcPr>
            <w:tcW w:w="100" w:type="dxa"/>
            <w:vAlign w:val="bottom"/>
          </w:tcPr>
          <w:p>
            <w:pPr>
              <w:spacing w:after="0"/>
              <w:rPr>
                <w:sz w:val="17"/>
                <w:szCs w:val="17"/>
                <w:color w:val="auto"/>
              </w:rPr>
            </w:pPr>
          </w:p>
        </w:tc>
      </w:tr>
      <w:tr>
        <w:trPr>
          <w:trHeight w:val="202"/>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322,933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130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313,859</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325,272</w:t>
            </w:r>
          </w:p>
        </w:tc>
        <w:tc>
          <w:tcPr>
            <w:tcW w:w="10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30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11,576</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shd w:val="clear" w:color="auto" w:fill="CFF0FC"/>
          </w:tcPr>
          <w:p>
            <w:pPr>
              <w:spacing w:after="0"/>
              <w:rPr>
                <w:sz w:val="17"/>
                <w:szCs w:val="17"/>
                <w:color w:val="auto"/>
              </w:rPr>
            </w:pPr>
          </w:p>
        </w:tc>
      </w:tr>
      <w:tr>
        <w:trPr>
          <w:trHeight w:val="20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 obtained in exchange for finance lease liability</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Pr>
          <w:p>
            <w:pPr>
              <w:spacing w:after="0"/>
              <w:rPr>
                <w:sz w:val="17"/>
                <w:szCs w:val="17"/>
                <w:color w:val="auto"/>
              </w:rPr>
            </w:pPr>
          </w:p>
        </w:tc>
      </w:tr>
      <w:tr>
        <w:trPr>
          <w:trHeight w:val="203"/>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operating lease right-of-use asset due to lease modification</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FF0FC"/>
          </w:tcPr>
          <w:p>
            <w:pPr>
              <w:spacing w:after="0"/>
              <w:rPr>
                <w:sz w:val="17"/>
                <w:szCs w:val="17"/>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Decrease in operating lease liability due to lease modification</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-3039110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-3039110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-2773045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-2773045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-1204595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-1204595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-938530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to improve the brain health of individuals living with central nervous system (“CNS”) conditions. Axsome has a broad and diverse commercial portfolio of four U.S. Food and Drug Administration (“FDA”) approved treatments for major depressive disorder, agitation associated with dementia due to Alzheimer’s disease (“ADA”), excessive daytime sleepiness associated with narcolepsy or obstructive sleep apnea, and migraine. Additionally, Axsome is advancing a deep pipeline of numerous novel product candidates in early- to late-stage development targeting a range of serious, underserved conditions across psychiatry and neurology that collectively impact over 150 million people in the United States.</w:t>
      </w:r>
    </w:p>
    <w:p>
      <w:pPr>
        <w:spacing w:after="0" w:line="202"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novel, oral, dopamine and norepinephrine reuptake inhibitor (DNRI), trace amine-associated receptor 1 (TAAR1) agonist, and 5-HT1A agonist approved in the United States, the European Union, and Canada for the treatment of excessive daytime sleepiness in adult patients with obstructive sleep apnea or narcolepsy. SUNOSI was approved by the FDA in March 2019, by the European Commission in January 2020, and by Health Canada in May 2021. The Company acquired the U.S. rights to SUNOSI from Jazz Pharmaceuticals plc (“Jazz”) in May 2022 and, in November 2022, acquired worldwide ex-U.S. rights, excluding certain Asian markets, from Jazz (collectively, the “Acquisition”). In February 2023, the Company announced a licensing transaction with Atnahs Pharma UK Limited (“Pharmanovia”) to market SUNOSI in Europe and certain countries in the Middle East and North Africa.</w:t>
      </w:r>
    </w:p>
    <w:p>
      <w:pPr>
        <w:spacing w:after="0" w:line="211" w:lineRule="exact"/>
        <w:rPr>
          <w:sz w:val="20"/>
          <w:szCs w:val="20"/>
          <w:color w:val="auto"/>
        </w:rPr>
      </w:pPr>
    </w:p>
    <w:p>
      <w:pPr>
        <w:ind w:right="440" w:firstLine="749"/>
        <w:spacing w:after="0" w:line="236" w:lineRule="auto"/>
        <w:rPr>
          <w:sz w:val="20"/>
          <w:szCs w:val="20"/>
          <w:color w:val="auto"/>
        </w:rPr>
      </w:pPr>
      <w:r>
        <w:rPr>
          <w:rFonts w:ascii="Times New Roman" w:cs="Times New Roman" w:eastAsia="Times New Roman" w:hAnsi="Times New Roman"/>
          <w:sz w:val="18"/>
          <w:szCs w:val="18"/>
          <w:color w:val="auto"/>
        </w:rPr>
        <w:t>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(dextromethorphan-bupropion), also referred to as “AXS-05”, was developed by the Company and approved by the FDA in August 2022 as the first and only oral, N-methyl-D-aspartate (NMDA) receptor antagonist for the treatment of major depressive disorder in adults (“MDD”). The Company initiated the commercial availability of AUVELITY in October 2022. In April 2026, the FDA approved AUVELITY for the treatment of ADA. The Company initiated the commercial launch of AUVELITY for the treatment of ADA in June 2026.</w:t>
      </w:r>
    </w:p>
    <w:p>
      <w:pPr>
        <w:spacing w:after="0" w:line="212" w:lineRule="exact"/>
        <w:rPr>
          <w:sz w:val="20"/>
          <w:szCs w:val="20"/>
          <w:color w:val="auto"/>
        </w:rPr>
      </w:pPr>
    </w:p>
    <w:p>
      <w:pPr>
        <w:ind w:right="120" w:firstLine="749"/>
        <w:spacing w:after="0" w:line="231" w:lineRule="auto"/>
        <w:rPr>
          <w:sz w:val="20"/>
          <w:szCs w:val="20"/>
          <w:color w:val="auto"/>
        </w:rPr>
      </w:pPr>
      <w:r>
        <w:rPr>
          <w:rFonts w:ascii="Times New Roman" w:cs="Times New Roman" w:eastAsia="Times New Roman" w:hAnsi="Times New Roman"/>
          <w:sz w:val="18"/>
          <w:szCs w:val="18"/>
          <w:color w:val="auto"/>
        </w:rPr>
        <w:t>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is a novel, oral, rapidly absorbed, multi-mechanistic, selective COX-2 inhibitor and 5-HT1B/1D agonist that was developed by the Company and approved by the FDA in January 2025 for the acute treatment of migraine with or without aura in adults. The Company initiated the commercial availability of SYMBRAVO in June 2025.</w:t>
      </w:r>
    </w:p>
    <w:p>
      <w:pPr>
        <w:spacing w:after="0" w:line="20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November 2025, the Company acquired global rights to AXS-17, a novel oral GABAA receptor α2,3 subtype-selective positive allosteric modulator (PAM). The Company plans to evaluate AXS-17 as a potential treatment for epilepsy. In December 2025, the Company acquired global rights to deuterium-stabilized S-bupropion (“AXS-18”). In the first quarter of 2026, the Company acquired AXS-20, a selective PDE10A inhibitor. The Company plans to initially develop AXS-20 in schizophrenia and Tourette syndrome.</w:t>
      </w:r>
    </w:p>
    <w:p>
      <w:pPr>
        <w:spacing w:after="0" w:line="180"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Company refers herein to AUVELITY, SUNOSI, SYMBRAVO (also referred to as “AXS-07”), AXS-12, AXS-14, AXS-17, AXS-18, AXS-20 and its programs to develop additional indications for AXS-05 and solriamfetol as the Company’s products.</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(“GAAP”) for interim information and pursuant to the rules and regulations of the Securities and Exchange Commission (the “SEC”) for reporting on Form 10-Q. Accordingly, certain information and footnote disclosures normally included in financial statements prepared in accordance with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2025, filed with the SEC on February 23,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2026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September 30, 2026, the Company had an accumulated deficit of $1,434.7 million.</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SUNOSI, and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substantially all of the economic benefits and the Company obtains a right of payment.</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primarily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approvals for SYMBRAVO and AUVELITY to treat ADA in January 2025 and April 2026, respectively, and commenced commercial sales in June 2025 and June 2026, respectively. See Note 13. Revenues for a further breakout of product sales,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the Company’s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Company’s cost of revenue consists of cost of product sales. Cost of product sales primarily includes direct costs (inclusive of material, shipping, handling, and manufacturing costs), overhead and product royalties. Cost of product sales excludes depreciation and amortization.</w:t>
      </w:r>
    </w:p>
    <w:p>
      <w:pPr>
        <w:spacing w:after="0" w:line="162"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$162.5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19. Segment Information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 holdings in checking and overnight sweep accounts. The Company’s cash equivalents, which are money market funds held in a sweep account, are measured at fair value on a recurring basis. As of September 30, 2026, the balance of cash and cash equivalents was $313.9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September 30, 2026,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The Company’s accounts receivable are concentrated among a limited number of pharmaceutical wholesale distributors in the United States. The Company performs ongoing credit evaluations of its customers, generally does not require collateral, and has not experienced material credit losses on its accounts receivable.</w:t>
      </w:r>
    </w:p>
    <w:p>
      <w:pPr>
        <w:spacing w:after="0" w:line="18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of SUNOSI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September 30, 2026, the Company has determined that it has one reporting unit. The Company has not identified any events or changes in circumstances that indicate the existence of potential impairment of goodwill during the nine months ended September 30, 2026. The balance of goodwill was $12.0 million at both September 30, 2026 and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Acquisitions that do not qualify as a business combination are accounted for as an acquisition of an asset. The cost of the acquisition is allocated to the assets acquired and liabilities assumed. At acquisition, in process research and development projects with no alternative future use are recorded as research and development expense. Direct and incremental transaction costs are included in the cost of the acquisition. Contingent consideration obligations relating to development, regulatory and commercial milestones are not recognized at the acquisition date and instead are recorded when it is probable they will occur and can be reasonably estimated.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current and non-current contingent consideration due to the significant unobservable inputs required in determining their respective fair values.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As of September 30, 2026, the Company did not have an allowance for doubtful accounts balance and did not experience any significant credit losses. For further information about accounts receivable, see Note 3. Accounts Receivable,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78"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In addition, research and development costs also include costs related to asset acquisitions involving clinical development programs that have not yet received regulatory approval.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and nine months ended September 30, 2026, advertising costs were $55.5 million and $170.1 million, respectively. For the three and nine months ended September 30, 2025, advertising costs were $41.4 million and $105.1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recorded a tax expense of $0.1 million and $0.2 million for the three and nine months ended September 30, 2026, respectively, primarily related to its Canadian operations. The tax expense for Canada was calculated using a separate estimated annual effective tax rate. The Company maintains full valuation allowances against its deferred tax assets in its other material jurisdictions and does not expect to realize a tax benefit from its projected annual losses. Accordingly, no income tax benefit was recognized for year-to-date losses in those jurisdictions.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2026,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6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176" w:lineRule="exact"/>
        <w:rPr>
          <w:sz w:val="20"/>
          <w:szCs w:val="20"/>
          <w:color w:val="auto"/>
        </w:rPr>
      </w:pPr>
    </w:p>
    <w:p>
      <w:pPr>
        <w:jc w:val="both"/>
        <w:ind w:right="6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18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the Company will issue shares as new shares drawing on the Company’s 2025 Long-Term Incentive Plan share pool that the Board adopted in April 2025 and the stockholders approved in June 2025. In addition, the Company accounts for equity award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2026 and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1"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Leases are accounted for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xml:space="preserve">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18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371,300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246,674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(22,210)</w:t>
            </w: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343,114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00" w:type="dxa"/>
            <w:vAlign w:val="bottom"/>
            <w:shd w:val="clear" w:color="auto" w:fill="CFF0FC"/>
          </w:tcPr>
          <w:p>
            <w:pPr>
              <w:spacing w:after="0"/>
              <w:rPr>
                <w:sz w:val="21"/>
                <w:szCs w:val="21"/>
                <w:color w:val="auto"/>
              </w:rPr>
            </w:pPr>
          </w:p>
        </w:tc>
      </w:tr>
      <w:tr>
        <w:trPr>
          <w:trHeight w:val="656"/>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September 30, 2026. Non-current inventory, which consists of raw materials and work in process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jc w:val="center"/>
              <w:ind w:right="159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jc w:val="center"/>
              <w:ind w:right="155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1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6-years</w:t>
            </w:r>
          </w:p>
        </w:tc>
        <w:tc>
          <w:tcPr>
            <w:tcW w:w="0" w:type="dxa"/>
            <w:vAlign w:val="bottom"/>
          </w:tcPr>
          <w:p>
            <w:pPr>
              <w:spacing w:after="0"/>
              <w:rPr>
                <w:sz w:val="1"/>
                <w:szCs w:val="1"/>
                <w:color w:val="auto"/>
              </w:rPr>
            </w:pPr>
          </w:p>
        </w:tc>
      </w:tr>
      <w:tr>
        <w:trPr>
          <w:trHeight w:val="846"/>
        </w:trPr>
        <w:tc>
          <w:tcPr>
            <w:tcW w:w="390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September 30, 2026, and assuming the underlying asset will not be impaired and that the Company will not change the expected life of the asset, future amortization expense over the next five years and periods thereafter are estimated to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9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a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$11.2 million and non-current contingent consideration liability of $63.6 million in the consolidated balance sheet as of September 30, 2026.</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156,950</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156,950</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74,835</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74,835</w:t>
            </w:r>
          </w:p>
        </w:tc>
        <w:tc>
          <w:tcPr>
            <w:tcW w:w="120" w:type="dxa"/>
            <w:vAlign w:val="bottom"/>
          </w:tcPr>
          <w:p>
            <w:pPr>
              <w:spacing w:after="0"/>
              <w:rPr>
                <w:sz w:val="20"/>
                <w:szCs w:val="20"/>
                <w:color w:val="auto"/>
              </w:rPr>
            </w:pPr>
          </w:p>
        </w:tc>
      </w:tr>
      <w:tr>
        <w:trPr>
          <w:trHeight w:val="616"/>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173,111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173,111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87,552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fair value of the contingent consideration liabilities is marked-to-market at each reporting period and was remeasured at September 30,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September 30, 2026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87,552</w:t>
            </w: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(3,286)</w:t>
            </w:r>
          </w:p>
        </w:tc>
      </w:tr>
      <w:tr>
        <w:trPr>
          <w:trHeight w:val="216"/>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(9,431)</w:t>
            </w:r>
          </w:p>
        </w:tc>
      </w:tr>
      <w:tr>
        <w:trPr>
          <w:trHeight w:val="228"/>
        </w:trPr>
        <w:tc>
          <w:tcPr>
            <w:tcW w:w="4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 (Level 3)</w:t>
            </w:r>
          </w:p>
        </w:tc>
        <w:tc>
          <w:tcPr>
            <w:tcW w:w="50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74,835</w:t>
            </w:r>
          </w:p>
        </w:tc>
        <w:tc>
          <w:tcPr>
            <w:tcW w:w="120" w:type="dxa"/>
            <w:vAlign w:val="bottom"/>
            <w:tcBorders>
              <w:top w:val="single" w:sz="8" w:color="CFF0FC"/>
            </w:tcBorders>
          </w:tcPr>
          <w:p>
            <w:pPr>
              <w:spacing w:after="0"/>
              <w:rPr>
                <w:sz w:val="19"/>
                <w:szCs w:val="19"/>
                <w:color w:val="auto"/>
              </w:rPr>
            </w:pPr>
          </w:p>
        </w:tc>
      </w:tr>
      <w:tr>
        <w:trPr>
          <w:trHeight w:val="846"/>
        </w:trPr>
        <w:tc>
          <w:tcPr>
            <w:tcW w:w="4240" w:type="dxa"/>
            <w:vAlign w:val="bottom"/>
          </w:tcPr>
          <w:p>
            <w:pPr>
              <w:spacing w:after="0"/>
              <w:rPr>
                <w:sz w:val="24"/>
                <w:szCs w:val="24"/>
                <w:color w:val="auto"/>
              </w:rPr>
            </w:pPr>
          </w:p>
        </w:tc>
        <w:tc>
          <w:tcPr>
            <w:tcW w:w="500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vMerge w:val="restart"/>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rPr>
              <w:t>Discount rate</w:t>
            </w:r>
          </w:p>
        </w:tc>
        <w:tc>
          <w:tcPr>
            <w:tcW w:w="2320" w:type="dxa"/>
            <w:vAlign w:val="bottom"/>
            <w:shd w:val="clear" w:color="auto" w:fill="CFF0FC"/>
          </w:tcPr>
          <w:p>
            <w:pPr>
              <w:jc w:val="right"/>
              <w:ind w:right="842"/>
              <w:spacing w:after="0" w:line="191" w:lineRule="exact"/>
              <w:rPr>
                <w:sz w:val="20"/>
                <w:szCs w:val="20"/>
                <w:color w:val="auto"/>
              </w:rPr>
            </w:pPr>
            <w:r>
              <w:rPr>
                <w:rFonts w:ascii="Times New Roman" w:cs="Times New Roman" w:eastAsia="Times New Roman" w:hAnsi="Times New Roman"/>
                <w:sz w:val="18"/>
                <w:szCs w:val="18"/>
                <w:color w:val="auto"/>
              </w:rPr>
              <w:t>20.2%</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32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17.6% - 20.6%</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17.2% - 20.2%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judgment and estimation of factors which requires use of unobservable inputs.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12,880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8,654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41,867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36,938</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27,184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26,423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228,639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150,247</w:t>
            </w:r>
          </w:p>
        </w:tc>
      </w:tr>
      <w:tr>
        <w:trPr>
          <w:trHeight w:val="216"/>
        </w:trPr>
        <w:tc>
          <w:tcPr>
            <w:tcW w:w="5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Accrued royalties</w:t>
            </w:r>
            <w:r>
              <w:rPr>
                <w:rFonts w:ascii="Times New Roman" w:cs="Times New Roman" w:eastAsia="Times New Roman" w:hAnsi="Times New Roman"/>
                <w:sz w:val="24"/>
                <w:szCs w:val="24"/>
                <w:color w:val="auto"/>
                <w:vertAlign w:val="superscript"/>
              </w:rPr>
              <w:t>(a)</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5,552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2,545</w:t>
            </w: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331,756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232,853</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royalties due to a related party. See Note 18. Related Party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Alternative Credit Advisors LP and Blackstone Life Sciences Advisors L.L.C.</w:t>
      </w:r>
    </w:p>
    <w:p>
      <w:pPr>
        <w:spacing w:after="0" w:line="227"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Blackstone Loan Agreement (as defined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was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w:t>
      </w:r>
    </w:p>
    <w:p>
      <w:pPr>
        <w:spacing w:after="0" w:line="19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On June 26, 2026, the Company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the Company’s Permitted Indebtedness (as defined in the Blackstone Loan Agreement) was increased by $10.0 million, from $10.0 million to $20.0 million. As of September 30, 2026, there were $120.0 million and $70.0 million of outstanding principal amounts under the Term Loans and Revolver facilities, respectively. The Company had allowed the Term Loan commitment of $90.0 million, which remained available to the Company at its option until May 31, 2026, to expire undrawn. The remaining $90.0 million of Term Loan commitment is available to the Company at its option until May 31, 2027. As of September 30, 2026, $20.0 million remained available and undrawn under the Revolver, representing the difference between the $90.0 million of Revolving Credit Commitments and the outstanding balance thereunder. The outstanding balance under the Revolver was classified as short-term based on the Company’s intent and ability to repay this amount in the next twelve months, and included in short-term borrowings on the accompanying consolidated balance sheets. In October 2026, the Company repaid the entire outstanding balance as of September 30, 2026 under the Revolver.</w:t>
      </w:r>
    </w:p>
    <w:p>
      <w:pPr>
        <w:spacing w:after="0" w:line="190" w:lineRule="exact"/>
        <w:rPr>
          <w:sz w:val="20"/>
          <w:szCs w:val="20"/>
          <w:color w:val="auto"/>
        </w:rPr>
      </w:pPr>
    </w:p>
    <w:p>
      <w:pPr>
        <w:ind w:right="280" w:firstLine="749"/>
        <w:spacing w:after="0" w:line="257" w:lineRule="auto"/>
        <w:rPr>
          <w:sz w:val="20"/>
          <w:szCs w:val="20"/>
          <w:color w:val="auto"/>
        </w:rPr>
      </w:pPr>
      <w:r>
        <w:rPr>
          <w:rFonts w:ascii="Times New Roman" w:cs="Times New Roman" w:eastAsia="Times New Roman" w:hAnsi="Times New Roman"/>
          <w:sz w:val="18"/>
          <w:szCs w:val="18"/>
          <w:color w:val="auto"/>
        </w:rPr>
        <w:t>The Term Loans bear interest at a rate equal to the Term SOFR (“Secured Overnight Financing Rate”) plus a margin of 4.75%. The effective interest rate on the Term Loans was 9.58% for both the nine months ended September 30, 2026 and 2025. The Revolver bears interest at SOFR plus a margin of 4.00%. If an event of default occurs and is continuing, all amounts outstanding under the Blackstone Loan Agreement will bear an additional</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2.00% interest. The weighted-average interest rate on the Revolver was 8.07% and 7.67% as of September 30, 2026 and December 31, 2025, respectively. The Loans mature and the principal amount (including any interest and fees) must be repaid on May 8, 2030,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September 30, 2026, the remaining unamortized balance of deferred assets was $0.8 million.</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18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the Company, Antecip and Hercules Capital, Inc. (“Hercules”) that had been entered into in connection with the Hercules Loan Agreement, which terminated automatically upon repayment of the Hercules loan obligations in full on May 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 Loan and Security Agreement for a term loan with Hercules, a Maryland corporation, in its capacity as administrative agent and collateral agent, and as a lender, and the other financial institutions that from time to time act as lenders (the “Hercules Loan Agreement”, as amended).</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Borrowings under the Hercules Loan Agreement bore interest at a rate equal to: (a) if the prime rate was greater than or equal to 7.00%, the greater of either (i) the prime rate plus 2.20%, and (ii) 9.95%, but in no event greater than 10.70%, and (b) if the prime rate was less than 7.00%, 9.70%. In addition, the Company was required to pay certain end of term charges, including (A) an initial end of term charge of $4.45 million and (B) a subsequent end of term charge of (i) 1.10% of the aggregate amount of all Tranche 1A Advances (as defined in the Hercules Loan Agreement) plus (ii) 4.95% of the aggregate amount of all term loan advances (other than Tranche 1A Advances) funded minus (iii) any charges paid by the Borrower (as defined in the Hercules Loan Agreement) to Hercules related to partial prepayments of the outstanding Secured Obligations (as defined in the Hercules Loan Agreement). The end of term charges were accreted into interest expense using the effective interest rate method over the term of the loan. If certain maturity extension conditions were satisfied, the Company was required to pay an extension end of term charge equal to 1.00% of the aggregate amount of all Term Loan Advances (as defined in the Hercules Loan Agreement) outstanding as of the date on which the maturity extension conditions were satisfied, in addition to the end of term charges described above. The Company could, at its option, prepay the term loans in full or in part, subject to a prepayment penalty equal to</w:t>
      </w:r>
    </w:p>
    <w:p>
      <w:pPr>
        <w:spacing w:after="0" w:line="5" w:lineRule="exact"/>
        <w:rPr>
          <w:sz w:val="20"/>
          <w:szCs w:val="20"/>
          <w:color w:val="auto"/>
        </w:rPr>
      </w:pPr>
    </w:p>
    <w:p>
      <w:pPr>
        <w:ind w:firstLine="8"/>
        <w:spacing w:after="0" w:line="255"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Advance (as defined in the Hercules Loan Agreement) amount prepaid if the prepayment occurred prior to February 1, 2024, (ii) 1.5% of the Advance amount prepaid if the prepayment occurred on or after February 1, 2024 but prior to February 1, 2025, and (iii) 1.0% of the Advance amount prepaid if the prepayment occurred on or after February 1, 2025 but prior to February 1, 2026.</w:t>
      </w:r>
    </w:p>
    <w:p>
      <w:pPr>
        <w:spacing w:after="0" w:line="18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Debt issuance costs and the value of warrants issued in connection with the Hercules Loan Agreement were recorded as a debt discount and amortized to interest expense using the effective interest method over the expected term of the borrowing.</w:t>
      </w:r>
    </w:p>
    <w:p>
      <w:pPr>
        <w:spacing w:after="0" w:line="162"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On May 8, 2025, the Company repaid in full its obligations under the Hercules Loan Agreement using proceeds from the Blackstone Loan Agreement. Upon repayment, the Company recorded a loss on debt extinguishment of $10.4 million in the Company’s consolidated statement of operations. As of September 30, 2026, there are no outstanding obligations under the Hercules Loan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 long-term</w:t>
            </w:r>
          </w:p>
        </w:tc>
        <w:tc>
          <w:tcPr>
            <w:tcW w:w="2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118,069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117,746</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2,821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FF0FC"/>
          </w:tcPr>
          <w:p>
            <w:pPr>
              <w:spacing w:after="0"/>
              <w:rPr>
                <w:sz w:val="18"/>
                <w:szCs w:val="18"/>
                <w:color w:val="auto"/>
              </w:rPr>
            </w:pPr>
          </w:p>
        </w:tc>
      </w:tr>
      <w:tr>
        <w:trPr>
          <w:trHeight w:val="432"/>
        </w:trPr>
        <w:tc>
          <w:tcPr>
            <w:tcW w:w="834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long-term, as of September 30, 2026, are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5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bottom w:val="single" w:sz="8" w:color="auto"/>
            </w:tcBorders>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agreement (the “Sublease”) for the previous office space located at One World Trade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w:t>
      </w:r>
    </w:p>
    <w:p>
      <w:pPr>
        <w:spacing w:after="0" w:line="207"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17"/>
          <w:szCs w:val="17"/>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September 30, 2026 and December 31, 2025, the remaining lease term for the Company’s operating lease was 4.5 years and 5.3 years, respectively, and the discount rate was 7.12% as of each date.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nine months ended September 30, 2026, the Company recognized a right-of-use asset and lease liability, both, of $12.5 million in connection to this lease. As of September 30, 2026, right-of-use asset and lease liability related to the finance lease were $14.8 million and $14.7 million, respectively, and the weighted average remaining lease term was 2.8 years, with a weighted average discount rate of 9.26%. As of December 31, 2025, right-of-use asset and lease liability related to the finance lease were $6.6 million and $6.8 million, respectively, and the weighted average remaining lease term was 2.8 years, with a weighted average discount rate of 9.6%.</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2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3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1,261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4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September 30, 2026 were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24"/>
                <w:szCs w:val="24"/>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5,309</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(1,858)</w:t>
            </w:r>
          </w:p>
        </w:tc>
      </w:tr>
      <w:tr>
        <w:trPr>
          <w:trHeight w:val="250"/>
        </w:trPr>
        <w:tc>
          <w:tcPr>
            <w:tcW w:w="42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be involved in various claims, litigation and legal proceedings from time to time. On a quarterly basis, the Company reviews the status of each significant matter and assesses its potential financial exposure. Because of uncertainties related to claims, litigation and legal proceedings, accruals are based on the Company’s best estimates based on available information. The Company records accruals for outstanding legal matters if a matter is both probable to result in material liability and the amount of loss or a range of possible loss can be reasonably estimated. If a loss contingency is not both probable and reasonably estimable, the Company does not establish an accrued 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Derivative Action</w:t>
      </w:r>
    </w:p>
    <w:p>
      <w:pPr>
        <w:spacing w:after="0" w:line="22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On July 21, 2022, Daniel Engel filed a stockholder derivative complaint captioned </w:t>
      </w:r>
      <w:r>
        <w:rPr>
          <w:rFonts w:ascii="Times New Roman" w:cs="Times New Roman" w:eastAsia="Times New Roman" w:hAnsi="Times New Roman"/>
          <w:sz w:val="18"/>
          <w:szCs w:val="18"/>
          <w:i w:val="1"/>
          <w:iCs w:val="1"/>
          <w:color w:val="auto"/>
        </w:rPr>
        <w:t>Engel v. Herriot Tabuteau, et al.</w:t>
      </w:r>
      <w:r>
        <w:rPr>
          <w:rFonts w:ascii="Times New Roman" w:cs="Times New Roman" w:eastAsia="Times New Roman" w:hAnsi="Times New Roman"/>
          <w:sz w:val="18"/>
          <w:szCs w:val="18"/>
          <w:color w:val="auto"/>
        </w:rPr>
        <w:t xml:space="preserve"> in the SDNY District Court against the Company’s then-current directors, certain of the Company’s current and former officers, and the Company (as nominal defendant). On January 27, 2023, Kyle Guterba filed a stockholder derivative complaint captioned </w:t>
      </w:r>
      <w:r>
        <w:rPr>
          <w:rFonts w:ascii="Times New Roman" w:cs="Times New Roman" w:eastAsia="Times New Roman" w:hAnsi="Times New Roman"/>
          <w:sz w:val="18"/>
          <w:szCs w:val="18"/>
          <w:i w:val="1"/>
          <w:iCs w:val="1"/>
          <w:color w:val="auto"/>
        </w:rPr>
        <w:t>Guterba v. Tabuteau, et al.</w:t>
      </w:r>
      <w:r>
        <w:rPr>
          <w:rFonts w:ascii="Times New Roman" w:cs="Times New Roman" w:eastAsia="Times New Roman" w:hAnsi="Times New Roman"/>
          <w:sz w:val="18"/>
          <w:szCs w:val="18"/>
          <w:color w:val="auto"/>
        </w:rPr>
        <w:t xml:space="preserve"> in the SDNY District Court against the Company’s then-current directors, certain of the Company’s current and former officers, and the Company (as nominal defendant). The SDNY derivative complaints arise out of similar allegations as those made in a now-resolved securities class action relating to the Company’s AXS-07 product (the “Securities Class Action”). The plaintiffs assert claims for breach of fiduciary duties against all of the defendants and for contribution for violations of Sections 10(b) and 21D of the Exchange Act. The plaintiffs seek unspecified damages, fees, interest, and costs, as well as corporate governance changes. The Engel and Guterba matters were consolidated on February 28, 2023 and were stayed pending further proceedings in the Securities Class Action. On November 25, 2025, the plaintiffs filed an amended complaint. On February 13, 2026, the defendants moved to dismiss the amended complaint. On October 13, 2026, the Court granted defendants’ motion to dismiss without leave to amend. On October 16, 2026, the Clerk of Court entered judgment in favor of defendants and noted on the docket that the case is closed.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SYMBRAVO Paragraph IV Litigation</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On September 26, 2025, the Company commenced a patent infringement action against Apotex Inc. (“Apotex”) relating to Apotex’s ANDA for SYMBRAVO. This action is captioned </w:t>
      </w:r>
      <w:r>
        <w:rPr>
          <w:rFonts w:ascii="Times New Roman" w:cs="Times New Roman" w:eastAsia="Times New Roman" w:hAnsi="Times New Roman"/>
          <w:sz w:val="18"/>
          <w:szCs w:val="18"/>
          <w:i w:val="1"/>
          <w:iCs w:val="1"/>
          <w:color w:val="auto"/>
        </w:rPr>
        <w:t>Axsome Therapeutics, Inc. v. Apotex Inc.,</w:t>
      </w:r>
      <w:r>
        <w:rPr>
          <w:rFonts w:ascii="Times New Roman" w:cs="Times New Roman" w:eastAsia="Times New Roman" w:hAnsi="Times New Roman"/>
          <w:sz w:val="18"/>
          <w:szCs w:val="18"/>
          <w:color w:val="auto"/>
        </w:rPr>
        <w:t xml:space="preserve"> No. 1:25-cv-16038 in the NJ District Court. On March 10, 2026, Apotex filed a motion for judgment on the pleadings to dismiss certain of the asserted patents. The motion is fully briefed, but the Court has not yet ruled on Apotex’s motion. The action is currently in fact discovery.</w:t>
      </w:r>
    </w:p>
    <w:p>
      <w:pPr>
        <w:spacing w:after="0" w:line="180"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On August 31, 2026, the Company commenced a second patent infringement action against Apotex relating to Apotex’s ANDA for SYMBRAVO. This action is captioned </w:t>
      </w:r>
      <w:r>
        <w:rPr>
          <w:rFonts w:ascii="Times New Roman" w:cs="Times New Roman" w:eastAsia="Times New Roman" w:hAnsi="Times New Roman"/>
          <w:sz w:val="18"/>
          <w:szCs w:val="18"/>
          <w:i w:val="1"/>
          <w:iCs w:val="1"/>
          <w:color w:val="auto"/>
        </w:rPr>
        <w:t>Axsome Therapeutics, Inc. v. Apotex Inc</w:t>
      </w:r>
      <w:r>
        <w:rPr>
          <w:rFonts w:ascii="Times New Roman" w:cs="Times New Roman" w:eastAsia="Times New Roman" w:hAnsi="Times New Roman"/>
          <w:sz w:val="18"/>
          <w:szCs w:val="18"/>
          <w:color w:val="auto"/>
        </w:rPr>
        <w:t>., No. 2:26-cv-11266 in the NJ District Court. Apotex must answer or otherwise move by November 9, 2026.</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believes that its assertions in pending legal proceedings have merit and does not believe that any of these matters, individually or in the aggregate, will have a material adverse effect on its financial position. As of September 30, 2026, there were no potential material losses from claims, asserted or unasserted, or legal proceedings that the Company determined were both probable and reasonably estimable.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its common stock under its sales agreement, dated December 5, 2019.</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Under the March 2022 Sales Agreement, for the nine months ended September 30, 2026, the Company received approximately $19.8 million in gross proceeds through the sale of 90,446 shares, of which net proceeds were approximately $19.5 million under the March 2022 Sales Agreement. The Company did not utilize the March 2022 Sales Agreement with Leerink during the three months ended September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Securities Purchase Agreement</w:t>
      </w:r>
    </w:p>
    <w:p>
      <w:pPr>
        <w:spacing w:after="0" w:line="22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securities purchase agreement with Blackstone, and its affiliates, for the private placement (the “Private Placement”) of an aggregate of 140,000 shares of the Company’s common stock, at a purchase price of $107.14 per share. Gross proceeds from the Private Placement were approximately $15.0 million. The closing of the Private Placement occurred contemporaneously with the closing of the Blackstone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November 3, 2025, the Company filed an automatic shelf registration statement (File No. 333-291228) (the “2025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2025 Shelf Registration Statement allows for the potential future offer and sale by the Company, from time to time, in one or more public offerings of an unlimited amount of the Company’s common stock, preferred stock, warrants, rights,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October 2015, the Board adopted the 2015 Omnibus Incentive Compensation Plan, as amended from time to time (the “2015 Plan”) and the Company’s stockholders approved the 2015 Plan in November 2015. In April 2025, the Board adopted the Company’s 2025 Long-Term Incentive Plan (“2025 Plan”) and the Company’s stockholders approved the 2025 Plan in June 2025. The Company will make all future equity awards from the 2025 Plan and the Company does not intend to grant any future equity awards from the 2015 Plan. As of September 30, 2026, there were 2,022,667 shares available for future grant under the 2025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September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7,034,278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(1,322,905)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5,605,144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53.75</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732,273</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180" w:type="dxa"/>
            <w:vAlign w:val="bottom"/>
          </w:tcPr>
          <w:p>
            <w:pPr>
              <w:spacing w:after="0"/>
              <w:rPr>
                <w:sz w:val="17"/>
                <w:szCs w:val="17"/>
                <w:color w:val="auto"/>
              </w:rPr>
            </w:pPr>
          </w:p>
        </w:tc>
        <w:tc>
          <w:tcPr>
            <w:tcW w:w="130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5,605,144</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53.75</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732,273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September 30, 2026</w:t>
            </w:r>
          </w:p>
        </w:tc>
        <w:tc>
          <w:tcPr>
            <w:tcW w:w="2480" w:type="dxa"/>
            <w:vAlign w:val="bottom"/>
            <w:gridSpan w:val="2"/>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4,716,749</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47.09</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647,627</w:t>
            </w:r>
          </w:p>
        </w:tc>
        <w:tc>
          <w:tcPr>
            <w:tcW w:w="0" w:type="dxa"/>
            <w:vAlign w:val="bottom"/>
          </w:tcPr>
          <w:p>
            <w:pPr>
              <w:spacing w:after="0"/>
              <w:rPr>
                <w:sz w:val="1"/>
                <w:szCs w:val="1"/>
                <w:color w:val="auto"/>
              </w:rPr>
            </w:pPr>
          </w:p>
        </w:tc>
      </w:tr>
      <w:tr>
        <w:trPr>
          <w:trHeight w:val="845"/>
        </w:trPr>
        <w:tc>
          <w:tcPr>
            <w:tcW w:w="460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-1396365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-1379855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-1396365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-1379855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-1396365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-1379855</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-1070610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-1053465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-1070610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-1053465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-1070610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-1053465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option exercise history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$54.2 million of total unrecognized compensation cost related to unvested stock options which is expected to be recognized over a weighted average period of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September 30, 2026, total compensation cost not yet recognized related to nonvested RSUs was $149.7 million, which is expected to be recognized over a weighted-average period of 2.8 years. The intrinsic value of RSUs lapsed during the nine months ended September 30, 2026 was $39.5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nine months ended September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1,012,809</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(357,948)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1,319,268</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these PSUs is subject to achievement of specified performance goals, which include achieving revenue, clinical, and regulatory targets over a three-year performance period.</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April 2026, the Company granted an additional award of PSUs to its executive officers. Vesting of these PSUs is subject to achievement of specified performance goals, which include achieving revenue and commercialization targets over a three-year performance period.</w:t>
      </w:r>
    </w:p>
    <w:p>
      <w:pPr>
        <w:spacing w:after="0" w:line="162" w:lineRule="exact"/>
        <w:rPr>
          <w:sz w:val="20"/>
          <w:szCs w:val="20"/>
          <w:color w:val="auto"/>
        </w:rPr>
      </w:pPr>
    </w:p>
    <w:p>
      <w:pPr>
        <w:ind w:right="100" w:firstLine="794"/>
        <w:spacing w:after="0" w:line="261" w:lineRule="auto"/>
        <w:rPr>
          <w:sz w:val="20"/>
          <w:szCs w:val="20"/>
          <w:color w:val="auto"/>
        </w:rPr>
      </w:pPr>
      <w:r>
        <w:rPr>
          <w:rFonts w:ascii="Times New Roman" w:cs="Times New Roman" w:eastAsia="Times New Roman" w:hAnsi="Times New Roman"/>
          <w:sz w:val="18"/>
          <w:szCs w:val="18"/>
          <w:color w:val="auto"/>
        </w:rPr>
        <w:t>For both awards,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September 30, 2026, total compensation cost not yet recognized related to nonvested PSUs was $8.5 million, which is expected to be recognized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nine months ended September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third offering period pursuant to the ESPP on June 1, 2025, and such offering ended on May 31, 2026. The Company commenced the fourth offering period on June 1, 2026, which is scheduled to end on May 31, 2027.</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68,643 common shares have been purchased and issued pursuant to the ESPP, and $0.9 million and $2.1 million of expenses were recorded for the three and nine months ended September 30, 2026. During the nine months ended September 30, 2025, 59,607 common shares have been purchased and issued pursuant to the ESPP, and $0.7 million and $1.5 million of expenses were recorded for the three and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7,606</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6,807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22,248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20,207</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18,750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16,296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54,694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50,815</w:t>
            </w:r>
          </w:p>
        </w:tc>
      </w:tr>
      <w:tr>
        <w:trPr>
          <w:trHeight w:val="22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26,356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23,103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76,942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71,022</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$0.4 million and $1.4 million for the three and nine months ended September 30, 2026, respectively, and $0.3 million and $1.0 million for the three and nine months ended September 30, 2025, respectively. Capitalized stock-based compensation is recognized as an expense in cost of revenue when the related product is sold or in selling, general and administrative expense when the related product is dispensed as a physician sample.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nine months ended September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5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364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6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(50,796)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36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4040" w:type="dxa"/>
            <w:vAlign w:val="bottom"/>
          </w:tcPr>
          <w:p>
            <w:pPr>
              <w:spacing w:after="0"/>
              <w:rPr>
                <w:sz w:val="24"/>
                <w:szCs w:val="24"/>
                <w:color w:val="auto"/>
              </w:rPr>
            </w:pPr>
          </w:p>
        </w:tc>
        <w:tc>
          <w:tcPr>
            <w:tcW w:w="36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30</w:t>
            </w:r>
          </w:p>
        </w:tc>
        <w:tc>
          <w:tcPr>
            <w:tcW w:w="1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Third Amendment to the Hercules Loan Agreement, which the Company entered into in January 2023, Hercules received warrants to purchase an aggregate of 18,724 shares of the Company’s common stock at an exercise price of $73.43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pacing w:after="0" w:line="189" w:lineRule="exact"/>
        <w:rPr>
          <w:sz w:val="20"/>
          <w:szCs w:val="20"/>
          <w:color w:val="auto"/>
        </w:rPr>
      </w:pPr>
    </w:p>
    <w:p>
      <w:pPr>
        <w:jc w:val="both"/>
        <w:ind w:right="600" w:firstLine="749"/>
        <w:spacing w:after="0" w:line="266" w:lineRule="auto"/>
        <w:rPr>
          <w:sz w:val="20"/>
          <w:szCs w:val="20"/>
          <w:color w:val="auto"/>
        </w:rPr>
      </w:pPr>
      <w:r>
        <w:rPr>
          <w:rFonts w:ascii="Times New Roman" w:cs="Times New Roman" w:eastAsia="Times New Roman" w:hAnsi="Times New Roman"/>
          <w:sz w:val="18"/>
          <w:szCs w:val="18"/>
          <w:color w:val="auto"/>
        </w:rPr>
        <w:t>In the second quarter of 2026, Hercules exercised the 2020 warrants and the 2022 warrants on a cashless basis in accordance with the net issuance provisions of the warrants, resulting in the net issuance of 40,177 shares of the Company’s common stock. The Company received no cash proceeds in connection with the exercise. The 2023 warrants remained outstanding as of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(154,615)</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52,445,193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50,021,851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51,818,984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49,449,220</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3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20" w:type="dxa"/>
            <w:vAlign w:val="bottom"/>
            <w:tcBorders>
              <w:bottom w:val="single" w:sz="8" w:color="auto"/>
            </w:tcBorders>
          </w:tcPr>
          <w:p>
            <w:pPr>
              <w:jc w:val="right"/>
              <w:ind w:right="7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7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5,605,144</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7,587,618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1,961,038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1,495,986</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57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119,667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64,281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28,424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40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65,384</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83,477</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7,779,657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9,310,582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sells AUVELITY, SUNOSI, and SYMBRAVO in the United States through the Distributors. The Company also sells SUNOSI to Distributors in Canada and on a product supply basis to Pharmanovia. SUNOSI is subsequently sold by Pharmanovia in certain ex-U.S. markets. For the nine months ended September 30, 2026, the Company’s three largest customers represented approximately 39%, 27%, and 24% of the Company’s gross product sales.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Royalty revenue is related to the sales of SUNOSI by Pharmanovia in certain ex-U.S. markets. Milestone revenue consists of $8.5 million related to the achievement of a sales-based milestone under the Pharmanovia License Agreement recorded in the third quarter of 2026, $0.5 million related to the achievement of a developmental milestone for SUNOSI recorded in the second quarter of 2026, and $0.5 million related to the achievement of a regulatory milestone for AUVELITY recorded in the first quarter of 2026.</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AUVELITY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540,584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351,975</w:t>
            </w:r>
          </w:p>
        </w:tc>
        <w:tc>
          <w:tcPr>
            <w:tcW w:w="120" w:type="dxa"/>
            <w:vAlign w:val="bottom"/>
          </w:tcPr>
          <w:p>
            <w:pPr>
              <w:spacing w:after="0"/>
              <w:rPr>
                <w:sz w:val="18"/>
                <w:szCs w:val="18"/>
                <w:color w:val="auto"/>
              </w:rPr>
            </w:pPr>
          </w:p>
        </w:tc>
      </w:tr>
      <w:tr>
        <w:trPr>
          <w:trHeight w:val="216"/>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SUNOSI</w:t>
            </w: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84,645</w:t>
            </w:r>
          </w:p>
        </w:tc>
        <w:tc>
          <w:tcPr>
            <w:tcW w:w="120" w:type="dxa"/>
            <w:vAlign w:val="bottom"/>
            <w:shd w:val="clear" w:color="auto" w:fill="CFF0FC"/>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SYMBRAVO</w:t>
            </w:r>
          </w:p>
        </w:tc>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12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AUVELITY milestone revenue</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SUNOSI milestone revenue</w:t>
            </w: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SUNOSI royalty revenue</w:t>
            </w:r>
          </w:p>
        </w:tc>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tcPr>
          <w:p>
            <w:pPr>
              <w:spacing w:after="0"/>
              <w:rPr>
                <w:sz w:val="18"/>
                <w:szCs w:val="18"/>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669,269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120" w:type="dxa"/>
            <w:vAlign w:val="bottom"/>
            <w:shd w:val="clear" w:color="auto" w:fill="CFF0FC"/>
          </w:tcPr>
          <w:p>
            <w:pPr>
              <w:spacing w:after="0"/>
              <w:rPr>
                <w:sz w:val="19"/>
                <w:szCs w:val="19"/>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248,608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652,847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435,035</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669,269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-727710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-727710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-727710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product sales, net includes adjustments for provisions for product sales made in previous fiscal years resulting from changes in estimates of $1.2 million for AUVELITY, $2.4 million for SUNOSI, and $0.1 million for SYMBRAVO. For the nine months ended September 30, 2025, product sales, net includes adjustments for provisions for product sales made in previous fiscal years resulting from changes in estimates of $0.9 million for AUVELITY and $0.8 million for SUNOSI.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 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76" w:lineRule="exact"/>
        <w:rPr>
          <w:sz w:val="20"/>
          <w:szCs w:val="20"/>
          <w:color w:val="auto"/>
        </w:rPr>
      </w:pPr>
    </w:p>
    <w:p>
      <w:pPr>
        <w:ind w:right="2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was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$1.2 million and $1.2 million for the three months ended September 30, 2026 and 2025, respectively, and $4.0 million and $3.4 million for the nine months ended September 30, 2026 and 2025, respectively, related to Pharmanovia’s sales of SUNOSI. During the three months ended September 30, 2026, the Company recognized milestone revenue of $8.5 million related to the achievement of a sales-based milestone under the Pharmanovia License Agreement. No other development or sales-based milestones were recognized during the three and nine months ended September 30,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United States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nine months ended September 30, 2026 and 2025, no milestone payments or royalties were paid to Pfizer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The Company recorded royalty expense due to Antecip of $6.2 million and $4.1 million for the three months ended September 30, 2026 and 2025, respectively, and $16.1 million and $10.6 million for the nine months ended September 30, 2026 and 2025, respectively, which is equal to 3.0% of net sales of AUVELITY. This is considered to be a related party transaction.</w:t>
      </w:r>
    </w:p>
    <w:p>
      <w:pPr>
        <w:spacing w:after="0" w:line="19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the Company, Antecip and Hercules that had been entered into in connection with the Hercules Loan Agreement, which terminated automatically upon repayment of the Hercules loan obligations in full on May 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Acquisitions</w:t>
      </w:r>
    </w:p>
    <w:p>
      <w:pPr>
        <w:spacing w:after="0" w:line="229"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80"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acquisition of an asset, as substantially all the fair value of the assets acquired were concentrated in balipodect. The Company recorded a charge of $10.4 million in research and development expense, inclusive of the upfront payment and direct transaction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Royalty Agreements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$162.5 million based on revenue milestones and $1.0 million based on development milestones. During the three and nine months ended September 30, 2026 and 2025, no milestone payments were made to SK or Aerial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(12,789)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(47,229)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(128,517)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(155,575)</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111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recorded a tax expense of $0.1 million and $0.2 million for the three and nine months ended September 30, 2026, respectively. The tax expense is primarily related to unfavorable return-to-provision adjustments attributable to certain foreign tax returns filed during June 2026. The Company did not record a tax expense or benefit for the three months ended September 30, 2025. The Company recorded a tax benefit for the nine months ended September 30, 2025 of $1.0 million due to favorable return-to-provision adjustments attributable to certain foreign tax returns filed during July 2025 that was recorded as a discrete income tax benefit in the second quarter of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September 30, 2026 related to uncertain tax positions that would impact the effective income tax rate if recognized.</w:t>
      </w:r>
    </w:p>
    <w:p>
      <w:pPr>
        <w:spacing w:after="0" w:line="16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2026, the IRS completed its examination of the Company’s U.S. federal income tax returns for the 2021 tax year. The IRS made adjustments to the Company’s R&amp;D and Orphan Drug tax credit carryforwards, however these adjustments did not have a material impact on the Company’s consolidated financial statements because the tax credits were fully offset by the valuation allowance.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 The Company is currently under examination by the Canada Revenue Agency for the Company’s 2024 and 2025 Canadian income tax returns.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due to Antecip of $6.2 million and $4.1 million for the three months ended September 30, 2026 and 2025, respectively, and $16.1 million and $10.6 million for the nine months ended September 30, 2026 and 2025, respectively, which equal 3.0% of net sales of AUVELITY for those respective periods. As of September 30, 2026 and December 31, 2025, accrued royalties included $11.5 million and $4.7 million, respectively, due to Antecip.</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5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259,691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170,992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669,269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442,497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100" w:type="dxa"/>
            <w:vAlign w:val="bottom"/>
            <w:shd w:val="clear" w:color="auto" w:fill="CFF0FC"/>
          </w:tcPr>
          <w:p>
            <w:pPr>
              <w:spacing w:after="0"/>
              <w:rPr>
                <w:sz w:val="18"/>
                <w:szCs w:val="18"/>
                <w:color w:val="auto"/>
              </w:rPr>
            </w:pPr>
          </w:p>
        </w:tc>
      </w:tr>
      <w:tr>
        <w:trPr>
          <w:trHeight w:val="198"/>
        </w:trPr>
        <w:tc>
          <w:tcPr>
            <w:tcW w:w="5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 (excluding stock-based compensation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Solriamfetol</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AXS-05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AXS-07</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AXS-12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AXS-14</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00" w:type="dxa"/>
            <w:vAlign w:val="bottom"/>
          </w:tcPr>
          <w:p>
            <w:pPr>
              <w:spacing w:after="0"/>
              <w:rPr>
                <w:sz w:val="18"/>
                <w:szCs w:val="18"/>
                <w:color w:val="auto"/>
              </w:rPr>
            </w:pPr>
          </w:p>
        </w:tc>
      </w:tr>
      <w:tr>
        <w:trPr>
          <w:trHeight w:val="198"/>
        </w:trPr>
        <w:tc>
          <w:tcPr>
            <w:tcW w:w="578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 (excluding stock-based compensation</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100" w:type="dxa"/>
            <w:vAlign w:val="bottom"/>
            <w:shd w:val="clear" w:color="auto" w:fill="CFF0FC"/>
          </w:tcPr>
          <w:p>
            <w:pPr>
              <w:spacing w:after="0"/>
              <w:rPr>
                <w:sz w:val="20"/>
                <w:szCs w:val="20"/>
                <w:color w:val="auto"/>
              </w:rPr>
            </w:pPr>
          </w:p>
        </w:tc>
      </w:tr>
      <w:tr>
        <w:trPr>
          <w:trHeight w:val="198"/>
        </w:trPr>
        <w:tc>
          <w:tcPr>
            <w:tcW w:w="5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Selling and marketing expense (excluding stock-based compensation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305,864</w:t>
            </w:r>
          </w:p>
        </w:tc>
        <w:tc>
          <w:tcPr>
            <w:tcW w:w="100" w:type="dxa"/>
            <w:vAlign w:val="bottom"/>
          </w:tcPr>
          <w:p>
            <w:pPr>
              <w:spacing w:after="0"/>
              <w:rPr>
                <w:sz w:val="20"/>
                <w:szCs w:val="20"/>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(12,877)</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(128,733)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(154,615)</w:t>
            </w:r>
          </w:p>
        </w:tc>
      </w:tr>
      <w:tr>
        <w:trPr>
          <w:trHeight w:val="210"/>
        </w:trPr>
        <w:tc>
          <w:tcPr>
            <w:tcW w:w="57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(12,877)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(128,733)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(154,615)</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-590550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-590550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-590550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research and development expenses primarily consist of facilities charges, third party consultant costs, costs related to other product candidates, costs related to asset acquisitions, and other unallocated costs.</w:t>
      </w:r>
    </w:p>
    <w:p>
      <w:pPr>
        <w:spacing w:after="0" w:line="11" w:lineRule="exact"/>
        <w:rPr>
          <w:rFonts w:ascii="Times New Roman" w:cs="Times New Roman" w:eastAsia="Times New Roman" w:hAnsi="Times New Roman"/>
          <w:sz w:val="12"/>
          <w:szCs w:val="12"/>
          <w:color w:val="auto"/>
        </w:rPr>
      </w:pPr>
    </w:p>
    <w:p>
      <w:pPr>
        <w:ind w:left="300" w:right="40" w:hanging="292"/>
        <w:spacing w:after="0" w:line="216" w:lineRule="auto"/>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net of $1,721 for the three months ended September 30, 2026 comprises (i) consolidated interest expense of $3,415 and (ii) consolidated interest income of $1,694. Interest expense, net of $4,446 for the nine months ended September 30, 2026 comprises (i) consolidated interest expense of $9,707 and (ii) consolidated interest income of $5,261. Interest expense, net of $1,120 for the three months ended September 30, 2025 comprises (i) consolidated interest expense of $3,375 and (ii) consolidated interest income of $2,255. Interest expense, net of $5,385 for the nine months ended September 30, 2025 comprises (i) consolidated interest expense of $12,719 and (ii) consolidated interest income of $7,334.</w:t>
      </w:r>
    </w:p>
    <w:p>
      <w:pPr>
        <w:spacing w:after="0" w:line="1" w:lineRule="exact"/>
        <w:rPr>
          <w:rFonts w:ascii="Times New Roman" w:cs="Times New Roman" w:eastAsia="Times New Roman" w:hAnsi="Times New Roman"/>
          <w:sz w:val="13"/>
          <w:szCs w:val="13"/>
          <w:color w:val="auto"/>
        </w:rPr>
      </w:pPr>
    </w:p>
    <w:p>
      <w:pPr>
        <w:ind w:left="300" w:hanging="292"/>
        <w:spacing w:after="0"/>
        <w:tabs>
          <w:tab w:leader="none" w:pos="3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loss on debt extinguishment, and other miscellaneous items.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further details on the products from which the Company derives its revenues.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13. Revenues for details of revenue from external customers by geography.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2025 which was filed with the U.S. Securities and Exchange Commission, or SEC, on February 23, 2026</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medicines for people living with central nervous system (“CNS”) conditions. Our operations are primarily directed toward the commercialization of our marketed products,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the advancement of our pipeline of novel product candidates.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commercial products are our primary sources of revenue and are expected to be key contributors to future revenue growth.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AUVELITY</w:t>
      </w:r>
      <w:r>
        <w:rPr>
          <w:rFonts w:ascii="Times New Roman" w:cs="Times New Roman" w:eastAsia="Times New Roman" w:hAnsi="Times New Roman"/>
          <w:sz w:val="24"/>
          <w:szCs w:val="24"/>
          <w:b w:val="1"/>
          <w:bCs w:val="1"/>
          <w:i w:val="1"/>
          <w:iCs w:val="1"/>
          <w:color w:val="auto"/>
          <w:vertAlign w:val="superscript"/>
        </w:rPr>
        <w:t>®</w:t>
      </w:r>
    </w:p>
    <w:p>
      <w:pPr>
        <w:spacing w:after="0" w:line="16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AUVELITY (dextromethorphan and bupropion) was developed by Axsome and approved by the FDA in August 2022 for the treatment of MDD (as defined below) in adults. We launched AUVELITY in the U.S. in October 2022 as the first and only oral, N-methyl-D-aspartate (NMDA) receptor antagonist approved for MDD in adults and the only oral antidepressant with rapid-acting efficacy reflected in the FDA label. In April 2026, the FDA approved AUVELITY for the treatment of agitation associated with dementia due to Alzheimer’s disease (ADA). We initiated the commercial launch of AUVELITY for the treatment of ADA in June 2026. AUVELITY utilizes a proprietary formulation and dose of dextromethorphan and bupropion, and Axsome’s metabolic inhibition technology, to modulate the delivery of the components.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SUNOSI</w:t>
      </w:r>
      <w:r>
        <w:rPr>
          <w:rFonts w:ascii="Times New Roman" w:cs="Times New Roman" w:eastAsia="Times New Roman" w:hAnsi="Times New Roman"/>
          <w:sz w:val="24"/>
          <w:szCs w:val="24"/>
          <w:b w:val="1"/>
          <w:bCs w:val="1"/>
          <w:i w:val="1"/>
          <w:iCs w:val="1"/>
          <w:color w:val="auto"/>
          <w:vertAlign w:val="superscript"/>
        </w:rPr>
        <w:t>®</w:t>
      </w:r>
    </w:p>
    <w:p>
      <w:pPr>
        <w:spacing w:after="0" w:line="16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SUNOSI (solriamfetol) is a novel, oral, dopamine and norepinephrine reuptake inhibitor (DNRI), trace amine-associated receptor 1 (TAAR1) agonist, and 5-HT1A agonist approved in the United States, the European Union, and Canada for the treatment of excessive daytime sleepiness, or EDS, in adult patients with obstructive sleep apnea or narcolepsy.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Approximately 22 million adults and 185,000 people in the U.S. are affected by obstructive sleep apnea and narcolepsy, respectively.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SYMBRAVO</w:t>
      </w:r>
      <w:r>
        <w:rPr>
          <w:rFonts w:ascii="Times New Roman" w:cs="Times New Roman" w:eastAsia="Times New Roman" w:hAnsi="Times New Roman"/>
          <w:sz w:val="24"/>
          <w:szCs w:val="24"/>
          <w:b w:val="1"/>
          <w:bCs w:val="1"/>
          <w:i w:val="1"/>
          <w:iCs w:val="1"/>
          <w:color w:val="auto"/>
          <w:vertAlign w:val="superscript"/>
        </w:rPr>
        <w:t>®</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is a novel, oral, rapidly absorbed, multi-mechanistic, selective COX-2 inhibitor and 5-</w:t>
      </w:r>
    </w:p>
    <w:p>
      <w:pPr>
        <w:spacing w:after="0"/>
        <w:rPr>
          <w:sz w:val="20"/>
          <w:szCs w:val="20"/>
          <w:color w:val="auto"/>
        </w:rPr>
      </w:pPr>
      <w:r>
        <w:rPr>
          <w:rFonts w:ascii="Times New Roman" w:cs="Times New Roman" w:eastAsia="Times New Roman" w:hAnsi="Times New Roman"/>
          <w:sz w:val="18"/>
          <w:szCs w:val="18"/>
          <w:color w:val="auto"/>
        </w:rPr>
        <w:t>HT1B/1D agonist that was developed by us and approved by the FDA in January 2025 for the acute treatment of migraine with or without aura in adults.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launched SYMBRAVO in the U.S. in June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advancing a diversified CNS pipeline of potentially transformative medicines for serious neurological and psychiatric conditions. As part of our ongoing research and development activities, we have and will continue to allocate significant resources to support the development of our product candidates.</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smoking cessation. AXS-05 utilizes a proprietary formulation and dose of dextromethorphan and bupropion, and Axsome’s metabolic inhibition technology, to modulate the delivery of the components. In August 2026, we initiated the SUMMIT trial, a Phase 3 randomized, double-blind, active- and placebo-controlled, multicenter trial to assess the efficacy and safety of AXS-05 as a smoking cessation treatment in adults.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Solriamfetol is a novel, oral, investigational DNRI, TAAR1 agonist, and 5-HT1A agonist being developed for the treatment of attention deficit hyperactivity disorder (“ADHD”), binge eating disorder (“BED”), major depressive disorder (“MDD”) with EDS symptoms, and excessive sleepiness associated with shift work disorder (“SWD”). In March 2025, we announced positive topline results from the FOCUS Phase 3 trial of solriamfetol in ADHD in adults. We recently announced the initiations of the FOCUS-2 and FOCUS-3 studies, Phase 3, randomized, double-blind, placebo-controlled, multicenter trials evaluating the efficacy and safety of solriamfetol in children and adolescents with ADHD, respectively. In February 2026, we initiated the CLARITY study, a Phase 3, double-blind, placebo-controlled, multicenter randomized withdrawal trial of solriamfetol in patients with MDD with EDS symptoms. Enrollments for the ENGAGE and SUSTAIN Phase 3 trials of solriamfetol in BED and SWD, respectively, are ongoing.</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We have completed three positive Phase 2 and Phase 3, placebo-controlled efficacy trials and a long-term safety trial. In July 2026, the FDA accepted for filing our New Drug Application (NDA) for AXS-12 for the treatment of cataplexy in narcolepsy. The FDA has set a Prescription Drug User Fee Act (PDUFA) target action date of May 1, 2027. AXS-12 was previously granted FDA Orphan Drug Designation for narcolepsy.</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The efficacy and safety of AXS-14 have previously been demonstrated in completed, positive Phase 2 and Phase 3 clinical trials. In January 2026, we initiated the FORWARD study, a Phase 3, double-blind, placebo-controlled, multicenter, randomized withdrawal trial of AXS-14 in patients with fibromyalgia.</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AXS-17 is a novel, oral, investigational GABAA α2,3 receptor positive allosteric modulator that we acquired in November 2025. We plan to evaluate AXS-17 as a potential treatment for epilepsy.</w:t>
      </w:r>
    </w:p>
    <w:p>
      <w:pPr>
        <w:spacing w:after="0" w:line="16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AXS-20 is a novel, oral, investigational phosphodiesterase 10A (PDE10A) inhibitor that we acquired from Takeda in the first quarter of 2026. AXS-20 has completed a proof-of-concept Phase 2 trial in 164 patients with schizophrenia and has demonstrated a favorable safety and tolerability profile in clinical studies in over 360 individuals to date. We plan to evaluate AXS-20 as a potential treatment for schizophrenia and Tourette syndrome.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AUVELITY, SUNOSI, and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jc w:val="both"/>
        <w:ind w:right="560" w:firstLine="749"/>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The revenue we have generated, and anticipate to continue to generate, from the commercial sales of AUVELITY, SUNOSI, and SYMBRAVO, is expected to be an important contributor to our progress toward profitability.</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$128.7 million and $154.6 million for the nine months ended September 30, 2026 and 2025, respectively. Our accumulated deficit as of September 30, 2026 was $1,434.7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We generated total revenues of $259.7 million and $171.0 million in the three months ended September 30, 2026 and 2025, respectively, and $669.3 million and $442.5 million in the nine months ended September 30, 2026 and 2025, respectively.</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Additionally, in the first quarter of 2026, we recorded milestone revenue of $0.5 million related to the achievement of a regulatory milestone for AUVELITY; in the second quarter of 2026, we recorded milestone revenue of $0.5 million related to the achievement of a developmental milestone for SUNOSI; and in the third quarter of 2026, we recorded milestone revenue of $8.5 million related to the achievement of a sales-based milestone under the Pharmanovia License Agreement.</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Licensed Territory. Pharmanovia is a UK-based global life cycle management healthcare company that focuses on four core therapeutic areas – Oncology, Endocrinology, Neurology and Cardiovascular.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eligible to receive sales-based and other milestone payments totaling up to €94.5 million. We will receive a royalty percentage in the mid-twenties on net sales of the Licensed Products (as defined in the Pharmanovia License Agreement) in the Licensed Territory. We recognized royalty revenue of $1.2 million and $1.2 million for the three months ended September 30, 2026 and 2025, respectively, and $4.0 million and $3.4 million for the nine months ended September 30, 2026 and 2025, respectively, related to Pharmanovia’s sales of SUNOSI. During the three months ended September 30, 2026, we recognized milestone revenue of $8.5 million related to the achievement of a sales-based milestone under the Pharmanovia License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Cost of revenue (excluding depreciation and amortization) includes direct costs of formulating, manufacturing and packaging drug product, overhead costs consisting of labor, customs, stock-based compensation, shipping, outside inventory management, royalty expense, and other miscellaneous operating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 In addition, research and development costs also include costs related to asset acquisitions involving clinical development programs that have not yet received regulatory approval.</w:t>
      </w:r>
    </w:p>
    <w:p>
      <w:pPr>
        <w:spacing w:after="0" w:line="20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8"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 contingent consideration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in the period the change is recognized. We estimate the fair value of the contingent consideration as of the acquisition date and reporting periods thereafter using the estimated future cash outflows based on future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7" w:lineRule="exact"/>
        <w:rPr>
          <w:sz w:val="20"/>
          <w:szCs w:val="20"/>
          <w:color w:val="auto"/>
        </w:rPr>
      </w:pPr>
    </w:p>
    <w:p>
      <w:pPr>
        <w:jc w:val="both"/>
        <w:ind w:right="64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disclosed in our 2025 Annual Report on Form 10-K. Our critical accounting policies are described in the notes to the consolidated financial statements appearing elsewhere in this Quarterly Report on Form 10-Q.</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 except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249,951</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169,784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655,706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439,101</w:t>
            </w: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9,740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13,563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3,396</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259,691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170,992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669,269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442,497</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35,149</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50,617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40,162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149,521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134,488</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203,111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150,235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596,244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401,302</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13,185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6,595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4,768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4,768</w:t>
            </w:r>
          </w:p>
        </w:tc>
      </w:tr>
      <w:tr>
        <w:trPr>
          <w:trHeight w:val="20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270,759</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217,101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793,340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582,302</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(139,805)</w:t>
            </w: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(128,517)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(154,615)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(3.13)</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52,445,193</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50,021,851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51,818,984</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49,449,220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-2322195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-2322195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-2322195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-1199515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-1199515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-1199515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-351155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-334010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-351155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-334010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-351155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-334010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$207.6 million and $540.6 million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$136.1 million and $352.0 million for the same periods in 2025. SUNOSI net sales were $38.5 million and $104.9 million for the three and nine months ended September 30, 2026, respectively, as compared to $31.6 million and $84.6 million for the same periods in 2025. We began commercial sales of SYMBRAVO in June 2025 and had U.S. net sales of $3.9 million and $10.2 million for the three and nine months ended September 30, 2026, respectively, as compared to $2.1 million and $2.5 million for the three and nine months ended September 30, 2025. The increases in product sales were primarily due to the increase in unit sales volume for AUVELITY, SUNOSI, and SYMBRAVO.</w:t>
      </w:r>
    </w:p>
    <w:p>
      <w:pPr>
        <w:spacing w:after="0" w:line="184"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nine months ended September 30, 2026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105,003</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(360,924)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(142,277)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(71,749)</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(574,950)</w:t>
            </w:r>
          </w:p>
        </w:tc>
        <w:tc>
          <w:tcPr>
            <w:tcW w:w="0" w:type="dxa"/>
            <w:vAlign w:val="bottom"/>
          </w:tcPr>
          <w:p>
            <w:pPr>
              <w:spacing w:after="0"/>
              <w:rPr>
                <w:sz w:val="1"/>
                <w:szCs w:val="1"/>
                <w:color w:val="auto"/>
              </w:rPr>
            </w:pPr>
          </w:p>
        </w:tc>
      </w:tr>
      <w:tr>
        <w:trPr>
          <w:trHeight w:val="210"/>
        </w:trPr>
        <w:tc>
          <w:tcPr>
            <w:tcW w:w="3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9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134,254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94,126</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256,823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Royalty revenue and milestone revenue. </w:t>
      </w:r>
      <w:r>
        <w:rPr>
          <w:rFonts w:ascii="Times New Roman" w:cs="Times New Roman" w:eastAsia="Times New Roman" w:hAnsi="Times New Roman"/>
          <w:sz w:val="18"/>
          <w:szCs w:val="18"/>
          <w:color w:val="auto"/>
        </w:rPr>
        <w:t>Royalty revenue was $1.2 million and $4.0 million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respectively, as compared to $1.2 million and $3.4 million for the same periods in 2025, attributable to Pharmanovia sales of SUNOSI in the out-licensed markets. The increase was in line with the increase in unit sales volume of SUNOSI in certain ex-U.S. markets. Further, we recognized milestone revenue of $8.5 million related to a sales-based milestone under the Pharmanovia License Agreement in the third quarter of 2026, $0.5 million related to a developmental milestone for SUNOSI in the second quarter of 2026, and $0.5 million related to a regulatory milestone for AUVELITY in the first quarter of 2026.</w:t>
      </w:r>
    </w:p>
    <w:p>
      <w:pPr>
        <w:spacing w:after="0" w:line="182"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$17.8 million and $46.1 million for the three and nine months ended September 30, 2026, respectively,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$11.9 million and $35.1 million for the same periods in 2025. The increases in both comparable periods were in line with the increase in sales of AUVELITY and SUNOSI, the commercial launch of AUVELITY for the treatment of ADA in June 2026, and the commercial launch of SYMBRAVO in June 2025.</w:t>
      </w:r>
    </w:p>
    <w:p>
      <w:pPr>
        <w:spacing w:after="0" w:line="180"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2026 and 2025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Solriamfetol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16,471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9,518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41,099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32,094</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AXS-05</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35,369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42,896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AXS-07</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4,793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4,825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14,847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15,379</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AXS-12</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6,019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AXS-14</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9,742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14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11,942</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7,606</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6,807</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22,248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20,207</w:t>
            </w: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50,617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40,162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149,521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134,488</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5" w:lineRule="exact"/>
        <w:rPr>
          <w:sz w:val="20"/>
          <w:szCs w:val="20"/>
          <w:color w:val="auto"/>
        </w:rPr>
      </w:pPr>
    </w:p>
    <w:p>
      <w:pPr>
        <w:ind w:right="180" w:firstLine="8"/>
        <w:spacing w:after="0" w:line="261"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research and development expenses primarily consist of facilities charges, third party consultant costs, costs related to other product candidates, costs related to asset acquisitions, and other unallocated costs.</w:t>
      </w:r>
    </w:p>
    <w:p>
      <w:pPr>
        <w:spacing w:after="0" w:line="16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$10.4 million and $15.0 million for the three and nine months ended September 30, 2026, respectively, as compared to the same periods in 2025. The increase for the three-month period was primarily due to higher spending on solriamfetol and AXS-14. The increase for the nine-month period was primarily due to asset acquisition costs related to AXS-20 and higher spending on solriamfetol and AXS-14, which were partially offset by lower spending on AXS-05, driven by the timing of clinical study activities. We expect research and development costs to moderately increase as our recently started clinical trials further enroll.</w:t>
      </w:r>
    </w:p>
    <w:p>
      <w:pPr>
        <w:spacing w:after="0" w:line="181"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$203.1 million and $596.2 million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respectively, as compared to $150.2 million and $401.3 million for the same periods in 2025. The increases in both comparable periods were primarily related to the launch of AUVELITY for the treatment of ADA, higher commercial activities for AUVELITY including a national direct-to-consumer advertising campaign and sales force expansion, commercial activities for SYMBRAVO which was launched in June 2025, and higher personnel costs related to organizational growth. We anticipate SG&amp;A expenses to marginally increase through the end of 2026 as we continue commercial activities for AUVELITY and SYMBRAVO.</w:t>
      </w:r>
    </w:p>
    <w:p>
      <w:pPr>
        <w:spacing w:after="0" w:line="182"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(Gain) in Fair Value of Contingent Consideration. </w:t>
      </w:r>
      <w:r>
        <w:rPr>
          <w:rFonts w:ascii="Times New Roman" w:cs="Times New Roman" w:eastAsia="Times New Roman" w:hAnsi="Times New Roman"/>
          <w:sz w:val="18"/>
          <w:szCs w:val="18"/>
          <w:color w:val="auto"/>
        </w:rPr>
        <w:t>The $2.4 million and $3.3 million changes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respectively, as compared to $13.2 million and $6.6 million changes for the same periods in 2025, were primarily related to changes in significant assumptions, including future sales estimates, and significant unobservable inputs, including discount rates.</w:t>
      </w:r>
    </w:p>
    <w:p>
      <w:pPr>
        <w:spacing w:after="0" w:line="173" w:lineRule="exact"/>
        <w:rPr>
          <w:sz w:val="20"/>
          <w:szCs w:val="20"/>
          <w:color w:val="auto"/>
        </w:rPr>
      </w:pPr>
    </w:p>
    <w:p>
      <w:pPr>
        <w:ind w:right="1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 amortization was $1.6 million for both the three months ended September 30, 2026 and 2025 and $4.8 million for both the nine months ended September 30, 2026 and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$1.7 million and $4.4 million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$1.1 million and $5.4 million for the same periods in 2025. The increase for the three-month period was primarily due to less interest income from lower interest rates. The decrease for the nine-month period was primarily due to lower interest expense from the Blackstone Loan Agreement, which was partially offset by less interest income from lower interest rates.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We recorded an income tax expense of $0.1 million and $0.2 million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respectively, due to unfavorable return-to-provision adjustments attributable to certain foreign tax returns filed during the period. We did not record an income tax expense or benefit for the three months ended September 30, 2025. We recorded a tax benefit of $1.0 million for the nine months ended September 30, 2025 due to favorable return-to-provision adjustments attributable to certain foreign tax returns filed during July 2025 that were recorded as a discrete tax benefit in the second quarter of 2025.</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$12.9 million and $128.7 million for the three and nine months ended September 30, 2026, respectively,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$47.2 million and $154.6 million for the same periods in 2025. The decrease was primarily due to higher total revenues from AUVELITY, SUNOSI, and SYMBRAVO. This was partially offset by higher selling, general and administrative expenses from commercial activities for AUVELITY, including a national direct-to-consumer advertising campaign and sales force expansion, commercial activities for SYMBRAVO, and higher personnel costs related to organizational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September 30, 2026, we have financed our operations primarily through proceeds from equity offerings, debt borrowings, and proceeds from product sales. See discussion below.</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March 2022, we entered into a sales agreement with Leerink, or the March 2022 Sales Agreement with Leerink, and filed a prospectus supplement. The March 2022 Sales Agreement supersedes the sales agreement, dated December 5, 2019, by and between us and Leerink. We exhausted sales of shares of our common stock under our sales agreement, dated December 5, 2019.</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Under the March 2022 Sales Agreement, for the nine months ended September 30, 2026, we received approximately $19.8 million in gross proceeds through the sale of 90,446 shares, of which net proceeds were approximately $19.5 million. We did not utilize the March 2022 Sales Agreement with Leerink during the three months ended September 30, 2026.</w:t>
      </w:r>
    </w:p>
    <w:p>
      <w:pPr>
        <w:spacing w:after="0" w:line="3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agreement with Advance Magazine Publishers d/b/a Conde Nast for the entirety of the twenty-second floor of One World Trade Center in New York, NY, or the Sublease.</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the First Amendment, pursuant to which we relinquished our then existing space in One World Trade Center and commenced occupancy of different space within the building. This space is utilized as our corporate and executive offices. The First Amendment extends the Sublease expiration date to January 31, 2036. We now have a one-time option to terminate the Sublease effective March 30, 2031 upon the payment of a fee to the sublandlord. We are responsible for base rent under the Sublease and certain additional customary variable costs, such as an allocable portion of building taxes and operating expenses. In connection with the Sublease and First Amendment, we received certain rent and work concessions from the sublandlord.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94"/>
        <w:spacing w:after="0" w:line="266" w:lineRule="auto"/>
        <w:rPr>
          <w:sz w:val="20"/>
          <w:szCs w:val="20"/>
          <w:color w:val="auto"/>
        </w:rPr>
      </w:pPr>
      <w:r>
        <w:rPr>
          <w:rFonts w:ascii="Times New Roman" w:cs="Times New Roman" w:eastAsia="Times New Roman" w:hAnsi="Times New Roman"/>
          <w:sz w:val="18"/>
          <w:szCs w:val="18"/>
          <w:color w:val="auto"/>
        </w:rPr>
        <w:t>We entered into a fleet lease program in the first quarter of 2024. The lease agreement includes an initial 12-month noncancelable period with monthly renewal options thereafter. Lease terms range from approximately 40 to 50 months and are classified as finance leases. See Note 9. Commitments and Contingencies for further information on future contractual obligations.</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As described below in the “Loan Agreement with Blackstone” section, on May 8, 2025, we entered into the Blackstone Loan Agreement with Blackstone, certain subsidiaries of the Company party thereto as guarantors, Wilmington Trust, and the Lenders. The Blackstone Loan Agreement provides for Loans in an aggregate principal amount of up to $570.0 million. Further, we entered into a securities purchase agreement with Blackstone, and its affiliates, for the private placement (the “Private Placement”) of an aggregate of 140,000 shares of our common stock, at a purchase price of $107.14 per share. Gross proceeds from the Private Placement were approximately $15.0 million. The closing of the Private Placement occurred contemporaneously with the closing of the Blackstone Loan Agreement.</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September 30, 2026, there are no outstanding obligations under the Hercules Loan Agreement.</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7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(63,121)</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(74,752)</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54,815</w:t>
            </w: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85,080</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7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9,919</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ind w:right="2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nine months ended September 30, 2026 was $63.1 million, as compared to $74.8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2025. The decrease of $11.7 million was primarily due to higher net product revenues from AUVELITY, SUNOSI, and SYMBRAVO, which was partially offset by increased cash used for commercial and clinical-related activities.</w:t>
      </w:r>
    </w:p>
    <w:p>
      <w:pPr>
        <w:spacing w:after="0" w:line="173"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nine months ended September 30, 2026 was $768 thousand, as compared to $409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same period in 2025. The increase was due to higher purchases of equipment in the current year to support increased headcount.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$54.8 million for the nine months ended September 30, 2026,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proceeds of $62.0 million from the issuance of common stock upon the exercise of employee stock options and under the ESPP as well as net proceeds of $19.5 million from issuance of common stock for financing purposes, which was partially offset by payments of contingent consideration and tax withholdings on stock awards, for a total of $23.4 million. Financing activities also include $210.0 million in gross proceeds from the Blackstone revolving credit facilities and $210.0 million in repayments for the Blackstone revolving credit facilities. Cash provided by financing activities was $85.1 million for the nine months ended September 30, 2025, which included net proceeds of $256.4 million from draw-downs related to the Blackstone Loans and net proceeds of $61.1 million from issuance of common stock for financing purposes as well as proceeds of $44.2 million from the issuance of common stock upon the exercise of employee stock options and under the ESPP, which was partially offset by the repayment of the Hercules Loan and revolving loan commitments under the Blackstone Loan Agreement, for a total of $262.0 million, and payments of contingent consideration and tax withholdings on stock awards, for a total of $13.1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6"/>
          <w:szCs w:val="16"/>
          <w:color w:val="auto"/>
        </w:rPr>
      </w:pPr>
    </w:p>
    <w:p>
      <w:pPr>
        <w:ind w:left="760" w:right="400" w:hanging="378"/>
        <w:spacing w:after="0" w:line="282" w:lineRule="auto"/>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20" w:hanging="378"/>
        <w:spacing w:after="0" w:line="239" w:lineRule="exact"/>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and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(see below), Antecip consented to the collateral assignment of one of the license agreements, among other things, under a direct agreement among us, Antecip, a related party, and Blackstone. This new direct agreement superseded the prior direct agreement among us, Antecip and Hercules that had been entered into in connection with the Hercules Loan Agreement, which terminated automatically upon repayment of the Hercules loan obligations in full on May 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we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with Blackstone</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the Closing Date, we entered into the Blackstone Loan Agreement with Blackstone, certain subsidiaries of the Company party thereto as guarantors, Wilmington Trust, and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was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$10.4 million in the consolidated statement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June 26, 2026, we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our Permitted Indebtedness (as defined in the Blackstone Loan Agreement) was increased by $10.0 million, from $10.0 million to $20.0 million.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 We allowed the Term Loan commitment of $90.0 million, which remained available to us at our option until May 31, 2026, to expire undrawn.</w:t>
      </w:r>
    </w:p>
    <w:p>
      <w:pPr>
        <w:spacing w:after="0" w:line="18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September 30, 2026, there are no outstanding obligations under the Hercules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$162.5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As of October 26, 2026, we had 1,390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November 3, 2025, we filed an automatic shelf registration statement (File No. 333-291228), or the 2025 Shelf Registration Statement, with the SEC for the issuance of common stock, preferred stock, warrants, rights, debt securities, and units up to an unlimited amount.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2025 Shelf Registration Statement, we filed a new sales agreement prospectus to replace the prior prospectus supplement filed in December 2022,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$313.9 million and $322.9 million as of September 30, 2026 and December 31, 2025,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which use short-term interest rates and the SOFR,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primarily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do not believe a 10% change in these currencies on September 30, 2026 would have had a material effect on our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ind w:right="32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During the quarter ended September 30, 2026, there have been no changes in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over financial reporting that have materially affected, or are reasonably likely to materially affect, our internal control over financial reporting.</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Except as described in Note 9. Commitments and Contingencies,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2026.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4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w:t>
      </w:r>
    </w:p>
    <w:p>
      <w:pPr>
        <w:spacing w:after="0" w:line="170"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6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5" w:lineRule="exact"/>
        <w:rPr>
          <w:rFonts w:ascii="Times New Roman" w:cs="Times New Roman" w:eastAsia="Times New Roman" w:hAnsi="Times New Roman"/>
          <w:sz w:val="18"/>
          <w:szCs w:val="18"/>
          <w:color w:val="auto"/>
        </w:rPr>
      </w:pPr>
    </w:p>
    <w:p>
      <w:pPr>
        <w:ind w:left="760" w:right="20" w:hanging="378"/>
        <w:spacing w:after="0" w:line="259"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0" w:lineRule="exact"/>
        <w:rPr>
          <w:rFonts w:ascii="Times New Roman" w:cs="Times New Roman" w:eastAsia="Times New Roman" w:hAnsi="Times New Roman"/>
          <w:sz w:val="18"/>
          <w:szCs w:val="18"/>
          <w:color w:val="auto"/>
        </w:rPr>
      </w:pPr>
    </w:p>
    <w:p>
      <w:pPr>
        <w:ind w:left="760" w:right="74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12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0"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a history of losses and our ability to maintain profitability in the future remains uncertain. Our net loss was $128.7 million and $154.6 million for the nine months ended September 30, 2026 and 2025, respectively. As of September 30, 2026, we had an accumulated deficit of $1,434.7 million. In 2022, we commenced the commercial sale of AUVELITY to treat MDD in the United States and SUNOSI in the United States and select global markets. In January 2025, SYMBRAVO was approved by the FDA for the acute treatment of migraine with or without aura in adults and commenced commercial sales in June 2025. Additionally, in April 2026, the FDA approved an expanded indication for AUVELITY to treat agitation associated with dementia due to Alzheimer’s disease (ADA). Apart from AUVELITY, SUNOSI, and SYMBRAVO, we have no other products which have received regulatory approval.</w:t>
      </w:r>
    </w:p>
    <w:p>
      <w:pPr>
        <w:spacing w:after="0" w:line="18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for the foreseeable future,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80"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was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$10.4 million in the Company’s consolidated statement of operations.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June 26, 2026, the Company entered into a First Incremental Revolving Credit Commitment Supplement and Amendment to the Blackstone Loan Agreement (the “First Incremental Supplement”) with Blackstone, Wilmington Trust and the Lenders party thereto, pursuant to which the aggregate principal amount of Revolving Credit Commitments under the Blackstone Loan Agreement was increased by $20.0 million, from $70.0 million to $90.0 million, and the Company’s Permitted Indebtedness (as defined in the Blackstone Loan Agreement) was increased by $10.0 million, from $10.0 million to $20.0 million.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 The Company had allowed the Term Loan commitment of $90.0 million, which remained available to the Company at its option until May 31, 2026, to expire undrawn.</w:t>
      </w:r>
    </w:p>
    <w:p>
      <w:pPr>
        <w:spacing w:after="0" w:line="188"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Blackstone Loan Agreement also require maintaining a minimum amount of cash in an account or accounts in which the Lenders have a first priority security interest.</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Prior to our commercialization of AUVELITY and SUNOSI in 2022, and the approval and U.S. commercialization of SYMBRAVO in 2025,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3"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ongoing military conflicts between Russia and Ukraine, hostilities in the Middle East, including Iran, and elsewhere and record inflation. Our business, financial condition, and results of operations could be materially adversely affected by any negative impact on the global economy and capital markets resulting from the conflicts in Russia and Ukraine, the Middle East and elsewhere, and geopolitical tensions, or record inflation.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including the military conflict between Russia and Ukraine and heightened instability in the Middle East involving Iran and the ongoing war involving the United States, Israel and Iran. Since Russia’s full-scale invasion of Ukraine in February 2022, the duration, severity, and broader economic effects of the conflict have remained uncertain, and the conflict has contributed to, and could continue to contribute to market disruptions, including significant volatility in commodity prices, credit and capital markets, as well as supply chain interruptions.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Most recently, in June 2026, the European Union (“EU”) renewed its existing economic sanctions for an additional twelve months, keeping them in effect until July 31, 2027. In July 2026, the EU adopted its 21st package of sanctions against Russia, and in September 2026, the United States enacted legislation providing new sanctions authorities with respect to Russia and Iran. The EU has indicated that it intends to add further sanctions listings.</w:t>
      </w:r>
    </w:p>
    <w:p>
      <w:pPr>
        <w:spacing w:after="0" w:line="183"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In addition, the United States and other countries maintain extensive sanctions and trade restrictions with respect to Iran. These measures could be modified, broadened in scope or subject to more rigorous enforcement in response to future developments involving Iran or the broader Middle East.</w:t>
      </w:r>
    </w:p>
    <w:p>
      <w:pPr>
        <w:spacing w:after="0" w:line="14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These geopolitical developments, including military actions, sanctions, cyberattacks and related market disruptions, could adversely affect the global economy and financial markets, disrupt shipping and energy markets, result in reduced liquidity, and potentially make it more difficult for us to obtain additional funding. Although our business has not been materially impacted by these geopolitical issues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from October 1, 2025 to November 12, 2025, the U.S. federal government experienced a shutdown due to an impasse over funding for the 2026 fiscal year, impacting a number of federal services, and the shutdown has since ended. In addition, the U.S. Department of Commerce conducted and completed national security investigations into the importation of pharmaceuticals and pharmaceutical ingredients pursuant to Section 232 of the Trade Expansion Act of 1962 (as amended, the “Trade Expansion Act”), which resulted in the issuance of a presidential proclamation in April 2026 that imposed tariffs on certain imports within the pharmaceutical industry. Further, the U.S. has announced and adopted a tariff framework that includes up to a 100% tariff on certain patented pharmaceuticals and related ingredients imported into the U.S., subject to available exemptions, reduced rates, and transitional relief, which took effect on July 31, 2026 for certain large companies and on September 29, 2026 for other importers. Reduced rates of 15% apply to qualifying imports from the EU, Japan, South Korea, Switzerland and Liechtenstein, and a 0% rate applies to qualifying imports from the U.K. Generic pharmaceuticals and biosimilars are currently excluded. While imposition of such tariffs had previously been delayed to permit negotiations with large drug manufacturers, the tariffs are now in effect while negotiations and exemptions continue. In September 2026, the Department of Commerce issued guidance on specialty pharmaceutical categories eligible for the zero tariff rate, and U.S. Customs and Border Protection issued updated implementation guidance. Recent developments indicate that certain companies may qualify for reduced-rate or zero-tariff treatment through approved onshoring plans and, in some cases, most favored nation (MFN) pricing agreements, although the scope, timing, and durability of such relief remain subject to governmental implementation and future policy changes. While we currently do not anticipate a material impact from such tariffs on our business or operations, such tariffs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18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Furthermore, in April 2025, the U.S. administration imposed increased tariffs on all countries and individualized “reciprocal” higher tariffs on certain countries with which the U.S. has the largest trade deficits, which were subsequently paused, modified, and ultimately terminated in February 2026 following a U.S. Supreme Court ruling invalidating the legal authority under which such tariffs were imposed. After the U.S. Supreme Court decision, on April 2, 2026, the U.S. administration issued a presidential proclamation pursuant to Section 232 of the Trade Expansion Act imposing tariffs on certain imported patented pharmaceutical products and associated pharmaceutical ingredients. In general, the U.S. administration has imposed up to a 100% tariff on certain imported patented pharmaceuticals and associated ingredients, subject to product- and country-specific exceptions and reduced-rate treatment. Companies that enter into both qualifying MFN pricing agreements with HHS and onshoring agreements with the Department of Commerce may receive zero-tariff treatment through January 20, 2029, while companies entering into qualifying onshoring agreements alone may receive a reduced 20% tariff rate. Certain countries responded by announcing retaliatory tariffs on U.S. imports. Tariffs remain a dynamic issue and have become a central part of the U.S. trade policy, undergoing continuous expansion and modification, including the imposition in February 2026 of a temporary 10% global import surcharge under separate statutory authority, although pharmaceuticals and pharmaceutical ingredients were identified among exempt categories under that temporary surcharge, and China’s tariffs being reduced in November 2025 and further actions in early 2026. Additionally, on January 17, 2026, President Trump announced proposed tariffs of 10%, increasing to 25% on June 1, 2026, on imports from eight European allies in connection with Greenland, but withdrew the proposed tariffs on January 21, 2026 before they took effect.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which includes certain Chinese biotech firms; entering, extending or renewing a contract with any entity using biotechnology equipment or services provided by a BCC to perform a government contract; or granting government funds or loans for such biotechnology equipment or services. While we do not currently anticipate any material impact from the BIOSECURE Act, its requirements are expected to be implemented on a phased basis through future regulatory guidance and procurement rulemaking, and the scope of covered entities will depend on future designation processes. The BIOSECURE Act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 executive orders were signed to implement MFN drug pricing policies designed to align certain prescription drug prices in the U.S. to lower prices available in other countries. Since issuance of these executive orders, the U.S. administration has begun implementing MFN pricing through a combination of voluntary pricing agreements with pharmaceutical manufacturers, proposed mandatory pricing models applicable to certain Medicare programs, and other administrative actions. A number of pharmaceutical manufacturers, including most of the largest manufacturers, have entered into such voluntary agreements, which reportedly include commitments relating to Medicaid pricing, the pricing of new product launches and investment in U.S. manufacturing, and in certain cases relief from tariffs. Manufacturers that have not entered into such agreements may be more exposed to mandatory pricing models and other measures, and we may face pressure to enter into such an agreement or to otherwise adjust our pricing, which could adversely affect our business, financial condition and results of operations. Investigations and regulatory proceedings have examined international price differentials and policy approaches for implementation, including through administrative rulemaking and demonstration models. On September 30, 2026, CMS finalized the mandatory GLOBE Model for certain Medicare Part B drugs, which begins January 1, 2027, with the first performance year starting April 1, 2027. The GUARD Model for certain Medicare Part D drugs remains proposed. MFN pricing initiatives have been linked to other regulatory and trade measures, including tariff exemptions and incentives for domestic manufacturing, further increasing their potential impact on commercialization and pricing strategies.</w:t>
      </w:r>
    </w:p>
    <w:p>
      <w:pPr>
        <w:spacing w:after="0" w:line="18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As MFN policies are implemented and continue to evolve, changes to drug pricing could affect the profitability of pharmaceutical and biotech companies in the U.S. as well as in other countries, as a price referencing policy to the U.S. market could make it commercially unviable to commercialize a drug product in a price constrained market. Although certain MFN pricing initiatives have been announced or implemented, the details of future regulations, pricing models, enforcement mechanisms and related policies remain uncertain, and may pose long-term risks to our business and our future commercialization plans of our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financial liability for manufacturers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our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Strategies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Although we submitted NDAs to the FDA for AUVELITY to treat MDD (which was approved), SYMBRAVO (which was approved), and AXS-14 (which received a Refuse to File letter from the FDA, and which we plan to resubmit), as well as submitted a supplemental New Drug Application (sNDA) for AXS-05 to treat ADA (which was approved) and an NDA for AXS-12 for the treatment of cataplexy in narcolepsy (which was accepted for filing by the FDA in July 2026),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their primary endpoints in subsequent clinical trials, including our initiated and planned Phase 3 clinical trials. We conducted one interim analysis for the Phase 2/3 trial of AXS-05 in TRD and one interim analysis for the Phase 2/3 trial of AXS-05 for the treatment of ADA.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subjects. On August 31, 2026, we announced that the first patient had been dosed in SUMMIT, our Phase 3 clinical trial evaluating AXS-05 for smoking cessation. However, clinical drug development is expensive, time-consuming, and highly uncertain. We cannot guarantee that clinical sites will enroll patients at our projected pace, that the trial will be completed on our anticipated timeline, or that the trial will yield positive safety or efficacy results. Any negative data, serious adverse events, or delays in patient recruitment or completion of the trial could significantly harm our regulatory approval timelines and increase our capital expenditure requirements. Further, our product candidates may not receive regulatory approval even if they are successful in clinical trials.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depends on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w:t>
      </w:r>
    </w:p>
    <w:p>
      <w:pPr>
        <w:spacing w:after="0" w:line="207" w:lineRule="exact"/>
        <w:rPr>
          <w:sz w:val="20"/>
          <w:szCs w:val="20"/>
          <w:color w:val="auto"/>
        </w:rPr>
      </w:pPr>
    </w:p>
    <w:p>
      <w:pPr>
        <w:ind w:left="760" w:right="1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their regulatory approval and commercialization. As such, we are currently primarily focused on the development of solriamfetol for additional indications, AXS-05 for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14. License Agreements,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instance, we received a Refuse to File letter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European Community (“EC”) or national competent authorities at the EU member state level.</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Federal Food, Drug, and Cosmetic Act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17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to treat MDD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the time required to obtain approval by the FDA and comparable foreign authorities are unpredictable but typically take many years following the commencement of clinical trials and depend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(“IRB”) approval, or otherwise cause delays in the approval or rejection of an application. To date, we have obtained regulatory approval for two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European Medicines Agency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60" w:right="42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20" w:hanging="378"/>
        <w:spacing w:after="0" w:line="245" w:lineRule="exact"/>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98" w:lineRule="exact"/>
        <w:rPr>
          <w:rFonts w:ascii="Times New Roman" w:cs="Times New Roman" w:eastAsia="Times New Roman" w:hAnsi="Times New Roman"/>
          <w:sz w:val="18"/>
          <w:szCs w:val="18"/>
          <w:color w:val="auto"/>
        </w:rPr>
      </w:pPr>
    </w:p>
    <w:p>
      <w:pPr>
        <w:ind w:left="760" w:right="24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hanging="378"/>
        <w:spacing w:after="0" w:line="254"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or we may abandon product development programs. For instance, we relied on the completed Phase 2 trial and Phase 3 trial to support an NDA for AXS-14 for the management of fibromyalgia; however, we received a Refuse to File letter from the FDA. On January 15, 2026, we announced the initiation of the Phase 3 FORWARD trial, which we are conducting to address the FDA’s feedback. Furthermore, we submitted an NDA for AXS-12 for the treatment of cataplexy in narcolepsy, which was accepted by the FDA in July 2026 with a Prescription Drug User Fee Act (PDUFA) target action date of May 1, 2027. Although we relied on the Phase 2 CONCERT trial, Phase 3 SYMPHONY trial, and Phase 3 ENCORE trial to support the NDA for AXS-12 for the treatment of cataplexy in narcolepsy, the FDA could still require additional studies to support the approval of the NDA for this and other product candidates. The outcome of our studies may further necessitate additional clinical or preclinical work;</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from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Chemistry, Manufacturing, and Controls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 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 the FDA’s review of our regulatory submissions may be delayed in the future due to reasons beyond our control. FDA operations are affected by various factors, such as shifting government priorities, budgets and funding levels, authorization and payment of user fees, the ability to hire and retain key personnel, as well as other statutory, regulatory, and policy changes impacting the U.S. Department of Health and Human Services (“HHS”), the FDA, or other HHS agencies. Specifically, in 2025, the FDA faced a reduction in size, a prolonged federal government shutdown, as well as frequent administrative turnover and agency restructuring following the institution of the new administration, which have directly or indirectly impacted the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Complete Response Letter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are conducting an additional controlled trial, the Phase 3 FORWARD trial, which we initiated in January 2026 and which uses a fixed-dose paradigm and a 12-week primary endpoint as requested by the FDA.</w:t>
      </w:r>
    </w:p>
    <w:p>
      <w:pPr>
        <w:spacing w:after="0" w:line="1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smoking cessation. As a result, we may experience delays in regulatory approval due to uncertainties in the approval process.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9" w:lineRule="exact"/>
        <w:rPr>
          <w:sz w:val="20"/>
          <w:szCs w:val="20"/>
          <w:color w:val="auto"/>
        </w:rPr>
      </w:pPr>
    </w:p>
    <w:p>
      <w:pPr>
        <w:ind w:left="760" w:right="4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1" w:lineRule="exact"/>
        <w:rPr>
          <w:sz w:val="20"/>
          <w:szCs w:val="20"/>
          <w:color w:val="auto"/>
        </w:rPr>
      </w:pPr>
    </w:p>
    <w:p>
      <w:pPr>
        <w:ind w:right="140" w:firstLine="749"/>
        <w:spacing w:after="0" w:line="263"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narcolepsy patients in the case of AXS-12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30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ADA,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ADA,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 however, Priority Review does not guarantee FDA approval and could still lead to further data requests or denial.</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8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laws, regulations, and other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actions,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suspension or debarment from government procurement and potential adverse actions affecting future orders under existing contracts. Recent court decisions have impacted the FDA’s enforcement activity regarding off-label promotion in light of First Amendment considerations; however, there are still significant risks in this area, such as where communications are misleading or conduct is the alleged cause of false claims, in part due to the potential False Claims Act (“FCA”) exposure. The FCA allows a private individual to bring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the individual will share in the proceeds from any fines or settlement funds. If the government declines to intervene, the individual may pursue the case alone. Under the FCA, a penalty may be imposed for each false claim, which, for example, might be a claim for payment for each prescription for the product, and, when aggregated, these penalties often total millions of dollars and incentivize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lawsuits. These FCA lawsuits against pharmaceutical companies have increased significantly in volume and breadth, leading to several substantial civil settlements and criminal resolutions,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Prescription Drug Marketing Act of 1987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current Good Manufacturing Practice (“cGMP”) requirements relating to manufacturing, quality control, quality assurance, and corresponding maintenance of records and documents; requirements regarding the distribution of samples to physicians and recordkeeping; and Good Clinical Practice (“GCP”), for any clinical trials that we conduct post-approval.</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(DTC) prescription drug advertisements”, the FDA issued more than 100 enforcement letters to pharmaceutical companies, compounding firms and other entities. Since that time, the FDA has continued to pursue enforcement activity in this area and has announced additional regulatory initiatives focused on DTC prescription drug advertising. In particular, HHS and the FDA have announced plans to pursue rulemaking designed to require more extensive risk disclosure in DTC prescription drug advertising, including by revisiting the long-standing “adequate provision” framework applicable to broadcast advertising, and have indicated that they are committed to a “more expansive reading” of the FDA’s enforcement authorities than that taken by previous administrations. In connection with these developments, we received an untitled letter from the FDA’s Center for Drug Evaluation and Research, asserting that a particular DTC print advertisement for AUVELITY was false and misleading. We responded to the untitled letter, and the FDA confirmed via close-out letter that we adequately addressed the FDA’s concerns. Failure to comply with current or forthcoming FDA requirements may trigger enforcement by the FDA, Department of Justice, or HHS Office of Inspector General (as well as state authorities), which may result in warning letters, civil and criminal penalties, agreements restricting promotional practices, and significant reputational harm.</w:t>
      </w:r>
    </w:p>
    <w:p>
      <w:pPr>
        <w:spacing w:after="0" w:line="19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Notably, in May 2025, the FDA announced its intent to expand its use of unannounced inspections of foreign facilities manufacturing products for distribution in the United States, which may impact our operations. Further, application holders must notify the FDA, and depending on the nature of the change, obtain FDA pre-approval for product and manufacturing changes. Application fees may apply to certain changes.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60" w:hanging="378"/>
        <w:spacing w:after="0" w:line="289"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U.S. Supreme Court decisions, including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603 U.S. 369 (2024) and </w:t>
      </w:r>
      <w:r>
        <w:rPr>
          <w:rFonts w:ascii="Times New Roman" w:cs="Times New Roman" w:eastAsia="Times New Roman" w:hAnsi="Times New Roman"/>
          <w:sz w:val="18"/>
          <w:szCs w:val="18"/>
          <w:i w:val="1"/>
          <w:iCs w:val="1"/>
          <w:color w:val="auto"/>
        </w:rPr>
        <w:t>Corner Post, Inc. v. Board of Governors of the Federal Reserve System</w:t>
      </w:r>
      <w:r>
        <w:rPr>
          <w:rFonts w:ascii="Times New Roman" w:cs="Times New Roman" w:eastAsia="Times New Roman" w:hAnsi="Times New Roman"/>
          <w:sz w:val="18"/>
          <w:szCs w:val="18"/>
          <w:color w:val="auto"/>
        </w:rPr>
        <w:t xml:space="preserve">, 603 U.S. 799 (2024), will impact the FDA’s 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resulting in greater uncertainty about our continued operations.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decision may result in increased regulatory uncertainty, inconsistent judicial interpretations, and could impact various aspects of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We are party to,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right="80" w:hanging="378"/>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and cybersecurity. These include enhanced rules on the processing of personal data, including health data, under the EU General Data Protection Regulation (GDPR), which became enforceable beginning May 25, 2018, as well as cybersecurity obligations under Directive (EU) 2022/2555 (NIS 2 Directive). The NIS 2 Directive establishes a harmonized cybersecurity framework for 18 critical sectors, including the health sector, and imposes significant compliance obligations on in-scope organizations, including risk management measures, incident prevention, detection and notification requirements, supply chain security controls, and enhanced governance and oversight, including potential personal liability at the Board level;</w:t>
      </w:r>
    </w:p>
    <w:p>
      <w:pPr>
        <w:spacing w:after="0" w:line="187"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(“FCPA”)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Amgen Inc.; Biogen Inc.; Eli Lilly and Company; H. Lundbeck A/S; Harmony Biosciences LLC; Intra-Cellular Therapies, Inc.; Janssen; Jazz; Otsuka Pharmaceutical Co. Ltd.; Pfizer Inc.; and Takeda Pharmaceutical Company Limited.</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Pharmaceuticals, Inc.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subsequently initiated patent infringement litigation against the filers and have reached settlement agreements in the ensuing litigation with all six filers. In June 2026, we entered into a settlement agreement with the only remaining first-to-file generic applicant, thereby resolving all outstanding SUNOSI patent litigation. No patent litigation relating to SUNOSI remains pending. In August 2025, Apotex sent a Paragraph IV certification notice regarding its ANDA submission to the FDA for a generic version of SYMBRAVO. In response, we filed a patent infringement lawsuit against Apotex in the U.S. District Court for the District of New Jersey in September 2025, and in August 2026, we filed a second patent infringement lawsuit against Apotex in the same court relating to its ANDA for SYMBRAVO. Both actions remain ongoing.</w:t>
      </w:r>
    </w:p>
    <w:p>
      <w:pPr>
        <w:spacing w:after="0" w:line="196"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the FDA for the treatment of narcolepsy. We may also seek Orphan Drug Designation for our other products, as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FDA or the EMA/EC may, under certain conditions,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In the EU, if another company is granted orphan exclusivity for a reboxetine containing product for the treatment of narcolepsy, we would be prevented from obtaining marketing authorization for AXS-12 for the treatment of narcolepsy for up to 10 years, which may be extended to 12 years under certain conditions. The EU Pharma Package (as described below) will reduce the standard orphan exclusivity to 9 years, with eligibility for up to 11 years of exclusivity for certain orphan products.</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 for example, if they do not consider our products cost-effective without a significant price concession, and, even when coverage is provided, reimbursement may be inadequate, which could negatively impact our revenue. Third-party payors may also implement onerous access controls, which could further impede our efforts to effectively transition eligible patients to our therapies.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may require significant resources and may not be successful. If our products or any of our product candidates that are approved do not achieve an adequate level of market acceptance, we may not generate significant revenues, and we may not become profitable.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 The degree of market acceptance of any of our products will depend on a number of factors, including:</w:t>
      </w:r>
    </w:p>
    <w:p>
      <w:pPr>
        <w:spacing w:after="0" w:line="19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8"/>
          <w:szCs w:val="18"/>
          <w:color w:val="auto"/>
        </w:rPr>
      </w:pPr>
    </w:p>
    <w:p>
      <w:pPr>
        <w:ind w:left="760" w:right="680" w:hanging="378"/>
        <w:spacing w:after="0" w:line="245" w:lineRule="exact"/>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is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SUNOSI contains a controlled substance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inspections periodically or as needed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rely on third 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their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and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that expired on June 17, 2026. For AUVELITY®, the New Product Exclusivity expired on August 18, 2025. Expanded use of AUVELITY® relating to the product’s indication for ADA was approved by the FDA on April 30, 2026, with the associated new indication exclusivity expiring on April 30, 2029. New Product Exclusivity for SYMBRAVO® expires on January 30, 2028. None of these expiry dates take into account the effect of the statutory 30-month stay should we timely commence litigation against any generic filer. A generic filer may be permitted to launch a generic version of any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any of our currently commercialized products during the pendency of litigation following expiry of the 30-month stay, or that we would commence such proceedings. Such a generic launch could materially impact our commercial success.</w:t>
      </w:r>
    </w:p>
    <w:p>
      <w:pPr>
        <w:spacing w:after="0" w:line="194"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50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In November 2025, we acquired all the outstanding shares of Baergic Bio, Inc., now known as XIX Bio LLC (“Baergic”). The acquisition of Baergic provided global rights to AZD7325 (AXS-17), an oral GABAA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December 2025, we acquired the global rights to deuterium-stabilized S-bupropion (“AXS-18”) from DeuteRx, LLC (“DeuteRx”). DeuteRx is eligible to receive contingent development, regulatory and sales-based milestones of up to $523 million and a tiered low single-digit royalty on potential global net sales.</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the first quarter of 2026, we acquired the global rights to balipodect (AXS-20), a selective PDE10A inhibitor for the treatment of schizophrenia and other neuropsychiatric conditions, from Takeda Pharmaceutical Company Limited (Takeda), for $10.4 million, inclusive of transaction costs. Takeda is eligible to receive up to $260.0 million in development, regulatory and sales-based milestones and a mid single-digit royalty on potential global net sales of balipodect.</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most recent Annual Report on Form 10-K. Such laws include the federal Anti-Kickback Statute, the federal civil and criminal FCA, the Civil Monetary Penalties (“CMP”) Law, the Medicaid Drug Rebate Statute and other price reporting requirements, the Veterans Health Care Act of 1992, the Sunshine Act, the Health Insurance Portability and Accountability Act of 1996 (“HIPAA”), the FCPA, the Affordable Care Act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the California Consumer Privacy Act, or CCPA, which went into effect on January 1, 2020, and was subsequently amended and expanded by the California Privacy Rights Act, or CPRA, which took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including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Economic Area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9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There are also federal and state laws governing commercial communication and data privacy, including the CAN-SPAM Act, the Telephone Consumer Protection Act (TCPA), and comprehensive state privacy laws such as the CCPA and CPRA. The CAN-SPAM Act, among other things, obligates the sender of commercial emails to provide recipients with the ability to opt out of receiving future commercial emails from the sender. Any failure by us to comply fully with the CAN-SPAM Act or other communication laws may leave us subject to substantial fines and penalties. Additionally, increased regulatory focus on opt-out mechanics, cross-channel solicitation, automated preference signals, and mandatory data deletion requirements could increase our compliance costs or expose us to substantial statutory fines, civil litigation, or enforcement actions.</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laws and regulations that apply to us, we may be subject to penalties or other enforcement actions,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such physicians or other healthcare providers or entities may be subject to criminal, civil, or administrative sanctions, including but not limited to, exclusions from participation in government healthcare programs, which could also materially affect our business.</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Third-party coverage and adequate reimbursement might not be available to enable us to maintain price levels sufficient to realize an appropriate return on investment in product development.</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with the first negotiated prices having become effective as of January 1, 2026. Subsequent negotiation cycles will see expanded lists of negotiated drug prices take effect for Part D drugs in 2027, and across both Part B and Part D drugs starting in 2028. The IRA’s changes include, by way of example, capping Medicare beneficiary out-of-pocket spending at $2,000 for 2025 and $2,100 for 2026, while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that went into effect on January 1, 2026 and another 15 Part D drugs that will go into effect on January 1, 2027, and an additional 15 Medicare Part B or Medicare Part D drugs selected on February 1, 2026 for prices to go into effect in 2028.</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list of negotiated Medicare drugs is expected to increase over time, with additional high-cost, single-source drugs – those without generic or biosimilar alternatives – becoming eligible for selection in future years under the IRA. If any of our approved products are subject to price negotiations, it could, among other things, lead to lower revenues prior to the expiry of intellectual property protections. Although the implementation of the initial negotiation cycles has proceeded and multiple constitutional challenges to the program have been consistently rejected by federal courts, including the U.S. Supreme Court’s refusal to review industry appeals, the program may still face ongoing statutory litigation or administrative adjustments.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however, extensive manufacturer-imposed restrictions on these arrangements have slowed this growth and triggered a widespread legislative battle, with more than 20 states passing contract pharmacy protection laws that face ongoing federal preemption challenges. Any changes to Medicaid required rebates, as well as newly proposed CMS cuts reducing Medicare reimbursements to average sales price minus 33.4%, could also affect our 340B pricing. Other aspects of the 340B program are subject to ongoing litigation, most notably a federal lawsuit seeking to block Health Resources and Services Administration’s (HRSA) upcoming January 1, 2027 implementation of a mandatory backend rebate model pilot for high-cost Medicare-negotiated drugs, the resolution of which could impact the scope and financial mechanics of the 340B program.</w:t>
      </w:r>
    </w:p>
    <w:p>
      <w:pPr>
        <w:spacing w:after="0" w:line="188"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17"/>
          <w:szCs w:val="17"/>
          <w:color w:val="auto"/>
        </w:rPr>
        <w:t>In addition, there have been a number of other legislative and regulatory proposals aimed at changing the pharmaceutical industry. For instance, the enacted Drug Supply Chain Security Act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and transaction statements (as transaction history was phased out upon full electronic implementation). Product identifier information (an aspect of the product tracing scheme) is also now required. The DSCSA requirements, development of standards, and the system for product tracing are now fully in effect following the conclusion of the FDA’s general stabilization period. While full enforcement is active for manufacturers, repackagers, wholesalers, and large pharmacies, the FDA has extended a targeted exemption for qualifying small dispensers until November 27, 2027. The distribution of product samples continues to be regulated under the PDMA, and some states also impose regulations on drug sample distribution.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industry is currently analyzing the finalized rule for the Global Benchmark for Efficient Drug Pricing, or GLOBE Model, which CMS released on September 30, 2026, and officially published in the Federal Register on October 2, 2026. This mandatory payment model pilot, which ties certain Medicare Part B drug rebate calculations to prices paid in comparable high-income countries, was significantly narrowed from its original proposal, incorporating expanded exemptions that dramatically reduce its reach to only a few manufacturers. The model is now scheduled to begin data collection on January 1, 2027, with its five-year performance period running from April 1, 2027, through March 31, 2032. The implications of this rule, along with its companion, Guarding U.S. Medicare Against Rising Drug Costs, or GUARD Model, which is focused on Part D drugs and remains under regulatory review, and other MFN pricing pressures, could lead to voluntary or involuntary manufacturer price changes, which could be either temporary or long term, but all of which could adversely affect our business. Furthermore, these actions have already prompted legal challenges, including a lawsuit filed by PhRMA in October 2026 to block the rule’s implementation, introducing additional uncertainty into our business operations.</w:t>
      </w:r>
    </w:p>
    <w:p>
      <w:pPr>
        <w:spacing w:after="0" w:line="18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EU, several recently adopted and pending legislation will impact regulatory procedures for medicinal products. Key developments include:</w:t>
      </w:r>
    </w:p>
    <w:p>
      <w:pPr>
        <w:spacing w:after="0" w:line="117" w:lineRule="exact"/>
        <w:rPr>
          <w:sz w:val="20"/>
          <w:szCs w:val="20"/>
          <w:color w:val="auto"/>
        </w:rPr>
      </w:pPr>
    </w:p>
    <w:p>
      <w:pPr>
        <w:ind w:left="1020" w:right="100" w:hanging="503"/>
        <w:spacing w:after="0" w:line="25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Pharma Package – This is the largest reform of the EU’s Pharmaceutical Legislation in 20 years. Following a political agreement reached in December 2025, the final Regulation and Directive texts were published in March 2026. The Council of the EU formally adopted the legislation on September 28, 2026, and it now awaits final endorsement by the European Parliament, with formal publication in the EU’s Official Journal expected by late 2026. Most provisions are expected to apply from 2028, following a two-year transition period. The reform encompasses a broad range of measures, including changes to regulatory exclusivity, incentives to combat antimicrobial resistance, intellectual property exemptions for generic medicines, orphan products, and marketing authorization procedures;</w:t>
      </w:r>
    </w:p>
    <w:p>
      <w:pPr>
        <w:spacing w:after="0" w:line="7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2021/2282 on health technology assessment (HTA Regulation) – This became applicable in the EU on January 12, 2025, introducing a single EU-level submission file for joint clinical assessments for oncology medicines and advanced therapy medicinal products. The framework expands to include selected high-risk medical devices starting in 2026 following the adoption of its final implementing rules. The HTA Regulation will be extended to orphan medicines in January 2028 and, as of 2030, will cover all new centrally authorized medicinal products;</w:t>
      </w:r>
    </w:p>
    <w:p>
      <w:pPr>
        <w:spacing w:after="0" w:line="75"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legislative initiatives include Regulation (EU) 2024/1938 on substances of human origin (SoHO Regulation), which has been adopted and published and will apply primarily from August 2027 onwards, the proposed SPC Regulation revision, the proposed Critical Medicines Act, which achieved a provisional political agreement between the Council and Parliament in May 2026, and the proposed Biotech Act.</w:t>
      </w:r>
    </w:p>
    <w:p>
      <w:pPr>
        <w:spacing w:after="0" w:line="17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Moreover, other EU “horizontal” legislation may impact companies operating in the pharmaceutical sector, including Regulation (EU) 2024/1689 (AI Act), as amended by the AI Omnibus Regulation which entered into force on July 27, 2026, Regulation (EU) 2023/2854 (Data Act), Regulation (EU) 2025/327 (Health Data Space Regulation), which has been adopted and entered into force, and the NIS 2 Directive. Moreover, while the AI-focused portion has been finalized, the EU is currently still discussing the remainder of the Digital Omnibus Package, which comprises a series of technical amendments to a wide body of EU digital legislation covering data, privacy, and cybersecurity.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cybersecurity and data privacy regulations and enforcement, particularly driven by overlapping AI governance frameworks and expanded enforcement penalties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example,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uncertainty remains regarding the timing and interpretation by tax authorities in affected jurisdictions.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Further, the OBBBA enacted, among others, changes to eligibility requirements for premium tax credits, which are expected to result in less coverage in the ACA’s health insurance marketplace (“Marketplace”) over the next few years. The ACA’s enhanced premium tax credits expired at the end of 2025, which is expected to result in significant increases in the uninsured population who may have otherwise enrolled in insurance plans obtained through the Marketplace. In addition, the OBBBA made other changes to the enrollment and eligibility requirements for Medicaid, which resulted in the loss of coverage for certain individuals who were previously enrolled in Medicaid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and insider trading, which could have a material adverse effect on our business.</w:t>
      </w:r>
    </w:p>
    <w:p>
      <w:pPr>
        <w:spacing w:after="0" w:line="17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Our officers, directors, employees and consultants and certain other persons are also subject to insider trading rules prohibiting the use of material nonpublic information to purchase, sell or otherwise trade in our securities or those of other companies. In August 2026, the SEC and the FDA announced a memorandum of understanding to establish a formal framework for interagency information sharing, coordination and protocols for exchange of nonpublic information regarding FDA-regulated products and activities, including clinical trial results, status of FDA review, product approvals, facility inspection observations, and other matters within the FDA’s regulatory authority. Such developments may increase the risk that our directors, officers, employees, independent contractors, consultants, commercial partners, principal investigators, CROs, or other insiders with access to material nonpublic information related to FDA regulatory matters could become the subject of SEC enforcement actions for insider trading or related violations. Although such persons are required to comply with our insider trading policy, there can be no assurance that these measures will be effective in preventing or detecting all instances of insider trading, misuse of material nonpublic information, or other misconduct.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49"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160" w:firstLine="749"/>
        <w:spacing w:after="0" w:line="226" w:lineRule="exact"/>
        <w:rPr>
          <w:sz w:val="20"/>
          <w:szCs w:val="20"/>
          <w:color w:val="auto"/>
        </w:rPr>
      </w:pPr>
      <w:r>
        <w:rPr>
          <w:rFonts w:ascii="Times New Roman" w:cs="Times New Roman" w:eastAsia="Times New Roman" w:hAnsi="Times New Roman"/>
          <w:sz w:val="18"/>
          <w:szCs w:val="18"/>
          <w:color w:val="auto"/>
        </w:rPr>
        <w:t>As of October 26, 2026, we had 1,390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0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identify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 over financial reporting issued by our independent registered public accounting firm. In the future, our independent registered public accounting firm may issue a report that is adverse in the event that we have not maintained effective internal control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directly or through our third-party service providers, may adopt, use or incorporate artificial intelligence (AI) technology and capabilities into the information technology systems, software or other tools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spacing w:after="0" w:line="18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We, directly or through our third-party service providers, may adopt, use or incorporate AI technology and capabilities into information technology systems, software or other tools to help us operate our business more efficiently. Use of AI technology may introduce operational, cybersecurity, privacy, intellectual property, data-integrity, bias and quality-control risks, including risks arising from inaccurate outputs, inappropriate reliance on AI-generated content, unauthorized use or disclosure of confidential or personal information, and failures by vendors to develop, deploy or monitor AI tools in accordance with applicable requirements.</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enacted or are considering additional laws, regulations, executive orders, guidance and other enforcement initiatives that may affect the development, procurement, deployment and use of AI technology. In addition, existing laws and regulations may be interpreted in ways that would affect the use of AI in our business. In the EU, the AI Act establishes a comprehensive, risk-based governance framework for AI in the EU market. The AI Act and developing interpretation and application of the GDPR in respect of automated decision making, together with developing guidance and decisions concerning the impact of AI technology on data privacy, may affect our use of AI technologies.</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evolving regulatory framework for AI technologies and related implementation standards and enforcement practices remain uncertain, and we cannot yet determine the impact that current or future laws, regulations, standards, agency guidance, enforcement priorities or market perception of such requirements may have on our business and may not always be able to anticipate how to respond to these laws or regulations. We may need to expend resources to adjust our systems in certain jurisdictions if the laws, regulations, decisions or guidance are not consistent across jurisdictions. Further, the cost to comply with such laws, regulations,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60" w:hanging="378"/>
        <w:spacing w:after="0" w:line="245" w:lineRule="exact"/>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As of October 26, 2026, our executive officers, directors, and 5% stockholders and their affiliates beneficially owned an aggregate of approximately 31%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from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October 26, 2026, we have outstanding 52,599,985 shares of common stock and 7,789,783 shares of common stock equivalents that would increase the number of shares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44,699,729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40"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shares of common stock subject to options or other equity awards issued and outstanding, or reserved for issuance under our 2015 Plan and 2025 Long-Term Incentive Plan and additional shares of common stock reserved for issuance under our 2023 Employee Stock Purchase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Partners LLC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2025, we had U.S. federal net operating loss, or NOL, carryforwards of approximately $577.9 million and foreign NOL carryforwards of $281.3 million. U.S. federal net operating loss carry forwards amounting to $59.8 million generated before the 2018 tax year will start expiring beginning 2032, if we have not used them prior to that time, and the U.S. federal net operating losses of approximately $518.1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Adopted</w:t>
            </w: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73"/>
        </w:trPr>
        <w:tc>
          <w:tcPr>
            <w:tcW w:w="660" w:type="dxa"/>
            <w:vAlign w:val="bottom"/>
            <w:tcBorders>
              <w:top w:val="single" w:sz="8" w:color="auto"/>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r>
      <w:tr>
        <w:trPr>
          <w:trHeight w:val="150"/>
        </w:trPr>
        <w:tc>
          <w:tcPr>
            <w:tcW w:w="2280" w:type="dxa"/>
            <w:vAlign w:val="bottom"/>
            <w:tcBorders>
              <w:left w:val="single" w:sz="8" w:color="auto"/>
              <w:right w:val="single" w:sz="8" w:color="auto"/>
            </w:tcBorders>
            <w:gridSpan w:val="2"/>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Name</w:t>
            </w:r>
          </w:p>
        </w:tc>
        <w:tc>
          <w:tcPr>
            <w:tcW w:w="22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Title</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Date of Adoption of Rule</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Scheduled Expiration</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Aggregate Number of</w:t>
            </w:r>
          </w:p>
        </w:tc>
      </w:tr>
      <w:tr>
        <w:trPr>
          <w:trHeight w:val="196"/>
        </w:trPr>
        <w:tc>
          <w:tcPr>
            <w:tcW w:w="66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660" w:type="dxa"/>
            <w:vAlign w:val="bottom"/>
            <w:tcBorders>
              <w:left w:val="single" w:sz="8" w:color="auto"/>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206"/>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 Coleman</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7"/>
                <w:szCs w:val="17"/>
                <w:color w:val="auto"/>
              </w:rPr>
              <w:t>September 14, 2026</w:t>
            </w:r>
            <w:r>
              <w:rPr>
                <w:rFonts w:ascii="Times New Roman" w:cs="Times New Roman" w:eastAsia="Times New Roman" w:hAnsi="Times New Roman"/>
                <w:sz w:val="23"/>
                <w:szCs w:val="23"/>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31, 2027</w:t>
            </w:r>
          </w:p>
        </w:tc>
        <w:tc>
          <w:tcPr>
            <w:tcW w:w="2240" w:type="dxa"/>
            <w:vAlign w:val="bottom"/>
            <w:tcBorders>
              <w:bottom w:val="single" w:sz="8" w:color="auto"/>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7"/>
                <w:szCs w:val="17"/>
                <w:color w:val="auto"/>
              </w:rPr>
              <w:t>30,721</w:t>
            </w:r>
            <w:r>
              <w:rPr>
                <w:rFonts w:ascii="Times New Roman" w:cs="Times New Roman" w:eastAsia="Times New Roman" w:hAnsi="Times New Roman"/>
                <w:sz w:val="23"/>
                <w:szCs w:val="23"/>
                <w:color w:val="auto"/>
                <w:vertAlign w:val="superscript"/>
              </w:rPr>
              <w:t>(3)</w:t>
            </w:r>
          </w:p>
        </w:tc>
      </w:tr>
      <w:tr>
        <w:trPr>
          <w:trHeight w:val="223"/>
        </w:trPr>
        <w:tc>
          <w:tcPr>
            <w:tcW w:w="22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Ari Maizel</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240" w:type="dxa"/>
            <w:vAlign w:val="bottom"/>
            <w:tcBorders>
              <w:bottom w:val="single" w:sz="8" w:color="auto"/>
              <w:right w:val="single" w:sz="8" w:color="auto"/>
            </w:tcBorders>
          </w:tcPr>
          <w:p>
            <w:pPr>
              <w:ind w:left="100"/>
              <w:spacing w:after="0" w:line="222" w:lineRule="exact"/>
              <w:rPr>
                <w:sz w:val="20"/>
                <w:szCs w:val="20"/>
                <w:color w:val="auto"/>
              </w:rPr>
            </w:pPr>
            <w:r>
              <w:rPr>
                <w:rFonts w:ascii="Times New Roman" w:cs="Times New Roman" w:eastAsia="Times New Roman" w:hAnsi="Times New Roman"/>
                <w:sz w:val="18"/>
                <w:szCs w:val="18"/>
                <w:color w:val="auto"/>
              </w:rPr>
              <w:t>September 15, 2026</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December 31, 2027</w:t>
            </w:r>
          </w:p>
        </w:tc>
        <w:tc>
          <w:tcPr>
            <w:tcW w:w="2240" w:type="dxa"/>
            <w:vAlign w:val="bottom"/>
            <w:tcBorders>
              <w:bottom w:val="single" w:sz="8" w:color="auto"/>
              <w:right w:val="single" w:sz="8" w:color="auto"/>
            </w:tcBorders>
          </w:tcPr>
          <w:p>
            <w:pPr>
              <w:ind w:left="100"/>
              <w:spacing w:after="0" w:line="222" w:lineRule="exact"/>
              <w:rPr>
                <w:sz w:val="20"/>
                <w:szCs w:val="20"/>
                <w:color w:val="auto"/>
              </w:rPr>
            </w:pPr>
            <w:r>
              <w:rPr>
                <w:rFonts w:ascii="Times New Roman" w:cs="Times New Roman" w:eastAsia="Times New Roman" w:hAnsi="Times New Roman"/>
                <w:sz w:val="18"/>
                <w:szCs w:val="18"/>
                <w:color w:val="auto"/>
              </w:rPr>
              <w:t>9,000</w:t>
            </w:r>
            <w:r>
              <w:rPr>
                <w:rFonts w:ascii="Times New Roman" w:cs="Times New Roman" w:eastAsia="Times New Roman" w:hAnsi="Times New Roman"/>
                <w:sz w:val="24"/>
                <w:szCs w:val="24"/>
                <w:color w:val="auto"/>
                <w:vertAlign w:val="superscript"/>
              </w:rPr>
              <w:t>(4)</w:t>
            </w:r>
          </w:p>
        </w:tc>
      </w:tr>
    </w:tbl>
    <w:p>
      <w:pPr>
        <w:spacing w:after="0" w:line="45"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21" w:lineRule="auto"/>
        <w:tabs>
          <w:tab w:leader="none" w:pos="20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line="221" w:lineRule="auto"/>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 of 12,000 shares of common stock currently held and 18,721 shares underlying stock options that will be exercised prior to expiration.</w:t>
      </w:r>
    </w:p>
    <w:p>
      <w:pPr>
        <w:ind w:left="220" w:hanging="212"/>
        <w:spacing w:after="0"/>
        <w:tabs>
          <w:tab w:leader="none" w:pos="2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 of shares underlying stock options that will be exercised prior to expiration.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60" w:type="dxa"/>
            <w:vAlign w:val="bottom"/>
            <w:gridSpan w:val="4"/>
          </w:tcPr>
          <w:p>
            <w:pPr>
              <w:ind w:left="16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245"/>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160" w:type="dxa"/>
            <w:vAlign w:val="bottom"/>
            <w:gridSpan w:val="4"/>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16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260" w:type="dxa"/>
            <w:vAlign w:val="bottom"/>
            <w:tcBorders>
              <w:top w:val="single" w:sz="8" w:color="0000FF"/>
            </w:tcBorders>
            <w:gridSpan w:val="2"/>
          </w:tcPr>
          <w:p>
            <w:pPr>
              <w:spacing w:after="0"/>
              <w:rPr>
                <w:sz w:val="17"/>
                <w:szCs w:val="17"/>
                <w:color w:val="auto"/>
              </w:rPr>
            </w:pPr>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2002 (furnished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300" w:firstLine="8"/>
        <w:spacing w:after="0" w:line="501" w:lineRule="auto"/>
        <w:tabs>
          <w:tab w:leader="none" w:pos="11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 **Filed herewith.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24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Nick Pizzie</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6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640" w:type="dxa"/>
            <w:vAlign w:val="bottom"/>
          </w:tcPr>
          <w:p>
            <w:pPr>
              <w:spacing w:after="0"/>
              <w:rPr>
                <w:sz w:val="24"/>
                <w:szCs w:val="24"/>
                <w:color w:val="auto"/>
              </w:rPr>
            </w:pPr>
          </w:p>
        </w:tc>
        <w:tc>
          <w:tcPr>
            <w:tcW w:w="2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120</w:t>
            </w:r>
          </w:p>
        </w:tc>
        <w:tc>
          <w:tcPr>
            <w:tcW w:w="516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7"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28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207"/>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562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14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2026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Herriot Tabuteau, M.D.</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2026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Nick Pizzie</w:t>
            </w:r>
          </w:p>
        </w:tc>
      </w:tr>
      <w:tr>
        <w:trPr>
          <w:trHeight w:val="185"/>
        </w:trPr>
        <w:tc>
          <w:tcPr>
            <w:tcW w:w="5620" w:type="dxa"/>
            <w:vAlign w:val="bottom"/>
          </w:tcPr>
          <w:p>
            <w:pPr>
              <w:spacing w:after="0"/>
              <w:rPr>
                <w:sz w:val="16"/>
                <w:szCs w:val="16"/>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Nick Pizzie</w:t>
            </w:r>
          </w:p>
        </w:tc>
      </w:tr>
      <w:tr>
        <w:trPr>
          <w:trHeight w:val="203"/>
        </w:trPr>
        <w:tc>
          <w:tcPr>
            <w:tcW w:w="56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260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Roman"/>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04"/>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2026-11-02T15:48:02Z</dcterms:created>
  <dcterms:modified xsi:type="dcterms:W3CDTF">2026-11-02T15:48:02Z</dcterms:modified>
</cp:coreProperties>
</file>