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147955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June 24, 2019</w:t>
      </w: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001-37635</w:t>
            </w:r>
          </w:p>
        </w:tc>
        <w:tc>
          <w:tcPr>
            <w:tcW w:w="27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12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color w:val="auto"/>
              </w:rPr>
              <w:t>(Commission</w:t>
            </w:r>
          </w:p>
        </w:tc>
        <w:tc>
          <w:tcPr>
            <w:tcW w:w="2760" w:type="dxa"/>
            <w:vAlign w:val="bottom"/>
          </w:tcPr>
          <w:p>
            <w:pPr>
              <w:jc w:val="center"/>
              <w:ind w:left="1350"/>
              <w:spacing w:after="0" w:line="176" w:lineRule="exact"/>
              <w:rPr>
                <w:sz w:val="20"/>
                <w:szCs w:val="20"/>
                <w:color w:val="auto"/>
              </w:rPr>
            </w:pPr>
            <w:r>
              <w:rPr>
                <w:rFonts w:ascii="Times New Roman" w:cs="Times New Roman" w:eastAsia="Times New Roman" w:hAnsi="Times New Roman"/>
                <w:sz w:val="18"/>
                <w:szCs w:val="18"/>
                <w:color w:val="auto"/>
                <w:w w:val="98"/>
              </w:rPr>
              <w:t>(IRS Employer</w:t>
            </w:r>
          </w:p>
        </w:tc>
        <w:tc>
          <w:tcPr>
            <w:tcW w:w="0" w:type="dxa"/>
            <w:vAlign w:val="bottom"/>
          </w:tcPr>
          <w:p>
            <w:pPr>
              <w:spacing w:after="0"/>
              <w:rPr>
                <w:sz w:val="1"/>
                <w:szCs w:val="1"/>
                <w:color w:val="auto"/>
              </w:rPr>
            </w:pPr>
          </w:p>
        </w:tc>
      </w:tr>
      <w:tr>
        <w:trPr>
          <w:trHeight w:val="234"/>
        </w:trPr>
        <w:tc>
          <w:tcPr>
            <w:tcW w:w="3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File Number)</w:t>
            </w:r>
          </w:p>
        </w:tc>
        <w:tc>
          <w:tcPr>
            <w:tcW w:w="27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38"/>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 Broadway, 3rd Floor</w:t>
            </w:r>
          </w:p>
        </w:tc>
        <w:tc>
          <w:tcPr>
            <w:tcW w:w="2120" w:type="dxa"/>
            <w:vAlign w:val="bottom"/>
          </w:tcPr>
          <w:p>
            <w:pPr>
              <w:spacing w:after="0"/>
              <w:rPr>
                <w:sz w:val="20"/>
                <w:szCs w:val="20"/>
                <w:color w:val="auto"/>
              </w:rPr>
            </w:pPr>
          </w:p>
        </w:tc>
        <w:tc>
          <w:tcPr>
            <w:tcW w:w="276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661" w:type="dxa"/>
        <w:tblCellMar>
          <w:top w:w="0" w:type="dxa"/>
          <w:left w:w="0" w:type="dxa"/>
          <w:bottom w:w="0" w:type="dxa"/>
          <w:right w:w="0" w:type="dxa"/>
        </w:tblCellMar>
      </w:tblPr>
      <w:tr>
        <w:trPr>
          <w:trHeight w:val="173"/>
        </w:trPr>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103505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1" w:lineRule="exact"/>
        <w:rPr>
          <w:sz w:val="24"/>
          <w:szCs w:val="24"/>
          <w:color w:val="auto"/>
        </w:rPr>
      </w:pPr>
    </w:p>
    <w:p>
      <w:pPr>
        <w:ind w:left="1" w:right="2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0"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ind w:left="1"/>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5" w:lineRule="exact"/>
        <w:rPr>
          <w:sz w:val="24"/>
          <w:szCs w:val="24"/>
          <w:color w:val="auto"/>
        </w:rPr>
      </w:pPr>
    </w:p>
    <w:p>
      <w:pPr>
        <w:ind w:left="1"/>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476250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48" w:lineRule="exact"/>
        <w:rPr>
          <w:sz w:val="20"/>
          <w:szCs w:val="20"/>
          <w:color w:val="auto"/>
        </w:rPr>
      </w:pPr>
    </w:p>
    <w:p>
      <w:pPr>
        <w:ind w:left="1" w:right="520" w:firstLine="648"/>
        <w:spacing w:after="0" w:line="226" w:lineRule="auto"/>
        <w:rPr>
          <w:sz w:val="20"/>
          <w:szCs w:val="20"/>
          <w:color w:val="auto"/>
        </w:rPr>
      </w:pPr>
      <w:r>
        <w:rPr>
          <w:rFonts w:ascii="Times New Roman" w:cs="Times New Roman" w:eastAsia="Times New Roman" w:hAnsi="Times New Roman"/>
          <w:sz w:val="18"/>
          <w:szCs w:val="18"/>
          <w:color w:val="auto"/>
        </w:rPr>
        <w:t>On June 24, 2019, Axsome Therapeutics, Inc. (the “Company”) issued a press release announcing the enrollment of the first patient in the Company’s GEMINI (Glutamatergic and Monoaminergic Modulation in Depression) Phase 3 trial of AXS-05 (dextromethorphan/bupropion) in major depressive disorder.</w:t>
      </w:r>
    </w:p>
    <w:p>
      <w:pPr>
        <w:spacing w:after="0" w:line="118"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incorporated herein by reference.</w:t>
      </w:r>
    </w:p>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9" w:lineRule="exact"/>
        <w:rPr>
          <w:sz w:val="20"/>
          <w:szCs w:val="20"/>
          <w:color w:val="auto"/>
        </w:rPr>
      </w:pPr>
    </w:p>
    <w:tbl>
      <w:tblPr>
        <w:tblLayout w:type="fixed"/>
        <w:tblInd w:w="1" w:type="dxa"/>
        <w:tblCellMar>
          <w:top w:w="0" w:type="dxa"/>
          <w:left w:w="0" w:type="dxa"/>
          <w:bottom w:w="0" w:type="dxa"/>
          <w:right w:w="0" w:type="dxa"/>
        </w:tblCellMar>
      </w:tblPr>
      <w:tr>
        <w:trPr>
          <w:trHeight w:val="187"/>
        </w:trPr>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2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320" w:type="dxa"/>
            <w:vAlign w:val="bottom"/>
          </w:tcPr>
          <w:p>
            <w:pPr>
              <w:spacing w:after="0"/>
              <w:rPr>
                <w:sz w:val="14"/>
                <w:szCs w:val="14"/>
                <w:color w:val="auto"/>
              </w:rPr>
            </w:pPr>
          </w:p>
        </w:tc>
        <w:tc>
          <w:tcPr>
            <w:tcW w:w="104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top w:val="single" w:sz="8" w:color="auto"/>
            </w:tcBorders>
            <w:gridSpan w:val="3"/>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June 24, 2019.</w:t>
              </w:r>
            </w:hyperlink>
          </w:p>
        </w:tc>
      </w:tr>
      <w:tr>
        <w:trPr>
          <w:trHeight w:val="686"/>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Borders>
              <w:top w:val="single" w:sz="8" w:color="0000EE"/>
            </w:tcBorders>
            <w:gridSpan w:val="2"/>
          </w:tcPr>
          <w:p>
            <w:pPr>
              <w:spacing w:after="0"/>
              <w:rPr>
                <w:sz w:val="24"/>
                <w:szCs w:val="24"/>
                <w:color w:val="auto"/>
              </w:rPr>
            </w:pPr>
          </w:p>
        </w:tc>
        <w:tc>
          <w:tcPr>
            <w:tcW w:w="5980" w:type="dxa"/>
            <w:vAlign w:val="bottom"/>
          </w:tcPr>
          <w:p>
            <w:pPr>
              <w:jc w:val="right"/>
              <w:ind w:right="492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4"/>
                <w:szCs w:val="24"/>
                <w:color w:val="auto"/>
              </w:rPr>
            </w:pPr>
          </w:p>
        </w:tc>
      </w:tr>
      <w:tr>
        <w:trPr>
          <w:trHeight w:val="719"/>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4" w:right="8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680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June 24, 2019</w:t>
            </w:r>
          </w:p>
        </w:tc>
        <w:tc>
          <w:tcPr>
            <w:tcW w:w="21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Herriot Tabuteau, M.D.</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180" w:type="dxa"/>
            <w:vAlign w:val="bottom"/>
            <w:vMerge w:val="restart"/>
          </w:tcPr>
          <w:p>
            <w:pPr>
              <w:ind w:left="1780"/>
              <w:spacing w:after="0" w:line="189" w:lineRule="exact"/>
              <w:rPr>
                <w:sz w:val="20"/>
                <w:szCs w:val="20"/>
                <w:color w:val="auto"/>
              </w:rPr>
            </w:pPr>
            <w:r>
              <w:rPr>
                <w:rFonts w:ascii="Times New Roman" w:cs="Times New Roman" w:eastAsia="Times New Roman" w:hAnsi="Times New Roman"/>
                <w:sz w:val="18"/>
                <w:szCs w:val="18"/>
                <w:color w:val="auto"/>
                <w:w w:val="79"/>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color w:val="auto"/>
              </w:rPr>
              <w:t>Herriot Tabuteau, M.D.</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21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7"/>
              </w:rPr>
              <w:t>Title:</w:t>
            </w: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96"/>
        </w:trPr>
        <w:tc>
          <w:tcPr>
            <w:tcW w:w="3260" w:type="dxa"/>
            <w:vAlign w:val="bottom"/>
          </w:tcPr>
          <w:p>
            <w:pPr>
              <w:spacing w:after="0"/>
              <w:rPr>
                <w:sz w:val="24"/>
                <w:szCs w:val="24"/>
                <w:color w:val="auto"/>
              </w:rPr>
            </w:pPr>
          </w:p>
        </w:tc>
        <w:tc>
          <w:tcPr>
            <w:tcW w:w="218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9"/>
        </w:trPr>
        <w:tc>
          <w:tcPr>
            <w:tcW w:w="3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4"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GEMINI Phase 3 Trial of AXS-05 in Major Depressive Disorder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patient enrolled in placebo-controlled GEMINI study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anticipated in 2H 2019</w:t>
      </w:r>
    </w:p>
    <w:p>
      <w:pPr>
        <w:spacing w:after="0" w:line="196"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NEW YORK, June 24, 2019 (Globe Newswire) – Axsome Therapeutics, Inc. (NASDAQ: AXSM), a clinical-stage biopharmaceutical company developing novel therapies for the management of central nervous system (CNS) disorders, enrolled the first patient in its GEMINI (Glutamatergic and Monoaminergic Modulation in Depression) study, a Phase 3, randomized, double-blind, placebo-controlled trial of AXS-05 in the treatment of major depressive disorder (MDD). AXS-05 is a novel, oral, investigational NMDA receptor antagonist with multimodal activity. Topline results from the GEMINI trial are anticipated in the second half of 2019.</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“Initiation of the placebo-controlled GEMINI Phase 3 trial continues the expedited clinical development of AXS-05 in depression. If successfully developed, AXS-05 has the potential to be the first orally administered NMDA receptor antagonist approved for the treatment of this debilitating condition,” said Herriot Tabuteau, MD, Chief Executive Officer of Axsome. “Based on the results of our recent FDA Breakthrough Therapy meeting for AXS-05, we believe that either the GEMINI study in MDD or the ongoing STRIDE-1 trial in treatment resistant depression, if positive, would, in conjunction with our previously completed ASCEND trial in MDD, be sufficient to support the filing of an NDA for AXS-05 for the treatment of MDD. We continue to anticipate topline results from both the STRIDE-1 and GEMINI trials in the second half of 2019.”</w:t>
      </w:r>
    </w:p>
    <w:p>
      <w:pPr>
        <w:spacing w:after="0" w:line="167"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In March 2019, Axsome received Breakthrough Therapy Designation from the U.S. Food and Drug Administration (FDA) for AXS-05 for the treatment of MDD.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AXS-05 has also been granted FDA Fast Track designations for the treatment of TRD and for the treatment of agitation associated with Alzheimer’s disease.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GEMINI Trial</w:t>
      </w:r>
    </w:p>
    <w:p>
      <w:pPr>
        <w:spacing w:after="0" w:line="106"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GEMINI (Glutamatergic and Monoaminergic Modulation in Depression) is a Phase 3, randomized, double-blind, multicenter, placebo-controlled trial of AXS-05 in patients with major depressive disorder (MDD). Approximately 300 patients with a confirmed diagnosis of moderate to severe MDD will be randomized in a 1:1 ratio to treatment with AXS-05 or placebo for 6 weeks. Assessments including the Montgomery-Åsberg Depression Rating Scale (MADRS), safety parameters, clinician-rated scales, as well as patient-reported outcome measures will be conducted throughout the study.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 17.3 million, experience MDD each year</w:t>
      </w:r>
      <w:r>
        <w:rPr>
          <w:rFonts w:ascii="Arial" w:cs="Arial" w:eastAsia="Arial" w:hAnsi="Arial"/>
          <w:sz w:val="8"/>
          <w:szCs w:val="8"/>
          <w:color w:val="auto"/>
        </w:rPr>
        <w:t>1</w:t>
      </w:r>
      <w:r>
        <w:rPr>
          <w:rFonts w:ascii="Arial" w:cs="Arial" w:eastAsia="Arial" w:hAnsi="Arial"/>
          <w:sz w:val="18"/>
          <w:szCs w:val="18"/>
          <w:color w:val="auto"/>
        </w:rPr>
        <w:t>. According to the World Health Organization (WHO), depression is the leading cause of disability worldwide, and is a major contributor to the overall global burden of disease</w:t>
      </w:r>
      <w:r>
        <w:rPr>
          <w:rFonts w:ascii="Arial" w:cs="Arial" w:eastAsia="Arial" w:hAnsi="Arial"/>
          <w:sz w:val="8"/>
          <w:szCs w:val="8"/>
          <w:color w:val="auto"/>
        </w:rPr>
        <w:t>2</w:t>
      </w:r>
      <w:r>
        <w:rPr>
          <w:rFonts w:ascii="Arial" w:cs="Arial" w:eastAsia="Arial" w:hAnsi="Arial"/>
          <w:sz w:val="18"/>
          <w:szCs w:val="18"/>
          <w:color w:val="auto"/>
        </w:rPr>
        <w:t>. Nearly two-thirds of diagnosed and treated patients do not experience adequate treatment response with currently available first-line therapy</w:t>
      </w:r>
      <w:r>
        <w:rPr>
          <w:rFonts w:ascii="Arial" w:cs="Arial" w:eastAsia="Arial" w:hAnsi="Arial"/>
          <w:sz w:val="8"/>
          <w:szCs w:val="8"/>
          <w:color w:val="auto"/>
        </w:rPr>
        <w:t>3</w:t>
      </w:r>
      <w:r>
        <w:rPr>
          <w:rFonts w:ascii="Arial" w:cs="Arial" w:eastAsia="Arial" w:hAnsi="Arial"/>
          <w:sz w:val="18"/>
          <w:szCs w:val="18"/>
          <w:color w:val="auto"/>
        </w:rPr>
        <w:t>, highlighting the need for additional therapies with new mechanisms of action. The majority of patients who initially fail also fail second-line treatment. Patients diagnosed with MDD are defined as having treatment resistant depression (TRD) if they have failed to respond to two or more antidepressant therapies.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497840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4" w:name="page5"/>
    <w:bookmarkEnd w:id="4"/>
    <w:p>
      <w:pPr>
        <w:ind w:left="5"/>
        <w:spacing w:after="0"/>
        <w:rPr>
          <w:sz w:val="20"/>
          <w:szCs w:val="20"/>
          <w:color w:val="auto"/>
        </w:rPr>
      </w:pPr>
      <w:r>
        <w:rPr>
          <w:rFonts w:ascii="Arial" w:cs="Arial" w:eastAsia="Arial" w:hAnsi="Arial"/>
          <w:sz w:val="18"/>
          <w:szCs w:val="18"/>
          <w:b w:val="1"/>
          <w:bCs w:val="1"/>
          <w:color w:val="auto"/>
        </w:rPr>
        <w:t>About AXS-05</w:t>
      </w:r>
    </w:p>
    <w:p>
      <w:pPr>
        <w:spacing w:after="0" w:line="106" w:lineRule="exact"/>
        <w:rPr>
          <w:sz w:val="20"/>
          <w:szCs w:val="20"/>
          <w:color w:val="auto"/>
        </w:rPr>
      </w:pPr>
    </w:p>
    <w:p>
      <w:pPr>
        <w:jc w:val="both"/>
        <w:ind w:left="5"/>
        <w:spacing w:after="0" w:line="239" w:lineRule="auto"/>
        <w:rPr>
          <w:sz w:val="20"/>
          <w:szCs w:val="20"/>
          <w:color w:val="auto"/>
        </w:rPr>
      </w:pPr>
      <w:r>
        <w:rPr>
          <w:rFonts w:ascii="Arial" w:cs="Arial" w:eastAsia="Arial" w:hAnsi="Arial"/>
          <w:sz w:val="18"/>
          <w:szCs w:val="18"/>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36 issued U.S. and international patents which provide protection out to 2034. AXS-05 is not approved by the FDA.</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Axsome Therapeutics, Inc.</w:t>
      </w:r>
    </w:p>
    <w:p>
      <w:pPr>
        <w:spacing w:after="0" w:line="106" w:lineRule="exact"/>
        <w:rPr>
          <w:sz w:val="20"/>
          <w:szCs w:val="20"/>
          <w:color w:val="auto"/>
        </w:rPr>
      </w:pPr>
    </w:p>
    <w:p>
      <w:pPr>
        <w:jc w:val="both"/>
        <w:ind w:left="5"/>
        <w:spacing w:after="0" w:line="238"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References</w:t>
      </w:r>
    </w:p>
    <w:p>
      <w:pPr>
        <w:spacing w:after="0" w:line="106" w:lineRule="exact"/>
        <w:rPr>
          <w:sz w:val="20"/>
          <w:szCs w:val="20"/>
          <w:color w:val="auto"/>
        </w:rPr>
      </w:pPr>
    </w:p>
    <w:p>
      <w:pPr>
        <w:ind w:left="5" w:right="3100" w:hanging="5"/>
        <w:spacing w:after="0" w:line="247" w:lineRule="auto"/>
        <w:tabs>
          <w:tab w:leader="none" w:pos="205"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Institute of Mental Health. (2017). Major Depression. Retrieved from https://www.nimh.nih.gov/health/statistics/major-depression.shtml.</w:t>
      </w:r>
    </w:p>
    <w:p>
      <w:pPr>
        <w:spacing w:after="0" w:line="1" w:lineRule="exact"/>
        <w:rPr>
          <w:rFonts w:ascii="Arial" w:cs="Arial" w:eastAsia="Arial" w:hAnsi="Arial"/>
          <w:sz w:val="18"/>
          <w:szCs w:val="18"/>
          <w:color w:val="auto"/>
        </w:rPr>
      </w:pPr>
    </w:p>
    <w:p>
      <w:pPr>
        <w:ind w:left="205" w:hanging="205"/>
        <w:spacing w:after="0" w:line="234" w:lineRule="auto"/>
        <w:tabs>
          <w:tab w:leader="none" w:pos="205"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 Health Organization. Fact Sheets: Depression.</w:t>
      </w:r>
    </w:p>
    <w:p>
      <w:pPr>
        <w:ind w:left="205" w:hanging="205"/>
        <w:spacing w:after="0"/>
        <w:tabs>
          <w:tab w:leader="none" w:pos="205" w:val="left"/>
        </w:tabs>
        <w:numPr>
          <w:ilvl w:val="0"/>
          <w:numId w:val="3"/>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39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331" w:right="1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Senior Vice President, Operations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200 Broadway, 3</w:t>
      </w:r>
      <w:r>
        <w:rPr>
          <w:rFonts w:ascii="Arial" w:cs="Arial" w:eastAsia="Arial" w:hAnsi="Arial"/>
          <w:sz w:val="18"/>
          <w:szCs w:val="18"/>
          <w:color w:val="auto"/>
          <w:vertAlign w:val="superscript"/>
        </w:rPr>
        <w:t>rd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10038</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497840</wp:posOffset>
            </wp:positionV>
            <wp:extent cx="5960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331" w:right="1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2019-12-28T10:53:47Z</dcterms:created>
  <dcterms:modified xsi:type="dcterms:W3CDTF">2019-12-28T10:53:47Z</dcterms:modified>
</cp:coreProperties>
</file>