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624840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40" w:type="dxa"/>
            <w:vAlign w:val="bottom"/>
            <w:gridSpan w:val="3"/>
          </w:tcPr>
          <w:p>
            <w:pPr>
              <w:jc w:val="center"/>
              <w:ind w:right="2560"/>
              <w:spacing w:after="0"/>
              <w:rPr>
                <w:sz w:val="20"/>
                <w:szCs w:val="20"/>
                <w:color w:val="auto"/>
              </w:rPr>
            </w:pPr>
            <w:r>
              <w:rPr>
                <w:rFonts w:ascii="Times New Roman" w:cs="Times New Roman" w:eastAsia="Times New Roman" w:hAnsi="Times New Roman"/>
                <w:sz w:val="22"/>
                <w:szCs w:val="22"/>
                <w:b w:val="1"/>
                <w:bCs w:val="1"/>
                <w:color w:val="auto"/>
                <w:w w:val="98"/>
              </w:rPr>
              <w:t>UNITED STATES</w:t>
            </w:r>
          </w:p>
        </w:tc>
        <w:tc>
          <w:tcPr>
            <w:tcW w:w="0" w:type="dxa"/>
            <w:vAlign w:val="bottom"/>
          </w:tcPr>
          <w:p>
            <w:pPr>
              <w:spacing w:after="0"/>
              <w:rPr>
                <w:sz w:val="1"/>
                <w:szCs w:val="1"/>
                <w:color w:val="auto"/>
              </w:rPr>
            </w:pPr>
          </w:p>
        </w:tc>
      </w:tr>
      <w:tr>
        <w:trPr>
          <w:trHeight w:val="252"/>
        </w:trPr>
        <w:tc>
          <w:tcPr>
            <w:tcW w:w="1160" w:type="dxa"/>
            <w:vAlign w:val="bottom"/>
          </w:tcPr>
          <w:p>
            <w:pPr>
              <w:spacing w:after="0"/>
              <w:rPr>
                <w:sz w:val="21"/>
                <w:szCs w:val="21"/>
                <w:color w:val="auto"/>
              </w:rPr>
            </w:pPr>
          </w:p>
        </w:tc>
        <w:tc>
          <w:tcPr>
            <w:tcW w:w="8360" w:type="dxa"/>
            <w:vAlign w:val="bottom"/>
            <w:gridSpan w:val="5"/>
          </w:tcPr>
          <w:p>
            <w:pPr>
              <w:jc w:val="center"/>
              <w:ind w:left="481"/>
              <w:spacing w:after="0"/>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c>
          <w:tcPr>
            <w:tcW w:w="0" w:type="dxa"/>
            <w:vAlign w:val="bottom"/>
          </w:tcPr>
          <w:p>
            <w:pPr>
              <w:spacing w:after="0"/>
              <w:rPr>
                <w:sz w:val="1"/>
                <w:szCs w:val="1"/>
                <w:color w:val="auto"/>
              </w:rPr>
            </w:pPr>
          </w:p>
        </w:tc>
      </w:tr>
      <w:tr>
        <w:trPr>
          <w:trHeight w:val="238"/>
        </w:trPr>
        <w:tc>
          <w:tcPr>
            <w:tcW w:w="1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40" w:type="dxa"/>
            <w:vAlign w:val="bottom"/>
            <w:gridSpan w:val="3"/>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0" w:type="dxa"/>
            <w:vAlign w:val="bottom"/>
          </w:tcPr>
          <w:p>
            <w:pPr>
              <w:spacing w:after="0"/>
              <w:rPr>
                <w:sz w:val="1"/>
                <w:szCs w:val="1"/>
                <w:color w:val="auto"/>
              </w:rPr>
            </w:pPr>
          </w:p>
        </w:tc>
      </w:tr>
      <w:tr>
        <w:trPr>
          <w:trHeight w:val="68"/>
        </w:trPr>
        <w:tc>
          <w:tcPr>
            <w:tcW w:w="11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9"/>
        </w:trPr>
        <w:tc>
          <w:tcPr>
            <w:tcW w:w="11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40" w:type="dxa"/>
            <w:vAlign w:val="bottom"/>
            <w:gridSpan w:val="3"/>
          </w:tcPr>
          <w:p>
            <w:pPr>
              <w:jc w:val="center"/>
              <w:ind w:right="2560"/>
              <w:spacing w:after="0"/>
              <w:rPr>
                <w:sz w:val="20"/>
                <w:szCs w:val="20"/>
                <w:color w:val="auto"/>
              </w:rPr>
            </w:pPr>
            <w:r>
              <w:rPr>
                <w:rFonts w:ascii="Times New Roman" w:cs="Times New Roman" w:eastAsia="Times New Roman" w:hAnsi="Times New Roman"/>
                <w:sz w:val="22"/>
                <w:szCs w:val="22"/>
                <w:b w:val="1"/>
                <w:bCs w:val="1"/>
                <w:color w:val="auto"/>
                <w:w w:val="97"/>
              </w:rPr>
              <w:t>FORM 10-K</w:t>
            </w:r>
          </w:p>
        </w:tc>
        <w:tc>
          <w:tcPr>
            <w:tcW w:w="0" w:type="dxa"/>
            <w:vAlign w:val="bottom"/>
          </w:tcPr>
          <w:p>
            <w:pPr>
              <w:spacing w:after="0"/>
              <w:rPr>
                <w:sz w:val="1"/>
                <w:szCs w:val="1"/>
                <w:color w:val="auto"/>
              </w:rPr>
            </w:pPr>
          </w:p>
        </w:tc>
      </w:tr>
      <w:tr>
        <w:trPr>
          <w:trHeight w:val="189"/>
        </w:trPr>
        <w:tc>
          <w:tcPr>
            <w:tcW w:w="1160" w:type="dxa"/>
            <w:vAlign w:val="bottom"/>
            <w:vMerge w:val="continue"/>
          </w:tcPr>
          <w:p>
            <w:pPr>
              <w:spacing w:after="0"/>
              <w:rPr>
                <w:sz w:val="16"/>
                <w:szCs w:val="16"/>
                <w:color w:val="auto"/>
              </w:rPr>
            </w:pPr>
          </w:p>
        </w:tc>
        <w:tc>
          <w:tcPr>
            <w:tcW w:w="8360" w:type="dxa"/>
            <w:vAlign w:val="bottom"/>
            <w:gridSpan w:val="5"/>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5440" w:type="dxa"/>
            <w:vAlign w:val="bottom"/>
            <w:gridSpan w:val="4"/>
          </w:tcPr>
          <w:p>
            <w:pPr>
              <w:jc w:val="center"/>
              <w:ind w:right="2360"/>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tc>
        <w:tc>
          <w:tcPr>
            <w:tcW w:w="0" w:type="dxa"/>
            <w:vAlign w:val="bottom"/>
          </w:tcPr>
          <w:p>
            <w:pPr>
              <w:spacing w:after="0"/>
              <w:rPr>
                <w:sz w:val="1"/>
                <w:szCs w:val="1"/>
                <w:color w:val="auto"/>
              </w:rPr>
            </w:pPr>
          </w:p>
        </w:tc>
      </w:tr>
      <w:tr>
        <w:trPr>
          <w:trHeight w:val="190"/>
        </w:trPr>
        <w:tc>
          <w:tcPr>
            <w:tcW w:w="1160" w:type="dxa"/>
            <w:vAlign w:val="bottom"/>
            <w:vMerge w:val="restart"/>
          </w:tcPr>
          <w:p>
            <w:pPr>
              <w:spacing w:after="0" w:line="141" w:lineRule="exact"/>
              <w:rPr>
                <w:sz w:val="20"/>
                <w:szCs w:val="20"/>
                <w:color w:val="auto"/>
              </w:rPr>
            </w:pPr>
            <w:r>
              <w:rPr>
                <w:rFonts w:ascii="MS PGothic" w:cs="MS PGothic" w:eastAsia="MS PGothic" w:hAnsi="MS PGothic"/>
                <w:sz w:val="14"/>
                <w:szCs w:val="14"/>
                <w:color w:val="auto"/>
                <w:highlight w:val="black"/>
              </w:rPr>
              <w:t>☐</w:t>
            </w:r>
          </w:p>
        </w:tc>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40" w:type="dxa"/>
            <w:vAlign w:val="bottom"/>
            <w:gridSpan w:val="3"/>
          </w:tcPr>
          <w:p>
            <w:pPr>
              <w:jc w:val="center"/>
              <w:ind w:right="2540"/>
              <w:spacing w:after="0"/>
              <w:rPr>
                <w:sz w:val="20"/>
                <w:szCs w:val="20"/>
                <w:color w:val="auto"/>
              </w:rPr>
            </w:pPr>
            <w:r>
              <w:rPr>
                <w:rFonts w:ascii="Times New Roman" w:cs="Times New Roman" w:eastAsia="Times New Roman" w:hAnsi="Times New Roman"/>
                <w:sz w:val="14"/>
                <w:szCs w:val="14"/>
                <w:b w:val="1"/>
                <w:bCs w:val="1"/>
                <w:color w:val="auto"/>
              </w:rPr>
              <w:t>OR</w:t>
            </w:r>
          </w:p>
        </w:tc>
        <w:tc>
          <w:tcPr>
            <w:tcW w:w="0" w:type="dxa"/>
            <w:vAlign w:val="bottom"/>
          </w:tcPr>
          <w:p>
            <w:pPr>
              <w:spacing w:after="0"/>
              <w:rPr>
                <w:sz w:val="1"/>
                <w:szCs w:val="1"/>
                <w:color w:val="auto"/>
              </w:rPr>
            </w:pPr>
          </w:p>
        </w:tc>
      </w:tr>
      <w:tr>
        <w:trPr>
          <w:trHeight w:val="224"/>
        </w:trPr>
        <w:tc>
          <w:tcPr>
            <w:tcW w:w="1160" w:type="dxa"/>
            <w:vAlign w:val="bottom"/>
            <w:vMerge w:val="continue"/>
          </w:tcPr>
          <w:p>
            <w:pPr>
              <w:spacing w:after="0"/>
              <w:rPr>
                <w:sz w:val="19"/>
                <w:szCs w:val="19"/>
                <w:color w:val="auto"/>
              </w:rPr>
            </w:pPr>
          </w:p>
        </w:tc>
        <w:tc>
          <w:tcPr>
            <w:tcW w:w="8360" w:type="dxa"/>
            <w:vAlign w:val="bottom"/>
            <w:gridSpan w:val="5"/>
          </w:tcPr>
          <w:p>
            <w:pPr>
              <w:jc w:val="center"/>
              <w:ind w:left="941"/>
              <w:spacing w:after="0"/>
              <w:rPr>
                <w:sz w:val="20"/>
                <w:szCs w:val="20"/>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35"/>
        </w:trPr>
        <w:tc>
          <w:tcPr>
            <w:tcW w:w="1160" w:type="dxa"/>
            <w:vAlign w:val="bottom"/>
          </w:tcPr>
          <w:p>
            <w:pPr>
              <w:spacing w:after="0"/>
              <w:rPr>
                <w:sz w:val="20"/>
                <w:szCs w:val="20"/>
                <w:color w:val="auto"/>
              </w:rPr>
            </w:pPr>
          </w:p>
        </w:tc>
        <w:tc>
          <w:tcPr>
            <w:tcW w:w="8360" w:type="dxa"/>
            <w:vAlign w:val="bottom"/>
            <w:gridSpan w:val="5"/>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4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Commission File Number 001-37635</w:t>
            </w:r>
          </w:p>
        </w:tc>
        <w:tc>
          <w:tcPr>
            <w:tcW w:w="0" w:type="dxa"/>
            <w:vAlign w:val="bottom"/>
          </w:tcPr>
          <w:p>
            <w:pPr>
              <w:spacing w:after="0"/>
              <w:rPr>
                <w:sz w:val="1"/>
                <w:szCs w:val="1"/>
                <w:color w:val="auto"/>
              </w:rPr>
            </w:pPr>
          </w:p>
        </w:tc>
      </w:tr>
      <w:tr>
        <w:trPr>
          <w:trHeight w:val="54"/>
        </w:trPr>
        <w:tc>
          <w:tcPr>
            <w:tcW w:w="11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3080" w:type="dxa"/>
            <w:vAlign w:val="bottom"/>
            <w:tcBorders>
              <w:bottom w:val="single" w:sz="8" w:color="auto"/>
            </w:tcBorders>
            <w:gridSpan w:val="3"/>
          </w:tcPr>
          <w:p>
            <w:pPr>
              <w:spacing w:after="0"/>
              <w:rPr>
                <w:sz w:val="4"/>
                <w:szCs w:val="4"/>
                <w:color w:val="auto"/>
              </w:rPr>
            </w:pPr>
          </w:p>
        </w:tc>
        <w:tc>
          <w:tcPr>
            <w:tcW w:w="2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5440" w:type="dxa"/>
            <w:vAlign w:val="bottom"/>
            <w:gridSpan w:val="4"/>
          </w:tcPr>
          <w:p>
            <w:pPr>
              <w:jc w:val="center"/>
              <w:ind w:right="2360"/>
              <w:spacing w:after="0"/>
              <w:rPr>
                <w:sz w:val="20"/>
                <w:szCs w:val="20"/>
                <w:color w:val="auto"/>
              </w:rPr>
            </w:pPr>
            <w:r>
              <w:rPr>
                <w:rFonts w:ascii="Times New Roman" w:cs="Times New Roman" w:eastAsia="Times New Roman" w:hAnsi="Times New Roman"/>
                <w:sz w:val="18"/>
                <w:szCs w:val="18"/>
                <w:b w:val="1"/>
                <w:bCs w:val="1"/>
                <w:color w:val="auto"/>
                <w:w w:val="99"/>
              </w:rPr>
              <w:t>AXSOME THERAPEUTICS, INC.</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8360" w:type="dxa"/>
            <w:vAlign w:val="bottom"/>
            <w:gridSpan w:val="5"/>
          </w:tcPr>
          <w:p>
            <w:pPr>
              <w:jc w:val="center"/>
              <w:ind w:left="501"/>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0" w:type="dxa"/>
            <w:vAlign w:val="bottom"/>
          </w:tcPr>
          <w:p>
            <w:pPr>
              <w:spacing w:after="0"/>
              <w:rPr>
                <w:sz w:val="1"/>
                <w:szCs w:val="1"/>
                <w:color w:val="auto"/>
              </w:rPr>
            </w:pPr>
          </w:p>
        </w:tc>
      </w:tr>
    </w:tbl>
    <w:p>
      <w:pPr>
        <w:spacing w:after="0" w:line="62" w:lineRule="exact"/>
        <w:rPr>
          <w:sz w:val="24"/>
          <w:szCs w:val="24"/>
          <w:color w:val="auto"/>
        </w:rPr>
      </w:pPr>
    </w:p>
    <w:tbl>
      <w:tblPr>
        <w:tblLayout w:type="fixed"/>
        <w:tblInd w:w="1680" w:type="dxa"/>
        <w:tblCellMar>
          <w:top w:w="0" w:type="dxa"/>
          <w:left w:w="0" w:type="dxa"/>
          <w:bottom w:w="0" w:type="dxa"/>
          <w:right w:w="0" w:type="dxa"/>
        </w:tblCellMar>
      </w:tblPr>
      <w:tr>
        <w:trPr>
          <w:trHeight w:val="196"/>
        </w:trPr>
        <w:tc>
          <w:tcPr>
            <w:tcW w:w="4240" w:type="dxa"/>
            <w:vAlign w:val="bottom"/>
          </w:tcPr>
          <w:p>
            <w:pPr>
              <w:jc w:val="center"/>
              <w:ind w:right="190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04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45-4241907</w:t>
            </w:r>
          </w:p>
        </w:tc>
      </w:tr>
      <w:tr>
        <w:trPr>
          <w:trHeight w:val="149"/>
        </w:trPr>
        <w:tc>
          <w:tcPr>
            <w:tcW w:w="4240" w:type="dxa"/>
            <w:vAlign w:val="bottom"/>
          </w:tcPr>
          <w:p>
            <w:pPr>
              <w:jc w:val="center"/>
              <w:ind w:right="1883"/>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040" w:type="dxa"/>
            <w:vAlign w:val="bottom"/>
          </w:tcPr>
          <w:p>
            <w:pPr>
              <w:jc w:val="center"/>
              <w:ind w:left="1904"/>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4240" w:type="dxa"/>
            <w:vAlign w:val="bottom"/>
          </w:tcPr>
          <w:p>
            <w:pPr>
              <w:jc w:val="center"/>
              <w:ind w:right="190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210"/>
        </w:trPr>
        <w:tc>
          <w:tcPr>
            <w:tcW w:w="4240" w:type="dxa"/>
            <w:vAlign w:val="bottom"/>
          </w:tcPr>
          <w:p>
            <w:pPr>
              <w:jc w:val="center"/>
              <w:ind w:right="1883"/>
              <w:spacing w:after="0"/>
              <w:rPr>
                <w:sz w:val="20"/>
                <w:szCs w:val="20"/>
                <w:color w:val="auto"/>
              </w:rPr>
            </w:pPr>
            <w:r>
              <w:rPr>
                <w:rFonts w:ascii="Times New Roman" w:cs="Times New Roman" w:eastAsia="Times New Roman" w:hAnsi="Times New Roman"/>
                <w:sz w:val="16"/>
                <w:szCs w:val="16"/>
                <w:b w:val="1"/>
                <w:bCs w:val="1"/>
                <w:color w:val="auto"/>
              </w:rPr>
              <w:t>One World Trade Center</w:t>
            </w:r>
          </w:p>
        </w:tc>
        <w:tc>
          <w:tcPr>
            <w:tcW w:w="3040" w:type="dxa"/>
            <w:vAlign w:val="bottom"/>
          </w:tcPr>
          <w:p>
            <w:pPr>
              <w:spacing w:after="0"/>
              <w:rPr>
                <w:sz w:val="18"/>
                <w:szCs w:val="18"/>
                <w:color w:val="auto"/>
              </w:rPr>
            </w:pPr>
          </w:p>
        </w:tc>
      </w:tr>
      <w:tr>
        <w:trPr>
          <w:trHeight w:val="196"/>
        </w:trPr>
        <w:tc>
          <w:tcPr>
            <w:tcW w:w="4240" w:type="dxa"/>
            <w:vAlign w:val="bottom"/>
          </w:tcPr>
          <w:p>
            <w:pPr>
              <w:jc w:val="center"/>
              <w:ind w:right="1883"/>
              <w:spacing w:after="0"/>
              <w:rPr>
                <w:sz w:val="20"/>
                <w:szCs w:val="20"/>
                <w:color w:val="auto"/>
              </w:rPr>
            </w:pPr>
            <w:r>
              <w:rPr>
                <w:rFonts w:ascii="Times New Roman" w:cs="Times New Roman" w:eastAsia="Times New Roman" w:hAnsi="Times New Roman"/>
                <w:sz w:val="16"/>
                <w:szCs w:val="16"/>
                <w:b w:val="1"/>
                <w:bCs w:val="1"/>
                <w:color w:val="auto"/>
              </w:rPr>
              <w:t>29th Floor</w:t>
            </w:r>
          </w:p>
        </w:tc>
        <w:tc>
          <w:tcPr>
            <w:tcW w:w="3040" w:type="dxa"/>
            <w:vAlign w:val="bottom"/>
          </w:tcPr>
          <w:p>
            <w:pPr>
              <w:jc w:val="right"/>
              <w:ind w:right="244"/>
              <w:spacing w:after="0"/>
              <w:rPr>
                <w:sz w:val="20"/>
                <w:szCs w:val="20"/>
                <w:color w:val="auto"/>
              </w:rPr>
            </w:pPr>
            <w:r>
              <w:rPr>
                <w:rFonts w:ascii="Times New Roman" w:cs="Times New Roman" w:eastAsia="Times New Roman" w:hAnsi="Times New Roman"/>
                <w:sz w:val="16"/>
                <w:szCs w:val="16"/>
                <w:b w:val="1"/>
                <w:bCs w:val="1"/>
                <w:color w:val="auto"/>
              </w:rPr>
              <w:t>10007</w:t>
            </w:r>
          </w:p>
        </w:tc>
      </w:tr>
      <w:tr>
        <w:trPr>
          <w:trHeight w:val="203"/>
        </w:trPr>
        <w:tc>
          <w:tcPr>
            <w:tcW w:w="4240" w:type="dxa"/>
            <w:vAlign w:val="bottom"/>
          </w:tcPr>
          <w:p>
            <w:pPr>
              <w:jc w:val="center"/>
              <w:ind w:right="1903"/>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3040" w:type="dxa"/>
            <w:vAlign w:val="bottom"/>
          </w:tcPr>
          <w:p>
            <w:pPr>
              <w:jc w:val="center"/>
              <w:ind w:left="1904"/>
              <w:spacing w:after="0"/>
              <w:rPr>
                <w:sz w:val="20"/>
                <w:szCs w:val="20"/>
                <w:color w:val="auto"/>
              </w:rPr>
            </w:pPr>
            <w:r>
              <w:rPr>
                <w:rFonts w:ascii="Times New Roman" w:cs="Times New Roman" w:eastAsia="Times New Roman" w:hAnsi="Times New Roman"/>
                <w:sz w:val="14"/>
                <w:szCs w:val="14"/>
                <w:color w:val="auto"/>
              </w:rPr>
              <w:t>(Zip Code)</w:t>
            </w:r>
          </w:p>
        </w:tc>
      </w:tr>
      <w:tr>
        <w:trPr>
          <w:trHeight w:val="188"/>
        </w:trPr>
        <w:tc>
          <w:tcPr>
            <w:tcW w:w="4240" w:type="dxa"/>
            <w:vAlign w:val="bottom"/>
          </w:tcPr>
          <w:p>
            <w:pPr>
              <w:jc w:val="center"/>
              <w:ind w:right="1883"/>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040" w:type="dxa"/>
            <w:vAlign w:val="bottom"/>
          </w:tcPr>
          <w:p>
            <w:pPr>
              <w:spacing w:after="0"/>
              <w:rPr>
                <w:sz w:val="16"/>
                <w:szCs w:val="16"/>
                <w:color w:val="auto"/>
              </w:rPr>
            </w:pPr>
          </w:p>
        </w:tc>
      </w:tr>
    </w:tbl>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(212) 332-3241</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20"/>
          </w:cols>
          <w:pgMar w:left="320" w:top="223" w:right="359" w:bottom="1440" w:gutter="0" w:footer="0" w:header="0"/>
        </w:sectPr>
      </w:pPr>
    </w:p>
    <w:p>
      <w:pPr>
        <w:spacing w:after="0" w:line="84"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Trading Symbol(s)</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Name of Each Exchange on Which Registered</w:t>
      </w:r>
    </w:p>
    <w:p>
      <w:pPr>
        <w:spacing w:after="0" w:line="119" w:lineRule="exact"/>
        <w:rPr>
          <w:sz w:val="24"/>
          <w:szCs w:val="24"/>
          <w:color w:val="auto"/>
        </w:rPr>
      </w:pPr>
    </w:p>
    <w:p>
      <w:pPr>
        <w:sectPr>
          <w:pgSz w:w="11900" w:h="16838" w:orient="portrait"/>
          <w:cols w:equalWidth="0" w:num="3">
            <w:col w:w="4440" w:space="720"/>
            <w:col w:w="2320" w:space="720"/>
            <w:col w:w="3020"/>
          </w:cols>
          <w:pgMar w:left="320" w:top="223" w:right="359" w:bottom="1440" w:gutter="0" w:footer="0" w:header="0"/>
          <w:type w:val="continuous"/>
        </w:sectPr>
      </w:pPr>
    </w:p>
    <w:p>
      <w:pPr>
        <w:ind w:left="740"/>
        <w:spacing w:after="0"/>
        <w:rPr>
          <w:sz w:val="20"/>
          <w:szCs w:val="20"/>
          <w:color w:val="auto"/>
        </w:rPr>
      </w:pPr>
      <w:r>
        <w:rPr>
          <w:rFonts w:ascii="Times New Roman" w:cs="Times New Roman" w:eastAsia="Times New Roman" w:hAnsi="Times New Roman"/>
          <w:sz w:val="12"/>
          <w:szCs w:val="12"/>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color w:val="auto"/>
        </w:rPr>
        <w:t>AXSM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The Nasdaq Global Market</w:t>
      </w:r>
    </w:p>
    <w:p>
      <w:pPr>
        <w:spacing w:after="0" w:line="12" w:lineRule="exact"/>
        <w:rPr>
          <w:sz w:val="24"/>
          <w:szCs w:val="24"/>
          <w:color w:val="auto"/>
        </w:rPr>
      </w:pPr>
    </w:p>
    <w:p>
      <w:pPr>
        <w:sectPr>
          <w:pgSz w:w="11900" w:h="16838" w:orient="portrait"/>
          <w:cols w:equalWidth="0" w:num="3">
            <w:col w:w="4720" w:space="720"/>
            <w:col w:w="2520" w:space="720"/>
            <w:col w:w="2540"/>
          </w:cols>
          <w:pgMar w:left="320" w:top="223" w:right="359" w:bottom="1440" w:gutter="0" w:footer="0" w:header="0"/>
          <w:type w:val="continuous"/>
        </w:sectPr>
      </w:pPr>
    </w:p>
    <w:p>
      <w:pPr>
        <w:ind w:left="1500"/>
        <w:spacing w:after="0"/>
        <w:rPr>
          <w:sz w:val="20"/>
          <w:szCs w:val="20"/>
          <w:color w:val="auto"/>
        </w:rPr>
      </w:pPr>
      <w:r>
        <w:rPr>
          <w:rFonts w:ascii="Times New Roman" w:cs="Times New Roman" w:eastAsia="Times New Roman" w:hAnsi="Times New Roman"/>
          <w:sz w:val="13"/>
          <w:szCs w:val="13"/>
          <w:color w:val="auto"/>
        </w:rPr>
        <w:t>(Title of Class)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Securities registered pursuant to Section 12(g) of the Act:</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None</w:t>
      </w:r>
    </w:p>
    <w:p>
      <w:pPr>
        <w:sectPr>
          <w:pgSz w:w="11900" w:h="16838" w:orient="portrait"/>
          <w:cols w:equalWidth="0" w:num="1">
            <w:col w:w="11220"/>
          </w:cols>
          <w:pgMar w:left="320" w:top="223" w:right="359" w:bottom="1440" w:gutter="0" w:footer="0" w:header="0"/>
          <w:type w:val="continuous"/>
        </w:sectPr>
      </w:pPr>
    </w:p>
    <w:p>
      <w:pPr>
        <w:spacing w:after="0" w:line="13"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w:t>
      </w:r>
    </w:p>
    <w:p>
      <w:pPr>
        <w:spacing w:after="0" w:line="13" w:lineRule="exact"/>
        <w:rPr>
          <w:sz w:val="24"/>
          <w:szCs w:val="24"/>
          <w:color w:val="auto"/>
        </w:rPr>
      </w:pPr>
    </w:p>
    <w:p>
      <w:pPr>
        <w:ind w:left="7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color w:val="auto"/>
        </w:rPr>
        <w:t>Indicate by check mark if the registrant is not required to file reports pursuant to Section 13 or Section 15(d) of the Act.</w:t>
      </w:r>
    </w:p>
    <w:p>
      <w:pPr>
        <w:spacing w:after="0" w:line="1" w:lineRule="exact"/>
        <w:rPr>
          <w:sz w:val="24"/>
          <w:szCs w:val="24"/>
          <w:color w:val="auto"/>
        </w:rPr>
      </w:pPr>
    </w:p>
    <w:p>
      <w:pPr>
        <w:ind w:left="760"/>
        <w:spacing w:after="0" w:line="150"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140" w:firstLine="749"/>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firstLine="749"/>
        <w:spacing w:after="0" w:line="15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ind w:right="100" w:firstLine="749"/>
        <w:spacing w:after="0" w:line="22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27" w:lineRule="exact"/>
        <w:rPr>
          <w:sz w:val="24"/>
          <w:szCs w:val="24"/>
          <w:color w:val="auto"/>
        </w:rPr>
      </w:pPr>
    </w:p>
    <w:tbl>
      <w:tblPr>
        <w:tblLayout w:type="fixed"/>
        <w:tblInd w:w="800" w:type="dxa"/>
        <w:tblCellMar>
          <w:top w:w="0" w:type="dxa"/>
          <w:left w:w="0" w:type="dxa"/>
          <w:bottom w:w="0" w:type="dxa"/>
          <w:right w:w="0" w:type="dxa"/>
        </w:tblCellMar>
      </w:tblPr>
      <w:tr>
        <w:trPr>
          <w:trHeight w:val="155"/>
        </w:trPr>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620" w:type="dxa"/>
            <w:vAlign w:val="bottom"/>
          </w:tcPr>
          <w:p>
            <w:pPr>
              <w:ind w:left="1420"/>
              <w:spacing w:after="0" w:line="131" w:lineRule="exact"/>
              <w:rPr>
                <w:sz w:val="20"/>
                <w:szCs w:val="20"/>
                <w:color w:val="auto"/>
              </w:rPr>
            </w:pPr>
            <w:r>
              <w:rPr>
                <w:rFonts w:ascii="MS PGothic" w:cs="MS PGothic" w:eastAsia="MS PGothic" w:hAnsi="MS PGothic"/>
                <w:sz w:val="13"/>
                <w:szCs w:val="13"/>
                <w:color w:val="auto"/>
              </w:rPr>
              <w:t>☒</w:t>
            </w:r>
          </w:p>
        </w:tc>
        <w:tc>
          <w:tcPr>
            <w:tcW w:w="376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Accelerated Filer</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620" w:type="dxa"/>
            <w:vAlign w:val="bottom"/>
          </w:tcPr>
          <w:p>
            <w:pPr>
              <w:ind w:left="1420"/>
              <w:spacing w:after="0" w:line="131" w:lineRule="exact"/>
              <w:rPr>
                <w:sz w:val="20"/>
                <w:szCs w:val="20"/>
                <w:color w:val="auto"/>
              </w:rPr>
            </w:pPr>
            <w:r>
              <w:rPr>
                <w:rFonts w:ascii="MS PGothic" w:cs="MS PGothic" w:eastAsia="MS PGothic" w:hAnsi="MS PGothic"/>
                <w:sz w:val="13"/>
                <w:szCs w:val="13"/>
                <w:color w:val="auto"/>
              </w:rPr>
              <w:t>☐</w:t>
            </w:r>
          </w:p>
        </w:tc>
        <w:tc>
          <w:tcPr>
            <w:tcW w:w="376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2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760" w:type="dxa"/>
            <w:vAlign w:val="bottom"/>
          </w:tcPr>
          <w:p>
            <w:pPr>
              <w:ind w:left="11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420" w:type="dxa"/>
            <w:vAlign w:val="bottom"/>
          </w:tcPr>
          <w:p>
            <w:pPr>
              <w:ind w:left="13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79" w:lineRule="exact"/>
        <w:rPr>
          <w:sz w:val="24"/>
          <w:szCs w:val="24"/>
          <w:color w:val="auto"/>
        </w:rPr>
      </w:pPr>
    </w:p>
    <w:p>
      <w:pPr>
        <w:ind w:right="140" w:firstLine="749"/>
        <w:spacing w:after="0" w:line="15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160" w:firstLine="749"/>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ind w:right="180" w:firstLine="749"/>
        <w:spacing w:after="0" w:line="15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ind w:right="100" w:firstLine="749"/>
        <w:spacing w:after="0" w:line="153"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7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520" w:firstLine="749"/>
        <w:spacing w:after="0" w:line="228"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(assuming for purposes of this calculation, without conceding, that all executive officers and directors are “affiliates”) was approximately $4.4 billion as of June 30, 2025, based on the closing sale price of such stock as reported on The Nasdaq Global Market.</w:t>
      </w:r>
    </w:p>
    <w:p>
      <w:pPr>
        <w:spacing w:after="0" w:line="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color w:val="auto"/>
        </w:rPr>
        <w:t>There were 51,153,289 shares of the registrant’s common stock outstanding as of February 16, 2026.</w:t>
      </w:r>
    </w:p>
    <w:p>
      <w:pPr>
        <w:spacing w:after="0" w:line="1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ind w:firstLine="749"/>
        <w:spacing w:after="0" w:line="22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its 2026 Annual Meeting of Stockholders (the “Proxy Statement”), to be filed within 120 days of the registrant’s fiscal year ended December 31, 2025, are incorporated by reference in Part III of this Annual Report on Form 10-K.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318"/>
        </w:trPr>
        <w:tc>
          <w:tcPr>
            <w:tcW w:w="107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SPECIAL CAUTIONARY NOTICE REGARDING FORWARD-LOOKING STATEMENTS</w:t>
            </w:r>
          </w:p>
        </w:tc>
        <w:tc>
          <w:tcPr>
            <w:tcW w:w="360" w:type="dxa"/>
            <w:vAlign w:val="bottom"/>
            <w:tcBorders>
              <w:top w:val="single" w:sz="8" w:color="auto"/>
            </w:tcBorders>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8"/>
        </w:trPr>
        <w:tc>
          <w:tcPr>
            <w:tcW w:w="11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gridSpan w:val="8"/>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PART I</w:t>
            </w:r>
          </w:p>
        </w:tc>
        <w:tc>
          <w:tcPr>
            <w:tcW w:w="392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41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Business</w:t>
            </w:r>
          </w:p>
        </w:tc>
        <w:tc>
          <w:tcPr>
            <w:tcW w:w="600" w:type="dxa"/>
            <w:vAlign w:val="bottom"/>
            <w:tcBorders>
              <w:top w:val="single" w:sz="8" w:color="0000EE"/>
            </w:tcBorders>
            <w:gridSpan w:val="2"/>
          </w:tcPr>
          <w:p>
            <w:pPr>
              <w:spacing w:after="0"/>
              <w:rPr>
                <w:sz w:val="17"/>
                <w:szCs w:val="17"/>
                <w:color w:val="auto"/>
              </w:rPr>
            </w:pPr>
          </w:p>
        </w:tc>
        <w:tc>
          <w:tcPr>
            <w:tcW w:w="4820" w:type="dxa"/>
            <w:vAlign w:val="bottom"/>
            <w:gridSpan w:val="11"/>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6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auto"/>
              </w:rPr>
              <w:t>Risk Factors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114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Unresolved Staff Comments</w:t>
            </w:r>
          </w:p>
        </w:tc>
        <w:tc>
          <w:tcPr>
            <w:tcW w:w="7540" w:type="dxa"/>
            <w:vAlign w:val="bottom"/>
            <w:gridSpan w:val="2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Cybersecurity</w:t>
            </w:r>
          </w:p>
        </w:tc>
        <w:tc>
          <w:tcPr>
            <w:tcW w:w="8580" w:type="dxa"/>
            <w:vAlign w:val="bottom"/>
            <w:gridSpan w:val="2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8"/>
              </w:rPr>
              <w:t>Properties</w:t>
            </w:r>
          </w:p>
        </w:tc>
        <w:tc>
          <w:tcPr>
            <w:tcW w:w="8860" w:type="dxa"/>
            <w:vAlign w:val="bottom"/>
            <w:gridSpan w:val="29"/>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auto"/>
                <w:w w:val="98"/>
              </w:rPr>
              <w:t>Legal Proceedings</w:t>
            </w:r>
          </w:p>
        </w:tc>
        <w:tc>
          <w:tcPr>
            <w:tcW w:w="8260" w:type="dxa"/>
            <w:vAlign w:val="bottom"/>
            <w:gridSpan w:val="24"/>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auto"/>
              </w:rPr>
              <w:t>Mine Safety Disclosures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318"/>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4"/>
          </w:tcPr>
          <w:p>
            <w:pPr>
              <w:jc w:val="center"/>
              <w:ind w:right="478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c>
          <w:tcPr>
            <w:tcW w:w="150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Reserved</w:t>
            </w:r>
          </w:p>
        </w:tc>
        <w:tc>
          <w:tcPr>
            <w:tcW w:w="8920" w:type="dxa"/>
            <w:vAlign w:val="bottom"/>
            <w:gridSpan w:val="30"/>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6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109</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auto"/>
              </w:rPr>
              <w:t>Quantitative and Qualitative Disclosure About Market Risk</w:t>
            </w:r>
          </w:p>
        </w:tc>
        <w:tc>
          <w:tcPr>
            <w:tcW w:w="3140" w:type="dxa"/>
            <w:vAlign w:val="bottom"/>
            <w:gridSpan w:val="4"/>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428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5320" w:type="dxa"/>
            <w:vAlign w:val="bottom"/>
            <w:gridSpan w:val="1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20"/>
        </w:trPr>
        <w:tc>
          <w:tcPr>
            <w:tcW w:w="11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auto"/>
                <w:w w:val="99"/>
              </w:rPr>
              <w:t>Changes in and Disagreements with Accountants on Accounting and Financial Disclosure</w:t>
            </w:r>
          </w:p>
        </w:tc>
        <w:tc>
          <w:tcPr>
            <w:tcW w:w="3120" w:type="dxa"/>
            <w:vAlign w:val="bottom"/>
            <w:gridSpan w:val="3"/>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124</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Controls and Procedures</w:t>
            </w:r>
          </w:p>
        </w:tc>
        <w:tc>
          <w:tcPr>
            <w:tcW w:w="7820" w:type="dxa"/>
            <w:vAlign w:val="bottom"/>
            <w:gridSpan w:val="2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Other Information</w:t>
            </w:r>
          </w:p>
        </w:tc>
        <w:tc>
          <w:tcPr>
            <w:tcW w:w="8280" w:type="dxa"/>
            <w:vAlign w:val="bottom"/>
            <w:gridSpan w:val="25"/>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auto"/>
                <w:w w:val="99"/>
              </w:rPr>
              <w:t>Disclosure Regarding Foreign Jurisdictions that Prevent Inspections</w:t>
            </w:r>
          </w:p>
        </w:tc>
        <w:tc>
          <w:tcPr>
            <w:tcW w:w="4700" w:type="dxa"/>
            <w:vAlign w:val="bottom"/>
            <w:gridSpan w:val="7"/>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318"/>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Borders>
              <w:bottom w:val="single" w:sz="8" w:color="0000EE"/>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PART III</w:t>
            </w:r>
          </w:p>
        </w:tc>
        <w:tc>
          <w:tcPr>
            <w:tcW w:w="4720" w:type="dxa"/>
            <w:vAlign w:val="bottom"/>
            <w:gridSpan w:val="8"/>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5500" w:type="dxa"/>
            <w:vAlign w:val="bottom"/>
            <w:gridSpan w:val="16"/>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6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auto"/>
              </w:rPr>
              <w:t>Executive Compensation</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114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2300" w:type="dxa"/>
            <w:vAlign w:val="bottom"/>
            <w:gridSpan w:val="2"/>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auto"/>
                <w:w w:val="99"/>
              </w:rPr>
              <w:t>Certain Relationships and Related Transactions and Director Independence</w:t>
            </w:r>
          </w:p>
        </w:tc>
        <w:tc>
          <w:tcPr>
            <w:tcW w:w="4180" w:type="dxa"/>
            <w:vAlign w:val="bottom"/>
            <w:gridSpan w:val="6"/>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6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auto"/>
              </w:rPr>
              <w:t>Principal Accountant Fees and Services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318"/>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4740" w:type="dxa"/>
            <w:vAlign w:val="bottom"/>
            <w:gridSpan w:val="9"/>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auto"/>
                <w:w w:val="99"/>
              </w:rPr>
              <w:t>Form 10-K Summary</w:t>
            </w:r>
          </w:p>
        </w:tc>
        <w:tc>
          <w:tcPr>
            <w:tcW w:w="1600" w:type="dxa"/>
            <w:vAlign w:val="bottom"/>
            <w:tcBorders>
              <w:top w:val="single" w:sz="8" w:color="0000EE"/>
            </w:tcBorders>
            <w:gridSpan w:val="5"/>
          </w:tcPr>
          <w:p>
            <w:pPr>
              <w:spacing w:after="0"/>
              <w:rPr>
                <w:sz w:val="17"/>
                <w:szCs w:val="17"/>
                <w:color w:val="auto"/>
              </w:rPr>
            </w:pPr>
          </w:p>
        </w:tc>
        <w:tc>
          <w:tcPr>
            <w:tcW w:w="6440" w:type="dxa"/>
            <w:vAlign w:val="bottom"/>
            <w:gridSpan w:val="18"/>
          </w:tcPr>
          <w:p>
            <w:pPr>
              <w:spacing w:after="0"/>
              <w:rPr>
                <w:sz w:val="17"/>
                <w:szCs w:val="17"/>
                <w:color w:val="auto"/>
              </w:rPr>
            </w:pP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135</w:t>
            </w:r>
          </w:p>
        </w:tc>
      </w:tr>
      <w:tr>
        <w:trPr>
          <w:trHeight w:val="196"/>
        </w:trPr>
        <w:tc>
          <w:tcPr>
            <w:tcW w:w="1140" w:type="dxa"/>
            <w:vAlign w:val="bottom"/>
          </w:tcPr>
          <w:p>
            <w:pPr>
              <w:spacing w:after="0"/>
              <w:rPr>
                <w:sz w:val="17"/>
                <w:szCs w:val="17"/>
                <w:color w:val="auto"/>
              </w:rPr>
            </w:pPr>
          </w:p>
        </w:tc>
        <w:tc>
          <w:tcPr>
            <w:tcW w:w="960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auto"/>
              </w:rPr>
              <w:t>Signatures</w:t>
            </w:r>
          </w:p>
        </w:tc>
        <w:tc>
          <w:tcPr>
            <w:tcW w:w="5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r>
      <w:tr>
        <w:trPr>
          <w:trHeight w:val="750"/>
        </w:trPr>
        <w:tc>
          <w:tcPr>
            <w:tcW w:w="1140" w:type="dxa"/>
            <w:vAlign w:val="bottom"/>
          </w:tcPr>
          <w:p>
            <w:pPr>
              <w:spacing w:after="0"/>
              <w:rPr>
                <w:sz w:val="24"/>
                <w:szCs w:val="24"/>
                <w:color w:val="auto"/>
              </w:rPr>
            </w:pPr>
          </w:p>
        </w:tc>
        <w:tc>
          <w:tcPr>
            <w:tcW w:w="760" w:type="dxa"/>
            <w:vAlign w:val="bottom"/>
            <w:tcBorders>
              <w:top w:val="single" w:sz="8" w:color="0000EE"/>
            </w:tcBorders>
            <w:gridSpan w:val="4"/>
          </w:tcPr>
          <w:p>
            <w:pPr>
              <w:spacing w:after="0"/>
              <w:rPr>
                <w:sz w:val="24"/>
                <w:szCs w:val="24"/>
                <w:color w:val="auto"/>
              </w:rPr>
            </w:pPr>
          </w:p>
        </w:tc>
        <w:tc>
          <w:tcPr>
            <w:tcW w:w="4020" w:type="dxa"/>
            <w:vAlign w:val="bottom"/>
            <w:gridSpan w:val="17"/>
          </w:tcPr>
          <w:p>
            <w:pPr>
              <w:jc w:val="center"/>
              <w:ind w:left="3330"/>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b w:val="1"/>
          <w:bCs w:val="1"/>
          <w:color w:val="auto"/>
        </w:rPr>
        <w:t>CAUTIONARY NOTE REGARDING 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U.S.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84" w:lineRule="exact"/>
        <w:rPr>
          <w:sz w:val="20"/>
          <w:szCs w:val="20"/>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increases or decreases in expenses;</w:t>
      </w:r>
    </w:p>
    <w:p>
      <w:pPr>
        <w:spacing w:after="0" w:line="117"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the clinical and preclinical development, manufacturing and regulatory approval of our product candidates, and commercialization of our pharmaceutical products or any other products that we may acquire or in-license;</w:t>
      </w:r>
    </w:p>
    <w:p>
      <w:pPr>
        <w:spacing w:after="0" w:line="53" w:lineRule="exact"/>
        <w:rPr>
          <w:rFonts w:ascii="Times New Roman" w:cs="Times New Roman" w:eastAsia="Times New Roman" w:hAnsi="Times New Roman"/>
          <w:sz w:val="18"/>
          <w:szCs w:val="18"/>
          <w:color w:val="auto"/>
        </w:rPr>
      </w:pPr>
    </w:p>
    <w:p>
      <w:pPr>
        <w:ind w:left="760" w:right="860" w:hanging="378"/>
        <w:spacing w:after="0" w:line="282" w:lineRule="auto"/>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sufficiency of our existing capital resources combined with future anticipated cash flows to finance our operating requirements;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incurring capital expenditures to expand our research and development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circumstances or other disruptions to normal business operations arising from or related to geopolitical conflicts or pandemics;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revenue projections, sales forecasts, and potential peak market data;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generating revenue or becoming profitable on a sustained basis;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marketing and other partnership agreements;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enter into product acquisitions and in-licensing transactions;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or ability to build our own commercial infrastructure to manufacture, market and sell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losses;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intellectual property protection for our products;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our products by doctors, patients, or payors;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and its volatility;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third-party manufacturers;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for future capital requirements;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strategy.</w:t>
      </w:r>
    </w:p>
    <w:p>
      <w:pPr>
        <w:spacing w:after="0" w:line="225"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62" w:lineRule="exact"/>
        <w:rPr>
          <w:sz w:val="20"/>
          <w:szCs w:val="20"/>
          <w:color w:val="auto"/>
        </w:rPr>
      </w:pPr>
    </w:p>
    <w:p>
      <w:pPr>
        <w:ind w:right="280" w:firstLine="749"/>
        <w:spacing w:after="0" w:line="312" w:lineRule="auto"/>
        <w:rPr>
          <w:sz w:val="20"/>
          <w:szCs w:val="20"/>
          <w:color w:val="auto"/>
        </w:rPr>
      </w:pPr>
      <w:r>
        <w:rPr>
          <w:rFonts w:ascii="Times New Roman" w:cs="Times New Roman" w:eastAsia="Times New Roman" w:hAnsi="Times New Roman"/>
          <w:sz w:val="17"/>
          <w:szCs w:val="17"/>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ind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“Axsome,” “Company,” “we,” “us” and “our” and similar designations refer to Axsome Therapeutics, Inc. and our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We are a fully integrated biopharmaceutical company focused on developing innovative medicines for people impacted by central nervous system (CNS) conditions. We deliver scientific breakthroughs by identifying critical gaps in care and developing differentiated products with a focus on novel mechanisms of action, that have the potential to transform patient outcomes.</w:t>
      </w:r>
    </w:p>
    <w:p>
      <w:pPr>
        <w:spacing w:after="0" w:line="183" w:lineRule="exact"/>
        <w:rPr>
          <w:sz w:val="20"/>
          <w:szCs w:val="20"/>
          <w:color w:val="auto"/>
        </w:rPr>
      </w:pPr>
    </w:p>
    <w:p>
      <w:pPr>
        <w:ind w:right="20" w:firstLine="749"/>
        <w:spacing w:after="0" w:line="212" w:lineRule="auto"/>
        <w:rPr>
          <w:sz w:val="20"/>
          <w:szCs w:val="20"/>
          <w:color w:val="auto"/>
        </w:rPr>
      </w:pPr>
      <w:r>
        <w:rPr>
          <w:rFonts w:ascii="Times New Roman" w:cs="Times New Roman" w:eastAsia="Times New Roman" w:hAnsi="Times New Roman"/>
          <w:sz w:val="18"/>
          <w:szCs w:val="18"/>
          <w:color w:val="auto"/>
        </w:rPr>
        <w:t>Our innovative CNS portfolio is anchored by three U.S. Food and Drug Administration (FDA) approved commercial products: AUVELITY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major depressive disorder (MDD),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treatment of excessive daytime sleepiness (EDS) associated with obstructive sleep apnea or narcolepsy, and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for the acute treatment of migraine with or without aura in adults. Total revenues from our three commercial products totaled $638.5 million for 2025, representing 66% annual growth compared to 2024.</w:t>
      </w:r>
    </w:p>
    <w:p>
      <w:pPr>
        <w:spacing w:after="0" w:line="199"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We are also advancing a deep pipeline of novel product candidates in early- to late-stage development addressing a broad range of serious neurological and psychiatric conditions. Our lead product candidate, AXS-05 (dextromethorphan and bupropion), is currently being developed for the treatment of Alzheimer’s disease (AD) agitation and smoking cessation. In December 2025, the FDA accepted for filing the Company’s supplemental NDA (sNDA) for AXS-05 for the treatment of Alzheimer’s disease agitation. The application was granted Priority Review designation and a Prescription Drug User Fee Act (PDUFA) target action date of April 30, 2026. Solriamfetol is in Phase 3 clinical development for the treatment of attention deficit hyperactivity disorder (ADHD), MDD with EDS symptoms, binge eating disorder (BED), and excessive sleepiness associated with shift work disorder (SWD). We also have two novel, late-stage investigational products for the treatment of narcolepsy and fibromyalgia, as well as product candidates in earlier stages of development for the treatment of CNS disorders, including AXS-17 for the treatment of epilepsy.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Our goal is to efficiently develop and commercialize novel, differentiated therapies for the treatment of CNS disorders. The primary elements of our strategy to achieve this goal are the following:</w:t>
      </w:r>
    </w:p>
    <w:p>
      <w:pPr>
        <w:spacing w:after="0" w:line="158" w:lineRule="exact"/>
        <w:rPr>
          <w:sz w:val="20"/>
          <w:szCs w:val="20"/>
          <w:color w:val="auto"/>
        </w:rPr>
      </w:pPr>
    </w:p>
    <w:p>
      <w:pPr>
        <w:ind w:left="1140" w:right="120" w:hanging="383"/>
        <w:spacing w:after="0" w:line="220" w:lineRule="exact"/>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novel CNS indications with high unmet medical need. </w:t>
      </w:r>
      <w:r>
        <w:rPr>
          <w:rFonts w:ascii="Times New Roman" w:cs="Times New Roman" w:eastAsia="Times New Roman" w:hAnsi="Times New Roman"/>
          <w:sz w:val="18"/>
          <w:szCs w:val="18"/>
          <w:color w:val="auto"/>
        </w:rPr>
        <w:t>We believe that CNS disorders are significantly underserved therapeutic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segments with currently limited treatment options. We are developing our product candidates for CNS indications where there exist significant unmet medical needs, or that have no or few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pharmacological treatments. CNS disorders are often disabling, difficult to treat, and associated with significant comorbidities. By focusing on areas of unmet medical need, we aim to develop products that have the potential to change current medical practice, and that are highly relevant to patients, physicians, and regulatory bodies. Many of these indications have significant patient populations, which, when combined with the limitations of current treatments, should provide us with attractive commercial opportunities.</w:t>
      </w:r>
    </w:p>
    <w:p>
      <w:pPr>
        <w:spacing w:after="0" w:line="194" w:lineRule="exact"/>
        <w:rPr>
          <w:rFonts w:ascii="Times New Roman" w:cs="Times New Roman" w:eastAsia="Times New Roman" w:hAnsi="Times New Roman"/>
          <w:sz w:val="18"/>
          <w:szCs w:val="18"/>
          <w:color w:val="auto"/>
        </w:rPr>
      </w:pPr>
    </w:p>
    <w:p>
      <w:pPr>
        <w:ind w:left="1140" w:hanging="383"/>
        <w:spacing w:after="0" w:line="257"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products with our proprietary medicinal chemistry and formulation technologies. </w:t>
      </w:r>
      <w:r>
        <w:rPr>
          <w:rFonts w:ascii="Times New Roman" w:cs="Times New Roman" w:eastAsia="Times New Roman" w:hAnsi="Times New Roman"/>
          <w:sz w:val="18"/>
          <w:szCs w:val="18"/>
          <w:color w:val="auto"/>
        </w:rPr>
        <w:t>Our proprietary medicinal chemistry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formulation technologies allow us to continue to design new and innovative medicines to treat CNS conditions. These technologies and capabilities include: (1) chiral chemistry and formulation to identify, isolate and stabilize chirally pure enantiomers, (2) metabolic inhibition as a novel drug delivery method to increase the bioavailability and prolong the half-life of target drug molecules, (3) the MoSEIC™, or Molecular Solubility Enhanced Inclusion Complex, technology which is designed to substantially increase the solubility and speed the absorption of target drug molecules, and (4) proprietary chemical synthesis and analysis to produce target drug molecules.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40" w:right="220" w:hanging="383"/>
        <w:spacing w:after="0" w:line="257"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products with differentiated profiles. </w:t>
      </w:r>
      <w:r>
        <w:rPr>
          <w:rFonts w:ascii="Times New Roman" w:cs="Times New Roman" w:eastAsia="Times New Roman" w:hAnsi="Times New Roman"/>
          <w:sz w:val="18"/>
          <w:szCs w:val="18"/>
          <w:color w:val="auto"/>
        </w:rPr>
        <w:t>We aim to develop products with novel mechanisms of action for the intended indications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may yield differentiated product profiles. For example, AXS-05 combines several mechanisms of action resulting in a unique pharmacological profile that may be relevant to the treatment of numerous CNS disorders. The MoSEIC™ technology is designed to improve the absorption of drug molecules after oral administration and is utilized in SYMBRAVO (AXS-07). We believe that products with clearly differentiated features will be attractive to patients and their physicians and will provide us with a competitive commercial advantage.</w:t>
      </w:r>
    </w:p>
    <w:p>
      <w:pPr>
        <w:spacing w:after="0" w:line="182" w:lineRule="exact"/>
        <w:rPr>
          <w:rFonts w:ascii="Times New Roman" w:cs="Times New Roman" w:eastAsia="Times New Roman" w:hAnsi="Times New Roman"/>
          <w:sz w:val="18"/>
          <w:szCs w:val="18"/>
          <w:color w:val="auto"/>
        </w:rPr>
      </w:pPr>
    </w:p>
    <w:p>
      <w:pPr>
        <w:ind w:left="1140" w:hanging="383"/>
        <w:spacing w:after="0" w:line="254"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Reduce clinical and regulatory risk, limit development costs, and accelerate time to market. </w:t>
      </w:r>
      <w:r>
        <w:rPr>
          <w:rFonts w:ascii="Times New Roman" w:cs="Times New Roman" w:eastAsia="Times New Roman" w:hAnsi="Times New Roman"/>
          <w:sz w:val="18"/>
          <w:szCs w:val="18"/>
          <w:color w:val="auto"/>
        </w:rPr>
        <w:t>Some of our product candidates incorporate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entities with long histories of clinical use and well characterized safety profiles. Use of well characterized molecules has allowed us to rapidly complete early clinical development of our product candidates and may reduce the risk of late-stage clinical failures due to unexpected toxicities. This strategy may allow us to seek FDA approval for some of our product candidates using the 505(b)(2) regulatory pathway. Section 505(b)(2) of the Federal Food, Drug, and Cosmetic Act, or FDCA, permits an applicant to file a new drug application, or NDA, that relies, in part, on the FDA’s prior findings of safety and efficacy in the approval of a similar drug, or on published literature. It therefore allows us to leverage previous preclinical and clinical experience with the active molecules in some of our product candidates and potentially forego conducting certain lengthy and costly preclinical studies, reduce clinical and regulatory risk, limit development costs, and accelerate our time to commercialization.</w:t>
      </w:r>
    </w:p>
    <w:p>
      <w:pPr>
        <w:spacing w:after="0" w:line="188" w:lineRule="exact"/>
        <w:rPr>
          <w:rFonts w:ascii="Times New Roman" w:cs="Times New Roman" w:eastAsia="Times New Roman" w:hAnsi="Times New Roman"/>
          <w:sz w:val="18"/>
          <w:szCs w:val="18"/>
          <w:color w:val="auto"/>
        </w:rPr>
      </w:pPr>
    </w:p>
    <w:p>
      <w:pPr>
        <w:ind w:left="1140" w:right="20" w:hanging="383"/>
        <w:spacing w:after="0" w:line="220" w:lineRule="exact"/>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commercial rights in the United States, where appropriate, and selectively partner outside of the United States to maximize the value of our product candidates. </w:t>
      </w:r>
      <w:r>
        <w:rPr>
          <w:rFonts w:ascii="Times New Roman" w:cs="Times New Roman" w:eastAsia="Times New Roman" w:hAnsi="Times New Roman"/>
          <w:sz w:val="18"/>
          <w:szCs w:val="18"/>
          <w:color w:val="auto"/>
        </w:rPr>
        <w:t>We intend to commercialize our products and product candidates, if approved, in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the establishment of our own focused,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sales and marketing organization. For commercialization outside of the United States, we intend to selectively partner with third parties outside of the United States to maximize the value of our products and product candidates, if approved, without the substantial investment required to develop independent sales forces in those geographies. We continue to evaluate strategic options for the commercialization of our other product candidates.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Commercial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AUVELITY</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AUVELITY (dextromethorphan and bupropion) was developed by the Company and approved by the FDA for the treatment of MDD in adults in August 2022. We launched AUVELITY in the U.S. in October 2022 as the first and only oral, N-methyl-D-aspartate (NMDA) receptor antagonist approved for MDD in adults and the only oral antidepressant with rapid-acting efficacy reflected in the FDA label. AUVELITY utilizes a proprietary formulation and dose of dextromethorphan and bupropion, and Axsome’s metabolic inhibition technology, to modulate the delivery of the components. Approximately 21 million people in the U.S. live with MDD.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SUNOSI</w:t>
      </w:r>
    </w:p>
    <w:p>
      <w:pPr>
        <w:spacing w:after="0" w:line="229" w:lineRule="exact"/>
        <w:rPr>
          <w:sz w:val="20"/>
          <w:szCs w:val="20"/>
          <w:color w:val="auto"/>
        </w:rPr>
      </w:pPr>
    </w:p>
    <w:p>
      <w:pPr>
        <w:ind w:right="240" w:firstLine="749"/>
        <w:spacing w:after="0" w:line="245" w:lineRule="auto"/>
        <w:rPr>
          <w:sz w:val="20"/>
          <w:szCs w:val="20"/>
          <w:color w:val="auto"/>
        </w:rPr>
      </w:pPr>
      <w:r>
        <w:rPr>
          <w:rFonts w:ascii="Times New Roman" w:cs="Times New Roman" w:eastAsia="Times New Roman" w:hAnsi="Times New Roman"/>
          <w:sz w:val="18"/>
          <w:szCs w:val="18"/>
          <w:color w:val="auto"/>
        </w:rPr>
        <w:t>SUNOSI (solriamfetol) is a novel, oral, dopamine and norepinephrine reuptake inhibitor (DNRI), trace amine-associated receptor 1 (TAAR1) agonist, and 5-HT</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xml:space="preserve"> agonist approved in the U.S. and Europe for the treatment of EDS in adult patients with obstructive sleep apnea or narcolepsy. We acquired the U.S. rights to SUNOSI from Jazz Pharmaceuticals plc, or Jazz, in May 2022, and the ex-U.S. rights (excluding certain Asian markets) from Jazz in November 2022. We have been commercializing SUNOSI since we completed these acquisitions. SK Biopharmaceuticals Co. Ltd., or SK, is the originator of SUNOSI and retains rights in 12 Asian markets, including China, Korea, and Japan. We refer to the acquisition of SUNOSI herein as the Acquisition. In February 2023, we entered into a licensing agreement, or the Pharmanovia License Agreement, with Atnahs Pharma UK Limited, or Pharmanovia, that granted to Pharmanovia the exclusive right to market SUNOSI in Europe and certain countries in the Middle East and North Africa, referred to as the Licensed Territory. Approximately 22 million adults and 185,000 people in the U.S. are affected by OSA and narcolepsy, respectively.</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SYMBRAVO</w:t>
      </w:r>
    </w:p>
    <w:p>
      <w:pPr>
        <w:spacing w:after="0" w:line="236" w:lineRule="exact"/>
        <w:rPr>
          <w:sz w:val="20"/>
          <w:szCs w:val="20"/>
          <w:color w:val="auto"/>
        </w:rPr>
      </w:pPr>
    </w:p>
    <w:p>
      <w:pPr>
        <w:ind w:right="60" w:firstLine="749"/>
        <w:spacing w:after="0" w:line="234" w:lineRule="auto"/>
        <w:rPr>
          <w:sz w:val="20"/>
          <w:szCs w:val="20"/>
          <w:color w:val="auto"/>
        </w:rPr>
      </w:pPr>
      <w:r>
        <w:rPr>
          <w:rFonts w:ascii="Times New Roman" w:cs="Times New Roman" w:eastAsia="Times New Roman" w:hAnsi="Times New Roman"/>
          <w:sz w:val="18"/>
          <w:szCs w:val="18"/>
          <w:color w:val="auto"/>
        </w:rPr>
        <w:t>SYMBRAVO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is a novel, oral, rapidly absorbed, multi-mechanistic, selective COX-2 inhibitor and 5-HT1B/1D agonist that was developed by the Company and approved by the FDA in January 2025 for the acute treatment of migraine with or without aura in adults. We launched SYMBRAVO in the U.S. in June 2025. Approximately 39 million adults in the U.S. experience migraine.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Development Programs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Our extensive CNS development pipeline targets serious neurological and psychiatric conditions with significant unmet medical needs. We see significant long-term growth potential from our innovative early- to late-stage pipeline. We are leveraging our deep expertise and experience in neuroscience to maximize the potential of our approved products in additional CNS conditions, as well as advance our novel product candidates that we believe may, if successfully developed and approved, offer distinct advantages over currently available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349240" cy="2734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AXS-05</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AXS-05 (dextromethorphan-bupropion) is a novel, oral, investigational NMDA receptor antagonist, sigma-1 receptor agonist, aminoketone, and CYP2D6 inhibitor being developed for the treatment of CNS disorders. As used in this report, AXS-05 refers to, where applicable, AUVELITY as well as AXS-05 for the treatment of indications beyond MDD in adults. AXS-05 consists of a proprietary formulation and dose of dextromethorphan and bupropion and utilizes Axsome’s metabolic inhibition technology. The dextromethorphan component of AXS-05 is an uncompetitive antagonist of the NMDA receptor, an ionotropic glutamate receptor, and a sigma-1 receptor agonist. Dextromethorphan is quickly eliminated from the body following administration due to extensive first pass metabolism, which results in low blood levels even at high doses. The bupropion component of AXS-05 serves to increase the bioavailability of dextromethorphan by inhibiting its metabolism and is a dopamine and norepinephrine reuptake inhibitor (DNRI). Based on its unique mechanism of action with multimodal activity, we believe that AXS-05 has potential therapeutic benefit for a variety of CNS disorders.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are currently developing AXS-05 for the treatment of AD agitation and smoking cessation.</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Alzheimer’s Disease (AD) Agitation</w:t>
      </w:r>
    </w:p>
    <w:p>
      <w:pPr>
        <w:spacing w:after="0" w:line="227"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In December 2025, the FDA accepted for filing the Company’s supplemental New Drug Application (sNDA) for AXS-05 for the treatment of AD agitation and granted the application Priority Review designation. The FDA has set a Prescription Drug User Fee Act (PDUFA) action goal date of April 30, 2026. The FDA previously granted Breakthrough Therapy designation for AXS-05 for the treatment of AD agitation in June 2020.</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We have evaluated the efficacy and safety of AXS-05 in AD agitation in four completed randomized, double-blind, placebo-controlled Phase 3 trials and a long-term safety trial.</w:t>
      </w:r>
    </w:p>
    <w:p>
      <w:pPr>
        <w:spacing w:after="0" w:line="162"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In the ADVANCE-1 Phase 2/3 trial, AXS-05 achieved the primary endpoint and demonstrated a statistically significant mean reduction in the Cohen-Mansfield Agitation Inventory (CMAI) total score compared to placebo at Week 5, with mean reductions from baseline of 15.4 points for AXS-05 and 11.5 points for placebo (p=0.010). AXS-05 was also superior to bupropion on the CMAI total score (p&lt;0.001), establishing component contribution. Improvement on the CMAI total score numerically favored AXS-05 over placebo starting as early as Week 2 and achieved statistical significance by Week 3 (p=0.007), only one week after full dosing with AXS-05. In the ACCORD-1 Phase 3 trial, AXS-05 achieved the primary endpoint by statistically significantly delaying the time to relapse of AD agitation symptoms compared to placebo, with a hazard ratio for time to relapse of 0.275 (p=0.014), representing a 3.6-fold lower risk of relapse compared to placebo. AXS-05 also met the key secondary endpoint by statistically significantly preventing relapse of AD agitation compared to placebo (p=0.018). In the ACCORD-2 Phase 3 trial, AXS-05 achieved the primary endpoint and demonstrated a highly statistically significant delay in the time to relapse of AD agitation symptoms compared to placebo, with a hazard ratio for time to relapse of 0.276 (p=0.001), representing a 3.6-fold lower risk of relapse compared to placebo. AXS-05 also met the key secondary endpoint by statistically significantly preventing relapse of AD agitation compared to placebo (p=0.001). In the ADVANCE-2 Phase 3 trial, AXS-05 did not achieve statistical significance for the primary endpoint, the change in the CMAI total score compared to placebo at Week 5, with mean reductions from baseline of 13.8 points for AXS-05 and 12.6 points for placebo.</w:t>
      </w:r>
    </w:p>
    <w:p>
      <w:pPr>
        <w:spacing w:after="0" w:line="187"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Across the four placebo-controlled efficacy trials and a long-term safety trial, discontinuation rates due to adverse events were low and balanced between treatment groups and no deaths in patients in the AXS-05 treatment groups. In the trials, AXS-05 was not associated with sedation, increased fall risk, or cognitive decline as measured by the Mini-Mental State Examination, or MMSE.</w:t>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AD is an irreversible, progressive neurodegenerative disorder that manifests initially as forgetfulness and advances to severe cognitive impairment and memory loss. It is the most common form of dementia, affecting approximately 7 million people in the United States, a number that is anticipated to double by 2060. Agitation is one of the most prevalent and debilitating neuropsychiatric symptoms of AD, affecting up to 76% of people with AD. AD agitation is characterized by emotional distress, verbal and physical aggressiveness, disruptive irritability, and disinhibition, and is associated with accelerated cognitive decline, increased caregiver burden, earlier institutionalization, and increased mortality.</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There is currently one FDA-approved pharmacological treatment for AD agitation. In clinical practice, antipsychotic medications are commonly used off-label and carry a boxed warning for increased mortality risk in this patient population. In many patients, these treatments are associated with severe side effects and safety concerns, such as functional decline, extrapyramidal side effects, cardiovascular effects, and sedation. AD agitation continues to represent an area of unmet medical need.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Smoking Cessation</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We are also evaluating the potential use of AXS-05 as an aid to smoking cessation treatment. AXS-05 has demonstrated positive results in an investigator-sponsored Phase 2 trial, which the Company conducted under a research collaboration agreement with Duke University. The Company plans to initiate a Phase 2/3 trial of AXS-05 in this indication.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Over 34 million adults in the U.S. smoke cigarettes, 50% of whom live with a smoking-related disease. Approximately 70% of smokers report that they want to quit, but only an estimated 3-5% who attempt to quit without assistance are successful for 6-12 months, and even with the currently available treatment options, relapse rates remain above 80%. Tobacco use results in approximately 500,000 premature deaths each year in the U.S., according to the Centers for Disease Control and Prevention. Smoking is the single largest cause of preventable disease and death in the U.S., accounting for nearly 1 in 5 deaths. Direct health care and lost productivity costs as a result of smoking total approximately $300 billion annually in the U.S. alone.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Solriamfetol</w:t>
      </w:r>
    </w:p>
    <w:p>
      <w:pPr>
        <w:spacing w:after="0" w:line="16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Solriamfetol is a novel, oral, investigational DNRI, TAAR1 agonist, and 5-HT</w:t>
      </w:r>
      <w:r>
        <w:rPr>
          <w:rFonts w:ascii="Times New Roman" w:cs="Times New Roman" w:eastAsia="Times New Roman" w:hAnsi="Times New Roman"/>
          <w:sz w:val="24"/>
          <w:szCs w:val="24"/>
          <w:color w:val="auto"/>
          <w:vertAlign w:val="subscript"/>
        </w:rPr>
        <w:t>1A</w:t>
      </w:r>
      <w:r>
        <w:rPr>
          <w:rFonts w:ascii="Times New Roman" w:cs="Times New Roman" w:eastAsia="Times New Roman" w:hAnsi="Times New Roman"/>
          <w:sz w:val="18"/>
          <w:szCs w:val="18"/>
          <w:color w:val="auto"/>
        </w:rPr>
        <w:t xml:space="preserve"> agonist being developed for the treatment of CNS disorders. As used in this report, “solriamfetol” refers to, where applicable, SUNOSI as well as solriamfetol for the treatment of indications beyond EDS in patients with narcolepsy or OSA. We are currently conducting Phase 3 studies of solriamfetol in attention deficit hyperactivity disorder (ADHD), major depressive disorder (MDD) with excessive daytime sleepiness (EDS) symptoms, binge eating disorder (BED), and excessive sleepiness associated with shift work disorder (SWD).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Attention Deficit Hyperactivity Disorder</w:t>
      </w:r>
    </w:p>
    <w:p>
      <w:pPr>
        <w:spacing w:after="0" w:line="227"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We are conducting a Phase 3 clinical program of solriamfetol in ADHD. We have completed the FOCUS Phase 3 trial evaluating the efficacy and safety of solriamfetol in adults with ADHD. In the trial, solriamfetol achieved the primary endpoint by demonstrating statistically significant improvements in ADHD symptoms as measured by the Adult ADHD Investigator Symptom Rating Scale (AISRS) total score compared to placebo at Week 6, with mean reductions from baseline of 17.7 points for solriamfetol 150 mg and 14.3 points for placebo (p=0.039). In the trial, solriamfetol demonstrated a side effect profile that was consistent with the established safety profile of solriamfetol. We plan to initiate two additional Phase 3 trials of solriamfetol to be conducted concurrently, one in children with ADHD and one in adolescents with ADHD.</w:t>
      </w:r>
    </w:p>
    <w:p>
      <w:pPr>
        <w:spacing w:after="0" w:line="18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ADHD is a chronic neurobiological and developmental disorder characterized by a persistent pattern of inattention, hyperactivity, or impulsivity that interferes with functioning or development. Impairments in cognition are apparent in attention, planning and problem solving, working memory, and behavioral inhibition. Over 22 million people in the U.S. are estimated to be affected by ADHD, including approximately 7 million children aged 3-17 years old. Approximately two-thirds or more children with ADHD continue to experience symptoms into adulthood. ADHD is associated with significant impairment in social, academic, and occupational functioning and development. The total annual societal excess costs associated with adult ADHD in the U.S. have been estimated at over $120 billion.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Major Depressive Disorder with Excessive Daytime Sleepiness Symptoms</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We are conducting a Phase 3 clinical program of solriamfetol in MDD. We have completed the PARADIGM proof-of-concept study evaluating solriamfetol in MDD with and without severe EDS. Based on the results of the PARADIGM study, the Company plans to initiate a Phase 3 trial of solriamfetol in MDD patients with EDS symptoms.</w:t>
      </w:r>
    </w:p>
    <w:p>
      <w:pPr>
        <w:spacing w:after="0" w:line="17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EDS is a common symptom in individuals with MDD that affects approximately 50% of patients and is associated with a greater risk of major depressive episodes. Patients with EDS have difficulty maintaining wakefulness and exhibit an increased tendency to fall asleep during the day, including in inappropriate circumstances, resulting in impaired daily functioning and increased safety risks. There are currently no approved treatments for MDD with EDS symptoms.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Binge Eating Disorder</w:t>
      </w:r>
    </w:p>
    <w:p>
      <w:pPr>
        <w:spacing w:after="0" w:line="22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We are conducting a Phase 3 clinical program of solriamfetol in BED and are currently conducting the ENGAGE study, a Phase 3, randomized, double-blind, placebo-controlled, multicenter trial evaluating the efficacy and safety of solriamfetol in BED.</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BED is the most common eating disorder, affecting over 7 million people in the U.S. While BED is 1.75 times more common in women than men, it is still more common in men than other eating disorders. BED is thought to involve issues with food reward processing, impulse control, cognitive control, and appetite regulation, and is associated with a 2- to 3-fold increased risk of psychiatric or medical comorbidities. Most people with BED remain untreated, with studies showing approximately 28% of patients having received treatment in the prior year and less than half of patients in their lifetime. We believe there is a significant need for new treatment options, with only one product currently approved for the treatment of BED.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Shift Work Disorder</w:t>
      </w:r>
    </w:p>
    <w:p>
      <w:pPr>
        <w:spacing w:after="0" w:line="227"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We are conducting a Phase 3 clinical program of solriamfetol in SWD and are conducting the SUSTAIN study, a Phase 3, randomized, double-blind, placebo-controlled, multicenter trial evaluating the efficacy and safety of solriamfetol in adults with shift work disorder (SWD).</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SWD is a combination of excessive sleepiness (ES) during wakefulness and persistent insomnia during daytime sleep when working outside a 7 a.m. to 6 p.m. workday. An estimated 15 million working Americans may suffer from SWD, of whom 10-43% are diagnosed with SWD. Shift work has long been associated with multiple serious health complaints and a 23% greater risk of sustaining a work-related injury. Treatment options are limited, with only two products currently approved for the treatment of ES associated with SWD, and no new treatments approved since 2007.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AXS-12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Narcolepsy</w:t>
      </w:r>
    </w:p>
    <w:p>
      <w:pPr>
        <w:spacing w:after="0" w:line="227"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AXS-12 (reboxetine) is a novel, oral, potent, highly selective investigational norepinephrine reuptake inhibitor (NRI) and cortical dopamine modulator being developed for the treatment of narcolepsy.</w:t>
      </w:r>
    </w:p>
    <w:p>
      <w:pPr>
        <w:spacing w:after="0" w:line="162"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In December 2025, we received formal pre-NDA meeting minutes from the FDA supporting an NDA submission for AXS-12 for the treatment of cataplexy in narcolepsy. AXS-12 was previously granted Orphan Drug Designation for the treatment of narcolepsy. Orphan Drug Designation is granted to promising drugs intended for the safe and effective treatment of rare diseases, defined as those affecting fewer than 200,000 people in the U.S. The designation may entitle the Company to a period of seven years of marketing exclusivity in the U.S. upon FDA approval and a waiver of the Company’s obligation to pay the FDA application user fees for the product as required by the Prescription Drug User Fee Act (PDUFA).</w:t>
      </w:r>
    </w:p>
    <w:p>
      <w:pPr>
        <w:spacing w:after="0" w:line="183"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We have evaluated the efficacy and safety of AXS-12 in narcolepsy in three completed randomized, double-blind, placebo-controlled trials and a long-term safety trial.</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the CONCERT Phase 2 trial, AXS-12 achieved the primary endpoint by demonstrating a highly statistically significant reduction in weekly cataplexy attacks, averaged over the 2-week treatment period, the overall treatment effect compared to placebo (p&lt;0.001). AXS-12 demonstrated rapid improvements in cataplexy with statistically significant benefit compared to placebo as early as Week 1 (p&lt;0.001). In the SYMPHONY Phase 3 trial, AXS-12 achieved the primary endpoint by demonstrating a statistically significant reduction in weekly cataplexy attacks compared to placebo at Week 5 (p=0.018), with statistically significant reductions starting at Week 1 (p=0.007) and maintained throughout the trial. In the ENCORE Phase 3 trial, AXS-12 achieved the primary endpoint by demonstrating a statistically significant improvement in weekly cataplexy attacks compared to placebo at Week 3 of the double-blind treatment period. Patients randomized to switch to placebo experienced statistically significant worsening in the average weekly number of cataplexy attacks compared to patients randomized to continue AXS-12 treatment, with an increase of 10.29 attacks per week for placebo compared to 1.32 attacks per week for AXS-12, at 3 weeks (p=0.017).</w:t>
      </w:r>
    </w:p>
    <w:p>
      <w:pPr>
        <w:spacing w:after="0" w:line="188"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In the CONCERT, SYMPHONY, and ENCORE studies, AXS-12 also demonstrated statistically significant improvements in EDS symptoms and cognitive function compared to placebo. AXS-12 was well tolerated with a consistent safety and tolerability profile across the clinical trials of AXS-12 in narcolepsy.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Narcolepsy is a serious and debilitating orphan neurological condition that causes dysregulation of the sleep-wake cycle. It is characterized clinically by EDS, cataplexy, hypnagogic hallucinations, sleep paralysis, and disrupted nocturnal sleep. Narcolepsy affects an estimated 185,000 individuals in the U.S. Cataplexy is seen in up to approximately 70% of narcolepsy patients and is characterized by a sudden reduction or loss of muscle tone while a patient is awake, typically triggered by strong emotions such as laughter, fear, anger, stress, or excitement. Narcolepsy is a life-long condition that interferes with cognitive, psychological, and social functioning, increases the risk of work- and driving-related accidents, and is associated with a 1.5-fold higher mortality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AXS-14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Fibromyalgia</w:t>
      </w:r>
    </w:p>
    <w:p>
      <w:pPr>
        <w:spacing w:after="0" w:line="227"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AXS-14 (esreboxetine) is a novel, oral, potent, highly selective investigational NRI being developed for the management of fibromyalgia. In 2020, we received from Pfizer Inc. (Pfizer) an exclusive license to develop and commercialize esreboxetine in the U.S. for fibromyalgia and other indications.</w:t>
      </w:r>
    </w:p>
    <w:p>
      <w:pPr>
        <w:spacing w:after="0" w:line="17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We are conducting the FORWARD study, a Phase 3, double-blind, placebo-controlled, multicenter, randomized withdrawal trial evaluating the efficacy and safety of AXS-14 in patients with fibromyalgia. AXS-14 previously demonstrated positive results in a Phase 3 and Phase 2 trial conducted by Pfizer. In the Phase 3 trial, esreboxetine achieved the co-primary endpoints by demonstrating statistically significant improvements in the weekly mean pain score compared to placebo (p&lt;0.001, p&lt;0.001, and p=0.025 for 4 mg, 8 mg and 10 mg daily doses, respectively) and the Fibromyalgia Impact Questionnaire (FIQ), total score (p&lt;0.001, p&lt;0.001, and p=0.023 for 4 mg, 8 mg and 10 mg daily doses, respectively). In the Phase 2 trial, esreboxetine achieved the primary endpoint by demonstrating statistically significant improvements in the weekly mean pain score compared to placebo at Week 8 (p=0.006).</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2025, we submitted an NDA for AXS-14 for the management of fibromyalgia based on the previously completed efficacy and safety trials. Following this submission, we received a Refusal to File (RTF) letter from the FDA for the NDA. The FDA stated that upon preliminary review, it found the NDA was not sufficiently complete to permit a substantive review. Specifically, the FDA did not consider the second of the two placebo-controlled trials in the submission to be adequate and well-controlled because its primary endpoint was at 8 weeks and it used a flexible-dose paradigm. The FDA indicated that the first of the two placebo-controlled trials in the submission, which utilized a 12-week endpoint and a fixed-dose paradigm, is adequate and well-controlled. The FDA did not raise any questions relating to the positive results of the studies, both of which met their primary endpoints. We initiated the FORWARD study to address the FDA’s feedback in the RTF letter.</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Fibromyalgia is a chronic, debilitating disorder that affects approximately 17 million people in the U.S. Fibromyalgia is considered to be mediated mainly in the central nervous system. It is characterized by widespread pain, fatigue, disturbed sleep, depression, cognitive impairment, and hypersensitivity to sensory stimuli. Other symptoms of this disorder can include tingling in the hands and feet and headaches. Fibromyalgia has considerable detrimental effects on physical, emotional, social, and day-to-day functioning and is associated with significant economic burden and reduced quality of life. Despite its prevalence and impact, current treatment options remain limited. Many patients experience inadequate symptom control or intolerable side effects, with over 50% of fibromyalgia patients discontinuing their treatment within the first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AXS-17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Epilepsy</w:t>
      </w:r>
    </w:p>
    <w:p>
      <w:pPr>
        <w:spacing w:after="0" w:line="167" w:lineRule="exact"/>
        <w:rPr>
          <w:sz w:val="20"/>
          <w:szCs w:val="20"/>
          <w:color w:val="auto"/>
        </w:rPr>
      </w:pPr>
    </w:p>
    <w:p>
      <w:pPr>
        <w:ind w:right="100" w:firstLine="749"/>
        <w:spacing w:after="0" w:line="264" w:lineRule="auto"/>
        <w:rPr>
          <w:sz w:val="20"/>
          <w:szCs w:val="20"/>
          <w:color w:val="auto"/>
        </w:rPr>
      </w:pPr>
      <w:r>
        <w:rPr>
          <w:rFonts w:ascii="Times New Roman" w:cs="Times New Roman" w:eastAsia="Times New Roman" w:hAnsi="Times New Roman"/>
          <w:sz w:val="18"/>
          <w:szCs w:val="18"/>
          <w:color w:val="auto"/>
        </w:rPr>
        <w:t>In November 2025, we entered into an agreement to acquire exclusive global rights to AXS-17 (formerly AZD7325), a novel oral GABA</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8"/>
          <w:szCs w:val="18"/>
          <w:color w:val="auto"/>
        </w:rPr>
        <w:t xml:space="preserve"> α2,3 receptor positive allosteric modulator, licensed from AstraZeneca AB. AXS-17 has been dosed in over 700 patients to date and demonstrated anti-convulsant effects in preclinical seizure models. We intend to evaluate AXS-17 as a potential treatment for epilepsy.</w:t>
      </w: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229" w:lineRule="exact"/>
        <w:rPr>
          <w:sz w:val="20"/>
          <w:szCs w:val="20"/>
          <w:color w:val="auto"/>
        </w:rPr>
      </w:pPr>
    </w:p>
    <w:p>
      <w:pPr>
        <w:jc w:val="both"/>
        <w:ind w:right="180" w:firstLine="749"/>
        <w:spacing w:after="0" w:line="222" w:lineRule="exact"/>
        <w:rPr>
          <w:sz w:val="20"/>
          <w:szCs w:val="20"/>
          <w:color w:val="auto"/>
        </w:rPr>
      </w:pPr>
      <w:r>
        <w:rPr>
          <w:rFonts w:ascii="Times New Roman" w:cs="Times New Roman" w:eastAsia="Times New Roman" w:hAnsi="Times New Roman"/>
          <w:sz w:val="18"/>
          <w:szCs w:val="18"/>
          <w:color w:val="auto"/>
        </w:rPr>
        <w:t>We have customary clinical and commercial supply agreements and customary agreements with third-parties to help manage our clinical trials. Our commercial agreements are generally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and we have no material contractual obligations under such agreements, except to the extent we order supply or request services to be performed.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paid-up,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Bioventures II LLC, or Antecip, an entity owned by our Chief Executive Officer and Chairman of the Board of Directors, or the Board, Herriot Tabuteau, M.D., in which we were granted exclusive licenses to develop, manufacture, and commercialize Antecip’s patents and applications related to the development of AXS-05 anywhere in the world for human therapeutic, veterinary, and diagnostic use, and additional patents and applications that are not relevant to our current programs in development.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 by product and country by 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Due to product sales of AUVELITY since the fourth quarter of 2022, we recorded royalty expense for royalty payments due to Antecip equal to 3.0% of net sales. This is considered to be a related party transaction.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 with Jazz Pharmaceuticals, SK Biopharmaceuticals Co., Ltd. and Aerial Biopharma, LLC</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Biopharma, LLC, or Aerial. The assumed commitments to SK and Aerial include single-digit tiered royalties based on the Company’s sales of SUNOSI, and additionally, the Company is committed to pay up to $162.5 million based on revenue milestones and $1.0 million based on development milestones. We are dependent on these agreements, and if we breach these agreements, our business, financial condition, results of operations, and prospects will be materially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Pharmanovia</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2023, we announced a licensing transaction with Pharmanovia to market SUNOSI in Europe and certain countries in the Middle East</w:t>
      </w:r>
    </w:p>
    <w:p>
      <w:pPr>
        <w:spacing w:after="0" w:line="27" w:lineRule="exact"/>
        <w:rPr>
          <w:sz w:val="20"/>
          <w:szCs w:val="20"/>
          <w:color w:val="auto"/>
        </w:rPr>
      </w:pPr>
    </w:p>
    <w:p>
      <w:pPr>
        <w:ind w:right="560" w:firstLine="8"/>
        <w:spacing w:after="0" w:line="260" w:lineRule="auto"/>
        <w:tabs>
          <w:tab w:leader="none" w:pos="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Africa. Refer to Note 15. License Agreements to our consolidated financial statements included in Part IV, Exhibits and Financial Statement Schedules, of this Annual Report on Form 10-K for further detail.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Acquisitions</w:t>
      </w:r>
    </w:p>
    <w:p>
      <w:pPr>
        <w:spacing w:after="0" w:line="229" w:lineRule="exact"/>
        <w:rPr>
          <w:sz w:val="20"/>
          <w:szCs w:val="20"/>
          <w:color w:val="auto"/>
        </w:rPr>
      </w:pPr>
    </w:p>
    <w:p>
      <w:pPr>
        <w:ind w:right="80" w:firstLine="749"/>
        <w:spacing w:after="0" w:line="243" w:lineRule="auto"/>
        <w:rPr>
          <w:sz w:val="20"/>
          <w:szCs w:val="20"/>
          <w:color w:val="auto"/>
        </w:rPr>
      </w:pPr>
      <w:r>
        <w:rPr>
          <w:rFonts w:ascii="Times New Roman" w:cs="Times New Roman" w:eastAsia="Times New Roman" w:hAnsi="Times New Roman"/>
          <w:sz w:val="18"/>
          <w:szCs w:val="18"/>
          <w:color w:val="auto"/>
        </w:rPr>
        <w:t>In November 2025, we acquired all the outstanding shares of Baergic Bio, Inc., a clinical-stage biopharmaceutical company and subsidiary of Avenue Therapeutics (Baergic). The acquisition provided global rights to AZD7325 (AXS-17), an oral GABA</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8"/>
          <w:szCs w:val="18"/>
          <w:color w:val="auto"/>
        </w:rPr>
        <w:t xml:space="preserve">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198"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December 2025, we acquired the global rights to deuterium-stabilized S-bupropion from DeuteRx, LLC, a privately held biopharmaceutical company (DeuteRx). DeuteRx is eligible to receive contingent development, regulatory and sales-based milestones of up to $523 million and a tiered low single-digit royalty on potential global net sales.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Our product candidates are protected by a combination of patents, trade secrets, and proprietary know-how. If approved, they may also be eligible for periods of regulatory exclusivity. Our intellectual property portfolio includes issued U.S. and foreign patents with claims extending to 2034, 2040, 2041, and 2043 for AXS-05 and to 2039 for AXS-12, as well as U.S. and foreign patent applications for AXS-05, AXS-12, and AXS-14. Our issued U.S. and foreign patents for SYMBRAVO include claims extending out to 2045 and 2040, respectively. Our Orange Book listed patents in the United States for SUNOSI extend out to 2042. We also have patents in various other countries pertaining to SUNOSI.</w:t>
      </w:r>
    </w:p>
    <w:p>
      <w:pPr>
        <w:spacing w:after="0" w:line="183" w:lineRule="exact"/>
        <w:rPr>
          <w:sz w:val="20"/>
          <w:szCs w:val="20"/>
          <w:color w:val="auto"/>
        </w:rPr>
      </w:pPr>
    </w:p>
    <w:p>
      <w:pPr>
        <w:ind w:right="400" w:firstLine="749"/>
        <w:spacing w:after="0" w:line="258" w:lineRule="auto"/>
        <w:rPr>
          <w:sz w:val="20"/>
          <w:szCs w:val="20"/>
          <w:color w:val="auto"/>
        </w:rPr>
      </w:pPr>
      <w:r>
        <w:rPr>
          <w:rFonts w:ascii="Times New Roman" w:cs="Times New Roman" w:eastAsia="Times New Roman" w:hAnsi="Times New Roman"/>
          <w:sz w:val="18"/>
          <w:szCs w:val="18"/>
          <w:color w:val="auto"/>
        </w:rPr>
        <w:t>In February 2025, we entered into a settlement agreement resolving all outstanding patent litigation related to AUVELITY. The litigation resulted from submission by Teva Pharmaceutical Industries Limited (Teva) of an ANDA to the FDA seeking approval to market a generic version of AUVELITY in the U.S. prior to the expiration of applicable Axsome patents. Under the terms of the settlement agreement, Axsome will grant Teva a license to sell its generic version of AUVELITY beginning on or after March 31, 2039, if pediatric exclusivity is granted, or on or after September 30, 2038, if no pediatric exclusivity is granted, subject to FDA approval and conditions and exceptions customary for agreements of this type.</w:t>
      </w:r>
    </w:p>
    <w:p>
      <w:pPr>
        <w:spacing w:after="0" w:line="183"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May 2025, we entered into a settlement agreement with Hetero Labs Ltd., and certain of its affiliates (Hetero), that permits Hetero to begin selling its generic version of SUNOSI on September 1, 2040, or earlier under certain circumstances. In March 2025, we entered into a settlement agreement with Hikma Pharmaceuticals USA, Inc. (Hikma) that permits Hikma to begin selling its generic version of SUNOSI on September 1, 2040, or earlier under certain circumstances. In August 2024, we reached an agreement with Sandoz Inc. (Sandoz) to dismiss the patent litigation related to SUNOSI following Sandoz’s withdrawal of its ANDA for a generic equivalent of SUNOSI. As a result, the litigation has been dismissed without prejudice. In June 2024, we entered into a settlement agreement with Unichem Laboratories Ltd. (Unichem) that permits Unichem to begin selling its generic version of SUNOSI on June 30, 2042, or earlier under certain circumstances.</w:t>
      </w:r>
    </w:p>
    <w:p>
      <w:pPr>
        <w:spacing w:after="0" w:line="18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seek to protect our product candidates and our technology through a combination of patents, trade secrets, proprietary know-how, FDA and EMA exclusivity, and contractual restrictions on disclosure. Our policy is to pursue, maintain, and defend patent rights whether developed internally or licensed from third parties and to protect the proprietary position of our product candidates by, among other methods, filing U.S. and foreign patent applications related to our proprietary technology, inventions, and improvements that are important to the development of our business. U.S. patents generally have a term of 20 years from the earliest effective date of the application.</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As of February 16, 2026, our intellectual property portfolio contains more than 600 issued patents and more than 450 pending applications in the United States and worldwide. More than 150 issued United States patents and more than 130 issued foreign patents cover our AXS-05 products, including AUVELITY, other AXS-05 products still in the pipeline, and related compounds, which have claims covering method of treatment, pharmaceutical composition, drug delivery, and pharmacokinetics, with protection extending through 2043. More than 100 issued United States patents and more than 160 issued foreign patents cover our AXS-07 products, including SYMBRAVO and related compounds, which have claims covering various aspects, including pharmacokinetics, pharmaceutical composition, method of delivery, and methods of use with protection extending through 2045 for United States patents and 2040 for foreign patents. Nine issued United States patents and five issued foreign patents cover our AXS-12 product candidate with protection extending through 2039. We have pending PCT applications, as well as pending applications in Australia, Brazil, Canada, Chile, China, Europe, Hong Kong, Israel, Japan, Mexico, Panama, Singapore, South Korea, and New Zealand. We have other patent applications with claims covering the other programs in our pipeline, including those that are not relevant to our current programs in development. With respect to SUNOSI, Orange Book listed patents in the United States extend out to 2042. We also have patents in various other countries pertaining to SUNOSI.</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Many pharmaceutical companies, biotechnology companies, and academic institutions are competing with us in the field of CNS disorders and filing patent applications potentially relevant to our business. In order to contend with the inevitable possibility of third-party intellectual property conflicts, from time to time we review and assess the third-party intellectual property landscape for competitive and other developments that may inform or impact our intellectual property development and commercialization strategies. With respect to third-party intellectual property, it is impossible to establish with certainty that our product candidates or discovery platform will be free of claims by third-party intellectual property holders or whether we will require licenses from such third parties. Even with modern databases and online search engines, literature searches are imperfect and may fail to identify relevant patents and published applications. Even when a third-party patent is identified, we may conclude, upon a thorough analysis, that we do not infringe the patent or that the patent is invalid. If the third-party patent owner disagrees with our conclusion and we continue with the business activity in question, we might have patent litigation forced upon us. Alternatively, we might decide to initiate litigation in an attempt to have a court declare the third-party patent invalid or not infringed by our activity. In either scenario, patent litigation typically is costly and time consuming, and the outcome is uncertain. The outcome of patent litigation is subject to uncertainties that cannot be quantified in advance, for example, the credibility of expert witnesses who may disagree on technical interpretation of scientific data. Ultimately, in the case of an adverse outcome in litigation, we could be prevented from commercializing a product or using certain aspects of our discovery platform as a result of patent infringement claims asserted against us. This could have a material adverse effect on our business. In addition to patents, we rely upon unpatented trade secrets, know how, and continuing technological innovation to develop and maintain a competitive position. We seek to protect our proprietary information, including our trade secrets and proprietary know 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Further, we require confidentiality agreements from entities that receive our confidential data or materials.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We have built a commercial infrastructure in the United States to commercialize our products and will further expand that team as we plan for anticipated drug approvals of our product candidates. We believe that we have cost-effectively implemented a targeted sales force required to commercialize our products. Support for this team includes sales management, internal sales support, market access, distribution support, and an internal marketing group. We may seek co-promotion partners for our sales efforts to achieve broader reach or call frequency with other United States target physicians. We believe that there are significant market opportunities for our products outside of the United States. As a result, we plan to seek strategic partnerships with third parties, which may have greater reach and resources by virtue of their size and experience in the field, for the development and commercialization of our products outside the United States. We may elect in the future to utilize strategic partners, distributors, or contract sales forces to assist in the commercialization of our products. In order to implement this infrastructure, we will have to allocate management resources and make significant financial investments including some prior to product approval.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Our industry is highly competitive and subject to rapid and significant technological change. The large size and expanding scope of the CNS markets make them attractive therapeutic areas for biopharmaceutical businesses. Our competitors include pharmaceutical, biotechnology, and specialty pharmaceutical companies. While we believe that our employees and consultants, scientific knowledge, technology, and development experience provide us with competitive advantages, we face competition from many different sources, including major pharmaceutical, specialty pharmaceutical, and biotechnology companies, academic institutions and governmental agencies, and public and private research institutions. Several of these entities have robust drug pipelines, readily available capital, and established research and development organizations. Any product candidates that we successfully develop and commercialize will compete with existing therapies and new therapies that may become available in the future. Many of our competitors may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Small or early-stage companies may also prove to be significant competitors, particularly through collaborative arrangements with large and established companies. The key competitive factors affecting the success of all of our product candidates are likely to be their efficacy, safety, convenience, price, the level of branded and generic competition, and the availability of reimbursement from government and other third-party payors.</w:t>
      </w:r>
    </w:p>
    <w:p>
      <w:pPr>
        <w:spacing w:after="0" w:line="19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Patients with MDD are typically treated with a variety of anti-depressant medications. Some of these treatments include: generic and/or branded forms of Prozac, the branded form of which is marketed by Eli Lilly and Company; Zoloft, which is marketed by Pfizer; Trintellix, which is marketed by Takeda Pharmaceuticals Company and H. Lundbeck A/S; Rexulti, which is marketed by Otsuka Pharmaceutical Co., Ltd., and Lundbeck A/S; Vraylar and Viibryd, which are marketed by AbbVie Inc. (AbbVie); Effexor, which is marketed by Pfizer; Caplyta, which is marketed by Johnson &amp; Johnson International, Inc. (Johnson &amp; Johnson); Exxua, which is marketed by Aytu Biopharma, Inc.; and Wellbutrin, which is marketed by GSK plc (GSK). We are aware of several companies developing compounds for the treatment of depression, including AbbVie, Compass Pathways, Inc., Definium Therapeutics, Inc., Xenon Pharmaceuticals, Inc., Neumora Therapeutics, Inc., Johnson &amp; Johnson, Otsuka Pharmaceutical Co. Ltd., Acadia Pharmaceuticals Inc., and Neurocrine Biosciences, Inc.</w:t>
      </w:r>
    </w:p>
    <w:p>
      <w:pPr>
        <w:spacing w:after="0" w:line="19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Patients with EDS associated with narcolepsy have available to them a variety of medications, such as generic and/or branded forms of Xyrem and Xywav, which are marketed by Jazz; Wakix, which is marketed by Harmony Biosciences LLC; Lumryz, which is marketed by Alkermes plc; Provigil and Nuvigil, which are manufactured by Teva. We are aware of several companies developing compounds for the treatment of EDS, including Alkermes plc and Tris Pharma Inc.</w:t>
      </w:r>
    </w:p>
    <w:p>
      <w:pPr>
        <w:spacing w:after="0" w:line="180"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Patients with migraine have available to them a variety of medications for the acute treatment of migraine with or without aura in adults, including generic and/or branded triptans and products such as Nurtec ODT and Zavzpret, which are marketed by Pfizer; Ubrelvy, which is marketed by AbbVie; Treximet, which is marketed by Currax Pharmaceuticals LLC, and Trudhesa which is marketed by Impel Pharmaceuticals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CNS Product Candidates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05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-43815</wp:posOffset>
            </wp:positionV>
            <wp:extent cx="64135"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We are aware of other companies working to develop therapeutics for the treatment of AD agitation, including Johnson &amp; Johnson, Bristol-Myers Squibb Co., Neumora Therapeutics, Inc., BioXcel Therapeutics, Inc., and Otsuka and Lundbeck A/S, which recently received approval for Rexulti for this indication. Products approved for smoking cessation include Chantix, which is marketed by Pfizer; Zyban, which is marketed by GSK; and various nicotine replacement therapies, including skin patches, chewing gums, and lozenges.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AXS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12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-43815</wp:posOffset>
            </wp:positionV>
            <wp:extent cx="64135" cy="39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Products approved to treat the symptoms of narcolepsy include generic and/or branded forms of Ritalin, the branded form of which is marketed by Novartis Pharmaceuticals; Provigil and Nuvigil, which are both marketed by Teva; Xyrem and Xywav, which are both marketed by Jazz; and Wakix which is marketed by Harmony Biosciences LLC. We are aware of several companies developing compounds for the treatment of the symptoms of narcolepsy, including Takeda Pharmaceuticals Company, Centessa Pharmaceuticals plc, Harmony Biosciences LLC, Eisai Co., Ltd., and Alkermes plc.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AXS-14 Competition</w:t>
      </w:r>
    </w:p>
    <w:p>
      <w:pPr>
        <w:spacing w:after="0" w:line="229" w:lineRule="exact"/>
        <w:rPr>
          <w:sz w:val="20"/>
          <w:szCs w:val="20"/>
          <w:color w:val="auto"/>
        </w:rPr>
      </w:pPr>
    </w:p>
    <w:p>
      <w:pPr>
        <w:ind w:right="120" w:firstLine="749"/>
        <w:spacing w:after="0" w:line="289" w:lineRule="auto"/>
        <w:rPr>
          <w:sz w:val="20"/>
          <w:szCs w:val="20"/>
          <w:color w:val="auto"/>
        </w:rPr>
      </w:pPr>
      <w:r>
        <w:rPr>
          <w:rFonts w:ascii="Times New Roman" w:cs="Times New Roman" w:eastAsia="Times New Roman" w:hAnsi="Times New Roman"/>
          <w:sz w:val="17"/>
          <w:szCs w:val="17"/>
          <w:color w:val="auto"/>
        </w:rPr>
        <w:t>Products approved to treat fibromyalgia include generic and/or branded forms of Cymbalta, the branded form of which is marketed by Eli Lilly and Company; Lyrica, which is marketed by Pfizer; Savella, which is marketed by AbbVie; and Tonmya, which is marketed by Tonix Pharmaceuticals Holding Corp. We are aware of companies working to develop therapeutics for the treatment of fibromyalgia, including Dogwood Therapeutics,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AXS-17 Competition</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Products approved to treat seizures associated with epilepsy or rare epilepsy syndromes include a broad range of anti-seizure medications, including generic and/or branded forms of Keppra, Vimpat, Fintepla, and Briviact, which are marketed by UCB, Inc.; Xcopri, which is marketed by SK Life Science, Inc.; Fycompa, which is marketed by Catalyst Pharmaceuticals, Inc.; Lamictal, which is marketed by GSK plc; Oxtellar and Trokendi, which are marketed by Supernus Pharmaceuticals Inc; Aptiom, which is marketed by Sumitomo Pharma Co. Ltd.; Ztalmy, which is marketed by Immedica Pharma AB; and Epidiolex, which is marketed by Jazz. We are aware of several companies developing compounds for epilepsy and seizure disorders, including Stoke Therapeutics, Inc., Rapport Therapeutics, Inc., Xenon Pharmaceuticals, Inc., UCB, Inc., H. Lundbeck A/S, and Harmony Biosciences Holdings,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Manufacturing of the drug substance and drug product for our products and product candidates are done by third parties and must comply with FDA current Good Manufacturing Practice, or cGMP, regulations. Our products and product candidates are comprised of synthetic small molecules made through a series of organic chemistry steps starting with commercially available organic chemical raw materials. We do not currently own or operate any manufacturing facilities for the clinical or commercial production of our drug candidates. We believe that our existing suppliers of our product and product candidate active pharmaceutical ingredients and finished products will be capable of providing sufficient quantities of each to meet our commercial and clinical trial supply needs. We conduct periodic quality audits of their facilities. Other contract manufacturing organizations, or CMOs, may be used in the future for clinical supplies and/or commercial manufacturing.</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supranational regions, extensively regulate, among other things, the research, development, testing, manufacture, packaging, storage, recordkeeping, labeling, advertising, promotion, distribution, adverse event reporting and pharmacovigilance, marketing, import, and export of pharmaceutical products, such as those we are developing and for which we are seeking FDA approval. In addition, healthcare regulatory bodies in the United States and around the world impose a range of requirements related to the payment for pharmaceutical products, including laws intended to prevent fraud, waste, and abuse of healthcare dollars. This includes, for example, requirements that manufacturers of pharmaceutical products participating in Medicaid and Medicare comply with mandatory price reporting, discount, rebate requirements, and other cost control measures, as well as anti-kickback laws and laws prohibiting false claims. Some states also have enacted fraud, waste, and abuse laws that parallel (and in some cases apply more broadly than) federal laws, and in some cases price transparency requirements. The processes for obtaining regulatory approvals in the United States and in foreign countries, along with subsequent compliance with applicable statutes and regulations, require the expenditure of substantial time and financial resources. Further, healthcare is an active area of governmental scrutiny, and it is reasonable to expect that the requirements may become more stringent within the foreseeable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Regulation</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In the United States, the FDA regulates drugs under the FDCA and its implementing regulations. The process required by the FDA before product candidates may be marketed in the United States generally involves the following:</w:t>
      </w:r>
    </w:p>
    <w:p>
      <w:pPr>
        <w:spacing w:after="0" w:line="162" w:lineRule="exact"/>
        <w:rPr>
          <w:sz w:val="20"/>
          <w:szCs w:val="20"/>
          <w:color w:val="auto"/>
        </w:rPr>
      </w:pPr>
    </w:p>
    <w:p>
      <w:pPr>
        <w:ind w:left="1140" w:right="20" w:hanging="383"/>
        <w:spacing w:after="0" w:line="28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or GLP, regulations;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for each clinical site or centrally, before each trial may be initiated;</w:t>
      </w:r>
    </w:p>
    <w:p>
      <w:pPr>
        <w:spacing w:after="0" w:line="184" w:lineRule="exact"/>
        <w:rPr>
          <w:rFonts w:ascii="Times New Roman" w:cs="Times New Roman" w:eastAsia="Times New Roman" w:hAnsi="Times New Roman"/>
          <w:sz w:val="18"/>
          <w:szCs w:val="18"/>
          <w:color w:val="auto"/>
        </w:rPr>
      </w:pPr>
    </w:p>
    <w:p>
      <w:pPr>
        <w:ind w:left="1140" w:right="120" w:hanging="383"/>
        <w:spacing w:after="0" w:line="245" w:lineRule="exact"/>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human clinical trials to establish the safety and efficacy of the proposed drug candidates for its intended use, performed in accordance with current Good Clinical Practices, or GCP;</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manufacturing processes in compliance with cGMPs to ensure the drug’s identity, strength, quality, and purity;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compilation of required information and submission to the FDA of an NDA;</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225" w:lineRule="exact"/>
        <w:rPr>
          <w:rFonts w:ascii="Times New Roman" w:cs="Times New Roman" w:eastAsia="Times New Roman" w:hAnsi="Times New Roman"/>
          <w:sz w:val="18"/>
          <w:szCs w:val="18"/>
          <w:color w:val="auto"/>
        </w:rPr>
      </w:pPr>
    </w:p>
    <w:p>
      <w:pPr>
        <w:ind w:left="1140" w:right="220" w:hanging="383"/>
        <w:spacing w:after="0" w:line="261"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cGMPs, and to assure that the facilities, methods, and controls are adequate to preserve the drug’s identity, strength, quality, and purity, as well as satisfactory completion of an FDA inspection of selected clinical sites and selected clinical investigators to determine GCP compliance; and</w:t>
      </w:r>
    </w:p>
    <w:p>
      <w:pPr>
        <w:spacing w:after="0" w:line="17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to permit commercial marketing for particular indications for use.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Preclinical Studies and IND Submission</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testing and approval process of product candidates requires substantial time, effort, and financial resources. Preclinical studies include laboratory evaluation of drug substance chemistry, pharmacology, toxicity, and drug product formulation, as well as animal studies to assess potential safety and efficacy. Such studies must generally be conducted in accordance with the FDA’s GLP regulations. Prior to commencing the first clinical trial with a product candidate, an IND sponsor must submit the results of the preclinical tests and preclinical literature, together with manufacturing information, analytical data, any available clinical data or literature, and proposed clinical study protocols, among other things, to the FDA as part of an IND. In the case of 505(b)(2) applications, though, some of the IND components may not be required (for example, if previously established for an approved drug which is referenced). Some preclinical testing may continue even after the IND is submitted.</w:t>
      </w:r>
    </w:p>
    <w:p>
      <w:pPr>
        <w:spacing w:after="0" w:line="148" w:lineRule="exact"/>
        <w:rPr>
          <w:sz w:val="20"/>
          <w:szCs w:val="20"/>
          <w:color w:val="auto"/>
        </w:rPr>
      </w:pPr>
    </w:p>
    <w:p>
      <w:pPr>
        <w:jc w:val="both"/>
        <w:ind w:right="20" w:firstLine="749"/>
        <w:spacing w:after="0" w:line="231" w:lineRule="exact"/>
        <w:rPr>
          <w:sz w:val="20"/>
          <w:szCs w:val="20"/>
          <w:color w:val="auto"/>
        </w:rPr>
      </w:pPr>
      <w:r>
        <w:rPr>
          <w:rFonts w:ascii="Times New Roman" w:cs="Times New Roman" w:eastAsia="Times New Roman" w:hAnsi="Times New Roman"/>
          <w:sz w:val="18"/>
          <w:szCs w:val="18"/>
          <w:color w:val="auto"/>
        </w:rPr>
        <w:t>An IND automatically becomes effective 30 days after receipt by the FDA, unless the FDA, within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time period, notifies the applicant of safety concerns or questions related to one or more proposed clinical trials and places the trial on a clinical hold. In such a case, the IND sponsor and the FDA must resolve any outstanding concerns before the clinical trial can begin. Clinical holds also may be imposed by the FDA at any time before or during trials due to safety concerns or noncompliance. As a result, submission of an IND may not result in FDA authorization to commence a clinical trial.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new drug to human subjects under the supervision of qualified investigators in accordance with GCP requirements, which include the requirements that all research subjects provide their informed consent in writing for their participation in any clinical trial, as well as review and approval of the study by an IRB. Investigators must also provide certain information to the clinical trial sponsors to allow the sponsors to make certain financial disclosures to the FDA. Clinical trials are conducted under protocols detailing, among other things, the objectives of the trial, the trial procedures, the parameters to be used in monitoring safety, the effectiveness criteria to be evaluated, and a statistical analysis plan. A protocol for each clinical trial, and any subsequent protocol amendments, must be submitted to the FDA as part of the IND. In addition, an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the IND for FDA review, and to the IRB for approval. Progress reports detailing the results of the clinical trials must also be submitted at least annually to the FDA and the IRB and more frequently if serious adverse events or other significant safety information is found.</w:t>
      </w:r>
    </w:p>
    <w:p>
      <w:pPr>
        <w:spacing w:after="0" w:line="187"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w:t>
      </w:r>
    </w:p>
    <w:p>
      <w:pPr>
        <w:spacing w:after="0" w:line="1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enrollment of potential trial subjects, and the continuing validity and scientific merit of the clinical trial. The data safety monitoring board receives special access to unblinded data during the clinical trial and may advise the sponsor to halt the clinical trial if it determines there is an unacceptable safety risk for subjects or on other grounds, such as no demonstration of efficacy.</w:t>
      </w:r>
    </w:p>
    <w:p>
      <w:pPr>
        <w:spacing w:after="0" w:line="183"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drugs for the conduct of human clinical trials (and their active pharmaceutical ingredients)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FDCA.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In general, for purposes of NDA approval, human clinical trials are typically conducted in three sequential phases, which may overlap or be combined.</w:t>
      </w:r>
    </w:p>
    <w:p>
      <w:pPr>
        <w:spacing w:after="0" w:line="160" w:lineRule="exact"/>
        <w:rPr>
          <w:sz w:val="20"/>
          <w:szCs w:val="20"/>
          <w:color w:val="auto"/>
        </w:rPr>
      </w:pPr>
    </w:p>
    <w:p>
      <w:pPr>
        <w:ind w:left="1140" w:right="240" w:hanging="383"/>
        <w:spacing w:after="0" w:line="223" w:lineRule="exact"/>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—Studies are initially conducted in healthy human volunteers or subjects with the target disease or condition and test the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 for safety, dosage tolerance, structure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activity relationships, mechanism of action, absorption, metabolism, distribution, and excretion. If possible, Phase 1 trials may also be used to gain an initial indication of product effectiveness.</w:t>
      </w:r>
    </w:p>
    <w:p>
      <w:pPr>
        <w:spacing w:after="0" w:line="196" w:lineRule="exact"/>
        <w:rPr>
          <w:rFonts w:ascii="Times New Roman" w:cs="Times New Roman" w:eastAsia="Times New Roman" w:hAnsi="Times New Roman"/>
          <w:sz w:val="18"/>
          <w:szCs w:val="18"/>
          <w:color w:val="auto"/>
        </w:rPr>
      </w:pPr>
    </w:p>
    <w:p>
      <w:pPr>
        <w:jc w:val="both"/>
        <w:ind w:left="1140" w:right="440" w:hanging="383"/>
        <w:spacing w:after="0" w:line="267"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—Controlled studies are conducted in limited subject populations with a specified disease or condition to evaluate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efficacy, identify optimal dosages, dosage tolerance and schedule, possible adverse effects and safety risks, and expanded evidence of safety.</w:t>
      </w:r>
    </w:p>
    <w:p>
      <w:pPr>
        <w:spacing w:after="0" w:line="134" w:lineRule="exact"/>
        <w:rPr>
          <w:rFonts w:ascii="Times New Roman" w:cs="Times New Roman" w:eastAsia="Times New Roman" w:hAnsi="Times New Roman"/>
          <w:sz w:val="18"/>
          <w:szCs w:val="18"/>
          <w:color w:val="auto"/>
        </w:rPr>
      </w:pPr>
    </w:p>
    <w:p>
      <w:pPr>
        <w:ind w:left="1140" w:right="140" w:hanging="383"/>
        <w:spacing w:after="0" w:line="231" w:lineRule="exact"/>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These adequate and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controlled clinical trials are undertaken in expanded subject populations, generally at geographically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dispersed clinical trial sites, to generate enough data to provide statistically significant evidence of clinical efficacy and safety of the product for approval, to establish the overall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profile of the product, and to provide adequate information for the labeling of the product. Typically, one or more trials are required by the FDA for product approval.</w:t>
      </w:r>
    </w:p>
    <w:p>
      <w:pPr>
        <w:spacing w:after="0" w:line="200"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FDA may also require, or companies may conduct, additional clinical trials for the same indication after a product is approved. These so-called Phase 4 studies may be required by the FDA as a condition of approval of the NDA, to be satisfied after approval. The results of Phase 4 studies can confirm the effectiveness of a product candidate and can provide important safety information. In addition to the above traditional kinds of clinical trial data required for the approval of an NDA, the 21st Century Cures Act provides for potential FDA use of different types and sources of data in regulatory decision-making, such as patient experience data, real world evidence for already approved products, and, for appropriate indications sought through supplemental marketing applications, data summaries. Implementation of this law and related initiatives is still in progress, and we do not know the extent to which we may in the future be able to utilize these types and sources of data. In the case of a 505(b)(2) NDA, which is a marketing application in which sponsors may rely on investigations that were not conducted by or for the applicant and for which the applicant has not obtained a right of reference or use from the person by or for whom the investigations were conducted, some of the above described studies and preclinical studies may not be required or may be abbreviated. Bridging studies may be needed, however, to demonstrate the applicability of the studies that were previously conducted by other sponsors to the drug that is the subject of the marketing application.</w:t>
      </w:r>
    </w:p>
    <w:p>
      <w:pPr>
        <w:spacing w:after="0" w:line="19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Clinical trials at any phase may not be completed successfully within any specified period, or at all.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the subjects, or based on evolving business objectives or competitive climate.</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firstLine="749"/>
        <w:spacing w:after="0" w:line="253" w:lineRule="auto"/>
        <w:rPr>
          <w:sz w:val="20"/>
          <w:szCs w:val="20"/>
          <w:color w:val="auto"/>
        </w:rPr>
      </w:pPr>
      <w:r>
        <w:rPr>
          <w:rFonts w:ascii="Times New Roman" w:cs="Times New Roman" w:eastAsia="Times New Roman" w:hAnsi="Times New Roman"/>
          <w:sz w:val="18"/>
          <w:szCs w:val="18"/>
          <w:color w:val="auto"/>
        </w:rPr>
        <w:t>During the development of a new drug, a sponsor may be able to request an SPA, the purpose of which is to reach agreement with the FDA on the Phase 3 clinical trial protocol design and analysis that will form the primary basis of an efficacy claim as well as preclinical carcinogenicity trials and stability studies. An SPA may only be modified with the agreement of the FDA and the trial sponsor or if the director of the FDA reviewing division determines that a substantial scientific issue essential to determining the safety or efficacy of the drug was identified after the testing began. An SPA is intended to provide assurance that, in the case of clinical trials, if the agreed upon clinical trial protocol is followed, the clinical trial endpoints are achieved, and there is a favorable risk benefit profile, the data may serve as the primary basis for an efficacy claim in support of an NDA. However, SPA agreements are not a guarantee of an approval of a product candidate or any permissible claims about the product candidate. In particular, SPAs are not binding on the FDA if, among other reasons, previously unrecognized public health concerns arise during the performance of the clinical trial, other new scientific concerns regarding the product candidate’s safety or efficacy arise, or if the sponsoring company fails to comply with the agreed upon clinical trial protocol.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NDA Submission, Review by the FDA, and Marketing Approval</w:t>
      </w:r>
    </w:p>
    <w:p>
      <w:pPr>
        <w:spacing w:after="0" w:line="227"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Assuming successful completion of the required clinical and preclinical testing, the results of product development, including chemistry, manufacturing, and controls, or CMC, information, non-clinical studies, and clinical trial results, including negative or ambiguous results as well as positive findings, are all submitted to the FDA, along with the proposed labeling, as part of an NDA requesting approval to market the product for one or more indications. In most cases, the submission of an NDA is subject to a substantial application user fee, authorized every five years by Congress under PDUFA. User fees must be paid at the time of the first submission of the application, even if the application is being submitted on a rolling basis, and, if approved, program fees must be paid on an annual basis. Product candidates that are designated as orphan drugs, which are further described below, are also not subject to application user fees unless the application includes an indication other than the orphan indication.</w:t>
      </w:r>
    </w:p>
    <w:p>
      <w:pPr>
        <w:spacing w:after="0" w:line="18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an NDA or supplement to an NDA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A sponsor who is planning to submit a marketing application for a drug product that includes a new active ingredient, new indication, new dosage form, new dosing regimen or new route of administration must submit an initial Pediatric Study Plan, or PSP, within 60 days of an End-of-Phase 2 meeting or as may be agreed between the sponsor and the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preclinical studies, early phase clinical studies or other clinical development programs. The FDA may, on its own initiative or at the request of the applicant, grant deferrals for submission of some or all pediatric data until after approval of the product for use in adults, or full or partial waivers from the pediatric data requirements. The FDA also may require submission of a risk evaluation and mitigation strategy, or REMS, to ensure that the benefits of the drug outweigh the risks of the drug. The REMS plan could include medication guides, physician communication plans, and elements to assure safe use, such as restricted distribution methods, patient registries, or other risk minimization tools. An assessment of the REMS must also be conducted at set intervals. Following product approval, a REMS may also be required by the FDA if new safety information is discovered, and the FDA determines that a REMS is necessary to ensure that the benefits of the drug continue to outweigh the risks of the drug.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27" w:lineRule="exact"/>
        <w:rPr>
          <w:sz w:val="20"/>
          <w:szCs w:val="20"/>
          <w:color w:val="auto"/>
        </w:rPr>
      </w:pPr>
      <w:r>
        <w:rPr>
          <w:rFonts w:ascii="Times New Roman" w:cs="Times New Roman" w:eastAsia="Times New Roman" w:hAnsi="Times New Roman"/>
          <w:sz w:val="18"/>
          <w:szCs w:val="18"/>
          <w:color w:val="auto"/>
        </w:rPr>
        <w:t>Once the FDA receives an application, it will determine within 60 days whether the NDA as filed is sufficiently complete to permit a substantive review (with this decision often referred to as the NDA being “accepted for filing”).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depth substantive review of the NDA.</w:t>
      </w:r>
    </w:p>
    <w:p>
      <w:pPr>
        <w:spacing w:after="0" w:line="173"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FDA has agreed to a set of performance goals and procedures under PDUFA to review 90% of all applications within ten months from the 60-day filing date for its initial review of a standard NDA for a New Molecular Entity, or NME. For non-NME standard applications, the FDA has set the goal of completing its review of 90% of all applications within ten months from the submission receipt date. Such deadlines are referred to as the PDUFA date. The PDUFA date is only a goal, thus, the FDA does not always meet its PDUFA goal dates. The review process and the PDUFA goal date may also be extended if the FDA requests, or the NDA sponsor otherwise provides, substantial additional information or clarification regarding the submission.</w:t>
      </w:r>
    </w:p>
    <w:p>
      <w:pPr>
        <w:spacing w:after="0" w:line="183" w:lineRule="exact"/>
        <w:rPr>
          <w:sz w:val="20"/>
          <w:szCs w:val="20"/>
          <w:color w:val="auto"/>
        </w:rPr>
      </w:pPr>
    </w:p>
    <w:p>
      <w:pPr>
        <w:jc w:val="both"/>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FDA may refer an application to an advisory committee for review, evaluation and recommendation as to whether the application should be approved, and applications for new molecular entities are generally discussed at advisory committee meetings unless the FDA determines that this type of consultation is not needed under the circumstances.</w:t>
      </w:r>
    </w:p>
    <w:p>
      <w:pPr>
        <w:spacing w:after="0" w:line="176"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 and typically follows such recommendations.</w:t>
      </w:r>
    </w:p>
    <w:p>
      <w:pPr>
        <w:spacing w:after="0" w:line="176"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is safe and effective for its intended use and whether the manufacturing methods and controls are adequate to assure and preserve the product’s identity, strength, quality, safety, potency, and purity. Before approving an NDA, the FDA typically will inspect the facility or facilities where the product is manufactured, referred to as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an NDA, the FDA will inspect one or more clinical trial sites to assure compliance with GCPs.</w:t>
      </w:r>
    </w:p>
    <w:p>
      <w:pPr>
        <w:spacing w:after="0" w:line="20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approval process is lengthy and difficult and involves numerous FDA personnel assigned to review different aspects of the NDA, and the FDA may refuse to approve an NDA if the applicable regulatory criteria are not satisfied or may require additional preclinical or clinical CMC, or other data and information. Uncertainties can be presented by reviewers’ ability to exercise judgment and discretion during the review process. Even if such data and information are submitted, the FDA may ultimately decide that the NDA does not satisfy the criteria for approval. Data obtained from clinical trials are not always conclusive and the FDA may interpret data differently than an applicant interprets the same data.</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CRL. If a CRL is issued, the applicant may either resubmit the NDA, addressing all of the deficiencies identified in the letter; withdraw the application; or request an opportunity for a hearing. A CRL indicates that the review cycle of the application is complete, and the application is not ready for approval in its current form and describes all of the specific deficiencies that the FDA identified in the NDA. A CRL generally contains a statement of specific conditions that must be met in order to secure final approval of the NDA and may require additional clinical or preclinical testing in order for the FDA to reconsider the application. The deficiencies identified may be minor, for example, requiring labeling changes; or major, for example, requiring additional clinical trials. The FDA has the goal of reviewing 90% of application and efficacy supplement resubmissions in either two or six months (from receipt) for a Class 1 or Class 2 resubmission, respectively. For non-efficacy supplements (i.e., labeling and manufacturing supplements), CDER’s goal is to review the supplement within the same length of time (from receipt) as the initial review cycle (excluding an extension caused by a major amendment of the initial supplement).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Even with the submission of additional information, the FDA ultimately may decide that the application does not satisfy the regulatory criteria for approval. If and when the issues identified in a CRL have been addressed and resolved to the FDA’s satisfaction, the FDA may issue an approval letter. An approval letter authorizes commercial marketing of the drug for specific indications and with specific prescribing information, which was reviewed in connection with the NDA.</w:t>
      </w:r>
    </w:p>
    <w:p>
      <w:pPr>
        <w:spacing w:after="0" w:line="180" w:lineRule="exact"/>
        <w:rPr>
          <w:sz w:val="20"/>
          <w:szCs w:val="20"/>
          <w:color w:val="auto"/>
        </w:rPr>
      </w:pPr>
    </w:p>
    <w:p>
      <w:pPr>
        <w:ind w:right="280" w:firstLine="749"/>
        <w:spacing w:after="0" w:line="219" w:lineRule="exact"/>
        <w:rPr>
          <w:sz w:val="20"/>
          <w:szCs w:val="20"/>
          <w:color w:val="auto"/>
        </w:rPr>
      </w:pPr>
      <w:r>
        <w:rPr>
          <w:rFonts w:ascii="Times New Roman" w:cs="Times New Roman" w:eastAsia="Times New Roman" w:hAnsi="Times New Roman"/>
          <w:sz w:val="18"/>
          <w:szCs w:val="18"/>
          <w:color w:val="auto"/>
        </w:rPr>
        <w:t>Even if the FDA approves a product, it may limit the approved indications for use of the product, require that contraindications, warnings, or precautions be included in the product labeling, including a boxed warning, require that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studies, including Phase 4 clinical trials, be conducted to further assess a drug’s safety and efficacy after approval, require testing and surveillance programs to monitor the product after commercialization, or impose other conditions, including distribution restrictions or other risk management mechanisms under a REMS, which can materially affect the potential market and profitability of the product. The FDA may also not approve label statements that are necessary for successful commercialization and marketing.</w:t>
      </w:r>
    </w:p>
    <w:p>
      <w:pPr>
        <w:spacing w:after="0" w:line="203" w:lineRule="exact"/>
        <w:rPr>
          <w:sz w:val="20"/>
          <w:szCs w:val="20"/>
          <w:color w:val="auto"/>
        </w:rPr>
      </w:pPr>
    </w:p>
    <w:p>
      <w:pPr>
        <w:jc w:val="both"/>
        <w:ind w:firstLine="749"/>
        <w:spacing w:after="0" w:line="220" w:lineRule="exact"/>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regulatory standards are not maintained or if problems occur after the product reaches the marketplace. Further, should new safety information arise, additional testing, product labeling, or FDA notification may be required.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505(b)(2) Approval Process</w:t>
      </w:r>
    </w:p>
    <w:p>
      <w:pPr>
        <w:spacing w:after="0" w:line="227" w:lineRule="exact"/>
        <w:rPr>
          <w:sz w:val="20"/>
          <w:szCs w:val="20"/>
          <w:color w:val="auto"/>
        </w:rPr>
      </w:pPr>
    </w:p>
    <w:p>
      <w:pPr>
        <w:ind w:right="60" w:firstLine="749"/>
        <w:spacing w:after="0" w:line="219" w:lineRule="exact"/>
        <w:rPr>
          <w:sz w:val="20"/>
          <w:szCs w:val="20"/>
          <w:color w:val="auto"/>
        </w:rPr>
      </w:pPr>
      <w:r>
        <w:rPr>
          <w:rFonts w:ascii="Times New Roman" w:cs="Times New Roman" w:eastAsia="Times New Roman" w:hAnsi="Times New Roman"/>
          <w:sz w:val="18"/>
          <w:szCs w:val="18"/>
          <w:color w:val="auto"/>
        </w:rPr>
        <w:t>Section 505(b)(2) of the FDCA provides an alternate regulatory pathway to FDA approval for new or improved formulations or new uses of previously approved drug products. Specifically, Section 505(b)(2) was enacted as part of the Drug Price Competition and Patent Term Restoration Act of 1984, commonly referred to as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amendments, and permits the filing of an NDA where at least some of the information required for approval comes from studies not conducted by or for the applicant and for which the applicant has not obtained a right of reference or use from the person by or for whom the investigations were conducted. The applicant may rely, in part, upon the FDA’s prior findings of safety and effectiveness for an approved product that acts as the reference listed drug or on published scientific literature, in support of its application. The FDA may also require 505(b)</w:t>
      </w:r>
    </w:p>
    <w:p>
      <w:pPr>
        <w:spacing w:after="0" w:line="5" w:lineRule="exact"/>
        <w:rPr>
          <w:sz w:val="20"/>
          <w:szCs w:val="20"/>
          <w:color w:val="auto"/>
        </w:rPr>
      </w:pPr>
    </w:p>
    <w:p>
      <w:pPr>
        <w:ind w:firstLine="8"/>
        <w:spacing w:after="0" w:line="255"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applicants to perform additional studies or measurements to support the changes from the reference listed drug as well as bridging studies to the reference listed drug. The FDA may then approve the new product candidate for all or some of the labeled indications for which the referenced product has been approved, as well as for any new indication sought by the Section 505(b)(2) applicant.</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Orange Book Listing</w:t>
      </w:r>
    </w:p>
    <w:p>
      <w:pPr>
        <w:spacing w:after="0" w:line="227" w:lineRule="exact"/>
        <w:rPr>
          <w:sz w:val="20"/>
          <w:szCs w:val="20"/>
          <w:color w:val="auto"/>
        </w:rPr>
      </w:pPr>
    </w:p>
    <w:p>
      <w:pPr>
        <w:ind w:right="20" w:firstLine="749"/>
        <w:spacing w:after="0" w:line="218" w:lineRule="exact"/>
        <w:rPr>
          <w:sz w:val="20"/>
          <w:szCs w:val="20"/>
          <w:color w:val="auto"/>
        </w:rPr>
      </w:pPr>
      <w:r>
        <w:rPr>
          <w:rFonts w:ascii="Times New Roman" w:cs="Times New Roman" w:eastAsia="Times New Roman" w:hAnsi="Times New Roman"/>
          <w:sz w:val="18"/>
          <w:szCs w:val="18"/>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section 505(b)(2) NDA is an application in which the applicant, in part, relies on investigations that were not conducted by or for the applicant and for which the applicant has not obtained a right of reference or use from the person by or for whom the investigations were conducted. Section 505(j) establishes an abbreviated approval process for a generic version of approved drug products through the submission of an ANDA. An ANDA is an application for marketing of a generic drug product that has the same active ingredients, dosage form, strength, route of administration, labeling, performance characteristics, and intended use, among other things, to a previously approved product. Limited changes must be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by the FDA via a suitability petition.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under state substitution laws, may be substituted at the pharmacy for the reference listed drug.</w:t>
      </w:r>
    </w:p>
    <w:p>
      <w:pPr>
        <w:spacing w:after="0" w:line="201"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 xml:space="preserve">In seeking approval for a drug through an NDA, including a 505(b)(2) NDA, applicants are required to identify to the FDA patents that contain claims that are directed to the applicant’s product and/or method(s) of use. Upon approval of an NDA, each of the identified patents is then listed in </w:t>
      </w:r>
      <w:r>
        <w:rPr>
          <w:rFonts w:ascii="Times New Roman" w:cs="Times New Roman" w:eastAsia="Times New Roman" w:hAnsi="Times New Roman"/>
          <w:sz w:val="18"/>
          <w:szCs w:val="18"/>
          <w:i w:val="1"/>
          <w:iCs w:val="1"/>
          <w:color w:val="auto"/>
        </w:rPr>
        <w:t>Approved Drug Products with Therapeutic Equivalence Evaluations</w:t>
      </w:r>
      <w:r>
        <w:rPr>
          <w:rFonts w:ascii="Times New Roman" w:cs="Times New Roman" w:eastAsia="Times New Roman" w:hAnsi="Times New Roman"/>
          <w:sz w:val="18"/>
          <w:szCs w:val="18"/>
          <w:color w:val="auto"/>
        </w:rPr>
        <w:t>, also known as the Orange Book.</w:t>
      </w:r>
    </w:p>
    <w:p>
      <w:pPr>
        <w:spacing w:after="0" w:line="17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 applicant who files an ANDA seeking approval of a generic version of a drug listed in the Orange Book or a 505(b)(2) NDA referencing a drug listed in the Orange Book must make patent certifications to the FDA that (1) no patent information on the drug or method of use that is the subject of the application has been submitted to the FDA; (2) the patent has expired; (3) the date on which the patent has expired and approval will not be sought until after the patent expiration; or (4) in the applicant’s opinion and to the best of its knowledge, the patent is invalid, unenforceable, or will not be infringed upon by the manufacture, use, or sale of the drug product for which the application is submitted. The last certification is known as a paragraph IV certification. Generally, the ANDA or 505(b)(2) NDA approval cannot be made effective until all listed patents have expired, except where the ANDA or 505(b)(2) NDA applicant challenges a listed patent through a paragraph IV certification or if the applicant is not seeking approval of a patented method of use. If the applicant does not challenge the listed patents or does not indicate that it is not seeking approval of a patented method of use, the ANDA or 505(b)(2) NDA application approval will not be made effective until all of the listed patents claiming the referenced product have expired.</w:t>
      </w:r>
    </w:p>
    <w:p>
      <w:pPr>
        <w:spacing w:after="0" w:line="188" w:lineRule="exact"/>
        <w:rPr>
          <w:sz w:val="20"/>
          <w:szCs w:val="20"/>
          <w:color w:val="auto"/>
        </w:rPr>
      </w:pPr>
    </w:p>
    <w:p>
      <w:pPr>
        <w:ind w:right="20" w:firstLine="749"/>
        <w:spacing w:after="0" w:line="223" w:lineRule="exact"/>
        <w:rPr>
          <w:sz w:val="20"/>
          <w:szCs w:val="20"/>
          <w:color w:val="auto"/>
        </w:rPr>
      </w:pPr>
      <w:r>
        <w:rPr>
          <w:rFonts w:ascii="Times New Roman" w:cs="Times New Roman" w:eastAsia="Times New Roman" w:hAnsi="Times New Roman"/>
          <w:sz w:val="18"/>
          <w:szCs w:val="18"/>
          <w:color w:val="auto"/>
        </w:rPr>
        <w:t>If the competitor has provided a paragraph IV certification to the FDA, the competitor must also send notice of the paragraph IV certification to the holder of the NDA for the reference listed drug and the patent owner within 20 days after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notice prevents the FDA from making the approval of the ANDA or 505(b)(2) application effective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automatic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w:t>
      </w:r>
    </w:p>
    <w:p>
      <w:pPr>
        <w:spacing w:after="0" w:line="170"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In practice, where an ANDA or 505(b)(2) NDA applicant files a paragraph IV certification, the NDA holder or patent owners often take action to trigger the automatic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resulting in patent litigation that may take many months or years to resolve. Thus, approval of an ANDA or 505(b)(2) application could be delayed for a significant period of time depending on the patent certification the applicant makes and the reference drug sponsor’s decision to initiate patent litigation.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Exclusivity</w:t>
      </w:r>
    </w:p>
    <w:p>
      <w:pPr>
        <w:spacing w:after="0" w:line="22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Regulatory exclusivity provisions under the FDCA can also delay the submission or the approval effective date of certain applications. A regulatory exclusivity period can provide the holder of an approved NDA protection from new competition in the marketplace for the innovation represented by its approved drug. Five years of exclusivity are available for New Chemical Entities, or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NCE exclusivity period, the FDA may not accept for review an ANDA or a 505(b)(2) NDA application by another company that contains the previously approved active moiety. An ANDA or 505(b)(2) application, however, may be submitted one year before NCE exclusivity expires if a paragraph IV certification is filed.</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Three years of exclusivity are available to the holder of an NDA, including a 505(b)(2) NDA, for a particular condition of approval, or change to a marketed product, such as a new formulation or indication for a drug product that contains an active moiety that has been previously approved, when the application contains reports of new clinical investigations, other than bioavailability studies, conducted by the sponsor that were essential to approval of the application. Changes in an approved drug product that affect its active ingredient(s), strength, dosage form, route of administration or conditions of use may be granted this exclusivity if a new clinical investigation, or NCI, was essential to approval of the application containing those changes. During the NCI exclusivity period, the FDA may not approve an ANDA or 505(b)(2) NDA by another company for the condition of the new drug’s approval. NCE and NCI exclusivities will not delay the submission or approval of a full NDA; however, an applicant submitting a full NDA would be required to conduct or obtain a right of reference to, all of the preclinical studies and adequate and well controlled clinical trials necessary to demonstrate safety and efficacy.</w:t>
      </w:r>
    </w:p>
    <w:p>
      <w:pPr>
        <w:spacing w:after="0" w:line="192"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7"/>
          <w:szCs w:val="17"/>
          <w:color w:val="auto"/>
        </w:rPr>
        <w:t>Pediatric exclusivity is a regulatory exclusivity in the United States that provides for the attachment of an additional six months of marketing protection to the term of any existing regulatory and statutory exclusivity, including the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patent exclusivity periods described above as well as applicable patent terms. This six</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month exclusivity may be granted if an NDA sponsor submits pediatric data that fairly respond to a written request from the FDA for such data. The data do not need to show the product to be effective in the pediatric population studies; rather, if the clinical trial is deemed to fairly respond to the FDA’s request, the additional protection is granted. If reports of requested pediatric studies are submitted to and accepted by the FDA within the required time frames, whatever statutory or regulatory periods of exclusivity or Orange Book listed patent protection cover the drug are extended by six months. This is not a patent term extension, but it effectively extends the regulatory period during which the FDA cannot make an ANDA or 505(b)</w:t>
      </w:r>
    </w:p>
    <w:p>
      <w:pPr>
        <w:spacing w:after="0" w:line="2" w:lineRule="exact"/>
        <w:rPr>
          <w:sz w:val="20"/>
          <w:szCs w:val="20"/>
          <w:color w:val="auto"/>
        </w:rPr>
      </w:pPr>
    </w:p>
    <w:p>
      <w:pPr>
        <w:ind w:right="4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approval effective as a result of regulatory exclusivity for listed patents. Moreover, pediatric exclusivity attaches to all formulations, dosage forms, and indications for products with existing marketing exclusivity or patent life that contain the same active moiety as that which was studied.</w:t>
      </w:r>
    </w:p>
    <w:p>
      <w:pPr>
        <w:spacing w:after="0" w:line="181"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The Orphan Drug Act provides incentives for the development of drugs intended to treat rare diseases or conditions, which generally are diseases or conditions affecting less than 200,000 individuals annually in the United States, or affecting more than 200,000 in the United States and for which there is no reasonable expectation that the cost of developing and making the drug available in the United States will be recovered from United States sales. If a product receives FDA approval for the indication for which it has orphan designation, the product is generally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Orphan Drug Designation also entitles a party to financial incentives, such as opportunities for grant funding towards clinical study costs, tax advantages, and application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waivers.</w:t>
      </w: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FDA has various programs, including Fast Track designation, Priority Review and Breakthrough designation, which are intended to expedite or simplify the process for the development and FDA review of certain drug products that are intended for the treatment of serious or life-threatening diseases or conditions, and demonstrate the potential to address unmet medical needs or present a significant improvement over existing therapy. The purpose of these programs is to provide important new drugs to patients earlier than under standard FDA review procedures.</w:t>
      </w:r>
    </w:p>
    <w:p>
      <w:pPr>
        <w:spacing w:after="0" w:line="180"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To be eligible for a Fast Track designation, the FDA must determine, based on the request of a sponsor, that a product is intended to treat a serious or life-threatening disease or condition and demonstrates the potential to address an unmet medical need. The FDA will determine that a product will fill an unmet medical need if the product will provide a therapy where none exist or provide a therapy that may be potentially superior to existing therapy based on efficacy, safety, or public health factors. If Fast Track designation is obtained, drug sponsors may be eligible for more frequent development meetings and correspondence with the FDA.</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addition, if an applicant obtains “rolling review,” the FDA may accept and initiate review of sections of an NDA before the application submission is complete, although it is not guaranteed that the FDA will commence review before the application submission is complete, and the timing of the review depends on a number of factors, including availability of review personnel at the FDA and competing agency priorities, among other things. The applicant must provide, and the FDA must agree, to a schedule for the remaining information after the initial section of the NDA.</w:t>
      </w:r>
    </w:p>
    <w:p>
      <w:pPr>
        <w:spacing w:after="0" w:line="180" w:lineRule="exact"/>
        <w:rPr>
          <w:sz w:val="20"/>
          <w:szCs w:val="20"/>
          <w:color w:val="auto"/>
        </w:rPr>
      </w:pPr>
    </w:p>
    <w:p>
      <w:pPr>
        <w:ind w:right="20" w:firstLine="749"/>
        <w:spacing w:after="0" w:line="219" w:lineRule="exact"/>
        <w:rPr>
          <w:sz w:val="20"/>
          <w:szCs w:val="20"/>
          <w:color w:val="auto"/>
        </w:rPr>
      </w:pPr>
      <w:r>
        <w:rPr>
          <w:rFonts w:ascii="Times New Roman" w:cs="Times New Roman" w:eastAsia="Times New Roman" w:hAnsi="Times New Roman"/>
          <w:sz w:val="18"/>
          <w:szCs w:val="18"/>
          <w:color w:val="auto"/>
        </w:rPr>
        <w:t>In some cases, a Fast Track product may be eligible for Accelerated Approval or Priority Review. The FDA may give a Priority Review designation to drugs that are intended to treat serious conditions and, if approved, would provide significant improvements in the safety or effectiveness of the treatment, diagnosis, or prevention of serious conditions. A Priority Review designation means that the goal for the FDA is to review an application within six months of receipt, rather than the standard review of ten months under current PDUFA guidelines, of the 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filing date for NMEs and within six months of the submission receipt date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NMEs. Products that are eligible for Fast Track designation may also be considered appropriate to receive a Priority Review.</w:t>
      </w:r>
    </w:p>
    <w:p>
      <w:pPr>
        <w:spacing w:after="0" w:line="203" w:lineRule="exact"/>
        <w:rPr>
          <w:sz w:val="20"/>
          <w:szCs w:val="20"/>
          <w:color w:val="auto"/>
        </w:rPr>
      </w:pPr>
    </w:p>
    <w:p>
      <w:pPr>
        <w:ind w:right="40" w:firstLine="749"/>
        <w:spacing w:after="0" w:line="223" w:lineRule="exact"/>
        <w:rPr>
          <w:sz w:val="20"/>
          <w:szCs w:val="20"/>
          <w:color w:val="auto"/>
        </w:rPr>
      </w:pPr>
      <w:r>
        <w:rPr>
          <w:rFonts w:ascii="Times New Roman" w:cs="Times New Roman" w:eastAsia="Times New Roman" w:hAnsi="Times New Roman"/>
          <w:sz w:val="18"/>
          <w:szCs w:val="18"/>
          <w:color w:val="auto"/>
        </w:rPr>
        <w:t>Moreover, under the provisions of the Food and Drug Administration Safety and Innovation Act, or FDASIA, enacted in 2012, a sponsor can request designation of a product candidate as a “Breakthrough Therapy.”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eligible for the Fast Track designation features as described above, intensive guidance on an efficient drug development program beginning as early as Phase 1 trials, and a commitment from the FDA to involve senior managers and experienced review staff in a proactive collaborative, and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disciplinary review.</w:t>
      </w:r>
    </w:p>
    <w:p>
      <w:pPr>
        <w:spacing w:after="0" w:line="170"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approval Requirements</w:t>
      </w:r>
    </w:p>
    <w:p>
      <w:pPr>
        <w:spacing w:after="0" w:line="26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Any product manufactured or distributed pursuant to FDA approvals are subject to pervasive and continuing regulation by the FDA, as well as other federal and state agencies, including, among other things, requirements related to manufacturing, recordkeeping, and reporting, including adverse experience reporting, drug shortage reporting, and other periodic reporting; drug supply chain security surveillance and tracking requirements; product sampling and distribution; advertising; marketing; promotion; certain electronic records and signatures; licensure in certain states for the manufacturing and distribution of drug products; and post-approval obligations imposed as a condition of approval, such as Phase 4 clinical trials, REMS, and surveillance to assess safety and effectiveness after commercialization.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After approval, most changes to the approved product, such as adding new indications or other labeling claims, are subject to prior FDA review and approval. There are also continuing annual prescription drug program user fee requirements for any approved products. In addition, drug manufacturers and other entities involved in the manufacture and distribution of approved drugs are required to register their establishments with the FDA and certain state agencies and list their drug products, and are subject to periodic announced and unannounced inspections by the FDA and these state agencies for compliance with cGMP and other requirements, which impose certain procedural and documentation requirements upon the company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203"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Changes to the manufacturing process are strictly regulated and often require prior FDA approval or notification before being implemented. FDA regulations also require investigation and correction of any deviations from cGMP and specifications and impose reporting and documentation requirements upon the sponsor and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that the sponsor may decide to use. Accordingly, manufacturers must continue to expend time, money, and effort in the area of production and quality control to maintain cGMP compliance.</w:t>
      </w:r>
    </w:p>
    <w:p>
      <w:pPr>
        <w:spacing w:after="0" w:line="200"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FDA also strictly regulates marketing, labeling, advertising, and promotion of products that are placed on the market. A company can make only those claims relating to safety and efficacy, purity, and potency that are approved by the FDA. Physicians, in their independent professional medical judgment, may prescribe legally available products for unapproved indications that are not described in the product’s labeling and that differ from those tested and approved by the FDA. Pharmaceutical companies, however, are required to promote their drug products only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 including, but not limited to, criminal and civil penalties under the FDCA and False Claims Act, or FCA, exclusion from participation in federal healthcare programs, mandatory compliance programs under corporate integrity agreements, debarment, and refusal of government contracts. Recent court decisions have impacted the FDA’s enforcement activity regarding off-label promotion in light of First Amendment considerations; however, there are still significant risks in this area in part due to the potential FCA exposure. Further, the FDA has not materially changed its position on off-label promotion following legal setbacks on First Amendment grounds and the DOJ has consistently asserted in FCA briefings that “speech that serves as a conduit for violations of the law is not constitutionally protected.”</w:t>
      </w:r>
    </w:p>
    <w:p>
      <w:pPr>
        <w:spacing w:after="0" w:line="190"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Commercial products must meet the requirements of the Drug Supply Chain Security Act, or DSCSA, which imposes obligations on manufacturers of prescription biopharmaceutical products for commercial distribution, regulates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they are meeting certain product tracing requirements; they are doing business with other authorized trading partners; and they are exchanging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of the law including, most recently, through policies establishing an additional stabilization period to support implementation of interoperable electronic tracing at the package level, and the FDA’s enforcement approach may continue to evolve. The distribution of product samples continues to be regulated under the PDMA, and some states also impose regulations on drug sample distribution.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significant regulatory actions. Such actions may include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 market requirements, including the need for additional testing, imposition of distribution or other restrictions under a REMS,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may result in adverse publicity, among other adverse consequences.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Fraud and Abuse, and Transparency Laws and Regulations</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business activities, including but not limited to, research, sales, promotion, marketing, distribution, medical education, sponsorships, relationships with prescribers and other referral sources, are subject to regulation by numerous federal, state, and local regulatory and law enforcement authorities in the United States, and in addition to the FDA, these authorities may include the Federal Trade Commission, or the FTC; the Department of Justice, various divisions of the U.S. Department of Health and Human Services, including the Centers for Medicare &amp; Medicaid Services, or CMS, the Office of Inspector General, or OIG, and the Health Resources and Services Administration, or HRSA; the Department of Veterans Affairs; the Department of Defense; and certain state and local governments. These activities, including our promotional and scientific/educational programs, must comply with laws and regulations such as the federal Anti-Kickback Statute, or AKS; the civil monetary penalties statute, or the CMP Law; the Foreign Corrupt Practices Act, or the FCPA; the False Claims Act, or the FCA; the Veterans Health Care Act, or the VHCA; physician payment transparency laws; privacy and security laws; and other federal, state, and local laws similar to the foregoing. Our business activities must comply with numerous healthcare laws, including but not limited to, anti-kickback and false claims laws and regulations as well as data privacy and security laws and regulations, which are described below.</w:t>
      </w:r>
    </w:p>
    <w:p>
      <w:pPr>
        <w:spacing w:after="0" w:line="192"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The federal AKS prohibits, among other things, any person or entity, from knowingly and willfully offering, paying, soliciting, or receiving any remuneration, directly or indirectly, overtly or covertly, in cash or in kind, to induce or in return for purchasing, leasing, furnishing, ordering, or arranging for or recommending the purchase, lease, furnish, or order of any item or service reimbursable under Medicare, Medicaid, or other federal healthcare programs, in whole or in part. The AKS has been interpreted broadly to apply to arrangements between pharmaceutical manufacturers on the one hand and prescribers, purchasers, formulary managers, and beneficiaries on the other. The term “remuneration” has been interpreted broadly to include anything of value, including kickbacks, bribes, or rebates gifts, discounts, waivers of payment, ownership interest, and providing anything at less than its fair market value. Additionally, the intent standard under the AKS provides that a person or entity need not have actual knowledge of the statute or specific intent to violate it in order to have committed a violation. In addition, a claim including items or services resulting from a violation of the AKS constitutes a false or fraudulent claim for purposes of the federal civil FCA. There are a number of statutory exceptions and regulatory safe harbors protecting some common activities from prosecution or other regulatory sanctions. The exceptions and safe harbors are drawn narrowly, and practices that involve remuneration that may be alleged to be intended to induce prescribing, purchasing, or recommending may be subject to scrutiny if they do not qualify for an exception or safe harbor. Failure to meet all the requirements of a particular applicable statutory exception or regulatory safe harbor does not make the conduct per se illegal under the AKS. Instead, the legality of the arrangement will be evaluated on a case-by-case basis based on a cumulative review of all such arrangement’s facts and circumstances. Our practices may not in all cases meet all the criteria for protection under a statutory exception or regulatory safe harbor. The exceptions and safe harbors are subject to change through legislative and regulatory action, are also subject to changes in interpretation and application by government agencies and courts, and we may decide to adjust our business practices from time to time.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government has asserted FCA liability against manufacturers by alleging that improper arrangements with ordering physicians caused them or another provider to file false claims in violation of the FCA or that manufacturers’ support of patient assistance programs improperly induced beneficiaries to choose their products in violation of the Anti-Kickback Statute. Sales, marketing and business arrangements in the healthcare industry are also subject to extensive laws and regulations intended to prevent fraud, kickbacks, self-dealing and other abusive practices. These laws and regulations may restrict or prohibit a wide range of pricing, discounting, marketing and promotion, sales commission, customer incentive programs, patient assistance programs, and other business arrangements. Medicare Advantage and Medicaid managed care plan regulations prohibit certain forms of marketing to enrollees that are designed to discriminate against beneficiaries on the basis of their health conditions or history. These regulations may require regulatory review of marketing materials, and coordination with health plan or governmental regulators. Additionally, the federal government has pursued electronic health record, or EHR, vendors and pharmaceutical manufacturers for remunerative relationships involving the EHR platform’s recommendation of particular drugs and “prompting” technology to increase prescribing of particular drugs.</w:t>
      </w:r>
    </w:p>
    <w:p>
      <w:pPr>
        <w:spacing w:after="0" w:line="194"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Payments made to physicians, other health care providers, or HCPs, their family members, and other financial interests, have been the subject of a range of federal and state laws. The federal physician payment transparency requirements, sometimes referred to as the Physician Payments Sunshine Act, or the Sunshine Act, implemented as the Open Payments Program. The Sunshine Act, among other things, imposes reporting requirements on drug manufacturers and certain others for payments or other transfers of value made by them to physicians and teaching hospitals, as well as ownership and investment interests held by physicians, other HCPs, and their immediate family members. Failure to submit required information may result in civil monetary penalties of up to an aggregate of $150,000 per year and up to an additional aggregate of $1.0 million per year for “knowing failures,” for all payments, transfers of value, or ownership or investment interests that are not timely, accurately, and completely reported in an annual submission. The Sunshine Act requires applicable manufacturers of covered drugs for which payment is available under Medicare, Medicaid, or the State Children’s Health Insurance Program, among others, to track and report annually to the federal government (for disclosure to the public) certain payments and other transfers of value they make to physicians, teaching hospitals, physician assistants, nurse practitioners, and other mid-level practitioners. We are also required to report certain ownership and investment interests held by physicians and their immediate family members. Additionally, certain states also mandate implementation of commercial compliance programs, impose restrictions on drug manufacturer marketing practices, and/or require the tracking and reporting of gifts, compensation, and other remuneration to physicians and other HCPs.</w:t>
      </w:r>
    </w:p>
    <w:p>
      <w:pPr>
        <w:spacing w:after="0" w:line="18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FCA prohibits any person or entity from, among other things, knowingly presenting or causing to be presented false or fraudulent claims for payment to, or approval by the government, knowingly making, using, or causing to be made or used a false statement or record material to a claim to the government, or avoiding, decreasing, or concealing an obligation to pay money to the government. A claim includes “any request or demand” for money or property presented directly or indirectly to the government. The civil FCA has been or might be used to assert liability on the basis of kickbacks and other improper referrals, improperly reported government pricing metrics such as Best Price and Average Manufacturer Price, improper promotion of uses not expressly approved by the FDA in a drug’s label, false statements associated with government grants, and allegations of misrepresentations with respect to services rendered, as well as claims for payment that are inaccurate or fraudulent, that are for services not provided as claimed, or for services that are not medically necessary. FCA claims might be based on noncompliance with regulatory requirements under an implied certification theory if material to the government’s decision to buy or pay for a drug. Intent to deceive is not required to establish liability under the civil FCA. Civil FCA liability may also be imposed for Medicare or Medicaid overpayments caused by understated rebate amounts that are not refunded within 60 days of discovering the overpayment, even if the overpayment was not caused by a false or fraudulent act. Actions under the FCA may be brought by the government or by a private individual on behalf of the government, called “qui tam” actions. If the government intervenes in a qui tam action and prevails in the lawsuit, the qui tam plaintiff will share in the proceeds from damages and fines or settlement funds. If the government declines to intervene, the qui tam plaintiff may pursue the case alone, subject to governmental review and certain approvals. Qui tam complaints are filed under seal, and the cases may progress for a number of years before a complaint is unsealed and a manufacturer becomes aware of its existence. FCA lawsuits against pharmaceutical companies have increased significantly in volume and breadth in recent years, leading to several substantial civil and criminal settlements, focusing on activities such as certain sales practices and promoting off-label drug uses.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Violations of the FCA can result in significant monetary penalties and treble damages. The government may further prosecute conduct under the criminal FCA, which prohibits the making or presenting of a claim to the government knowing the claim to be false, fictitious, or fraudulent. Unlike the civil FCA, conviction requires proof of intent to submit a false claim. In addition, federal AKS violations (which may be alleged based on certain marketing practices, including allegations of off-label promotion) might implicate the FCA.</w:t>
      </w:r>
    </w:p>
    <w:p>
      <w:pPr>
        <w:spacing w:after="0" w:line="18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CMP Law establishes substantial civil monetary penalties that may be assessed against any person or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healthcare programs to provide items or services reimbursable by a federal healthcare program; (3) violations of the federal Anti-Kickback Statute; or (4) failing to report and return a known overpayment.</w:t>
      </w:r>
    </w:p>
    <w:p>
      <w:pPr>
        <w:spacing w:after="0" w:line="183"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The federal “Exclusion Statute,” Section 1128 of the Social Security Act, 42 U.S.C. § 1320a-7, requires the exclusion of entities and individuals who have been convicted of federal-program related crimes or health care felony fraud or controlled substance charges. The statute also permits the exclusion of those that have been convicted of fraud, the Anti-Kickback Statute, for obstructing an investigation or audit, misdemeanor-controlled substance charges, those whose health care license has been revoked or suspended, and those who have filed claims for excessive charges or unnecessary services. If a company were to be excluded, its products would be ineligible for reimbursement from any federal health care programs, including Medicare and Medicaid, and no other entity participating in those programs would be permitted to enter into contracts with the company with respect to federal health care programs. Further, employment or contracting with an individual or entity that has been excluded from participation in federal healthcare programs could serve as a basis to invalidate claims for items or services submitted by that entity and to exclude that entity from participation in such programs as well. The government may elect to exclude officers and key employees of manufacturers, rather than excluding the organization. Such enforcement actions would prohibit the Company from engaging those individuals, which could adversely affect operations, and could result in significant reputational harm.</w:t>
      </w:r>
    </w:p>
    <w:p>
      <w:pPr>
        <w:spacing w:after="0" w:line="192"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compliance and enforcement landscape, and related risk, is informed by government regulatory, enforcement, and other activities, such as litigation and settlement precedent, advisory opinions, and special fraud alerts. Our approach to compliance may evolve over time in light of these types of developments.</w:t>
      </w:r>
    </w:p>
    <w:p>
      <w:pPr>
        <w:spacing w:after="0" w:line="17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Payment or reimbursement of prescription drugs by Medicaid or Medicare requires manufacturers of the drugs to submit pricing information to CMS. The Medicaid Drug Rebate statute requires manufacturers to calculate and report price points, which are used to determine Medicaid rebate payments shared between the states and the federal government and Medicaid payment rates for drugs. For drugs paid under Medicare Part B, manufacturers must also calculate and report their Average Sales Price, or ASP, which is used to determine the Medicare Part B payment rate for the drug. Drugs that are approved under a BLA or a New Drug Application, or NDA, including 505(b)(2) drugs, are subject to an additional inflation penalty which can substantially increase rebate payments. In addition, for BLA and NDA drugs, the VHCA requires manufacturers to calculate and report to the Veterans Administration, or VA, a different price called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Federal Average Manufacturing Price, which is used to determine the maximum price that can be charged to certain federal agencies, referred to as the Federal Ceiling Price, or FCP. Like the Medicaid rebate amount, the FCP includes an inflation penalty. A Department of Defense regulation requires manufacturers to provide this discount through prescription rebates on drugs dispensed by retail pharmacies when paid by the TRICARE Program. These price reporting requirements create a risk of submitting false information to the government and potential FCA liability.</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VHCA also requires manufacturers of covered drugs participating in the Medicaid program to enter into Federal Supply Schedule contracts with the VA through which their covered drugs must be sold to certain federal agencies at FCP and to report pricing information. This necessitates compliance with applicable federal procurement laws and regulations and subjects us to contractual remedies as well as administrative, civil, and criminal sanctions. In addition, the VHCA requires manufacturers participating in Medicaid to agree to provide different mandatory discounts to certain Public Health Service grantees and other safety net hospitals and clinics under the 340B Drug Pricing Program and report the ceiling price to HRSA within HHS. Manufacturers can be audited by HRSA and be subjected to civil monetary penalties for knowingly and intentionally overcharging covered entities for drugs.</w:t>
      </w:r>
    </w:p>
    <w:p>
      <w:pPr>
        <w:spacing w:after="0" w:line="18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imposes criminal and civil penalties and prohibits, among other actions, knowingly and willfully executing, or attempting to execute, a scheme to defraud or to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A person or entity does not need to have actual knowledge of the statute, or the specific intent to violate it, to have committed a violation.</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may also be subject to data privacy and security laws and regulation by both the federal government and the states in which we conduct our business. HIPAA, as amended by the Health Information Technology for Economic and Clinical Health Act, or the HITECH Act, and their respective implementing regulations, including as such regulations were amended by the final omnibus rule published on January 25, 2013, and subsequent rulemaking, imposes specific requirements relating to the privacy, security, and transmission of individually identifiable health information held by “covered entities” and their “business associates.” While we would not be a covered entity under HIPAA, it is possible that we may enter into a service or business arrangement that would cause us to serve as business associates, defined as a person or entity that performs certain functions or activities that involve the use or disclosure of protected health information in connection with providing a service for or on behalf of, or provides services to, a covered entity. The HITECH Act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other federal and state laws may govern the privacy and security of health and other information in certain circumstances and may differ from each other in significant ways and may not have the same effect. The Department of Health and Human Services Office of Civil Rights, or the OCR, state attorneys general, and other regulators have increased their focus on compliance and enforcement.</w:t>
      </w:r>
    </w:p>
    <w:p>
      <w:pPr>
        <w:spacing w:after="0" w:line="18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Even for entities that are not deemed “covered entities” or “business associates” under HIPAA, according to the FTC, failing to take appropriate steps to keep consumers’ personal information secure constitutes unfair acts or practices in or affecting commerce in violation of Section 5(a) of the Federal Trade Commission Act, or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18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addition to the laws discussed above, we may see more stringent state and federal privacy legislation in coming years, as a continued increase in cyber-attacks have heightened attention to data privacy and security in the U.S. and other jurisdictions. We cannot predict where new legislation might arise, the scope of such legislation, or the potential impact to our business and operations.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Analogous state laws and regulations, such as state anti-kickback and false claims laws, and other state laws addressing the pharmaceutical and healthcare industries, which may apply to items or services reimbursed by any third-party payor, including commercial insurers, and in some cases, may apply regardless of payor, i.e., even if reimbursement is not available. Some state laws require pharmaceutical companies to comply with the pharmaceutical industry's voluntary compliance guidelines, known as the Pharmaceutical Research and Manufacturers of America Code, and the relevant compliance program guidance promulgated by the federal government in addition to requiring drug manufacturers to report pricing and marketing information, including, among other things, information related to gifts, payments, or other remuneration to physicians and other HCPs or marketing expenditures, state and local laws that require the registration of pharmaceutical sales representatives, and state laws governing the privacy and security of health information and the use of prescriber-identifiable data in certain circumstances, many of which differ from each other in significant ways and may not have the same effect, thus complicating compliance efforts. For example, the California Consumer Privacy Act, or CCPA, which went into effect on January 1, 2020, and was subsequently amended and expanded by the California Privacy Rights Act, or CPRA, taking full effect as of January 1, 2023, including the CPRA’s expansion of the “Right to Know” that impacts personal information collected on or after January 1, 2022.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Additional modifications may continue to be made to the CCPA and CPRA by the California legislature and their interpretation by regulators may continue to evolve. Since the passage of the CCPA, certain other states have passed similar laws that may also have similar impacts on our data processing practices and incurred costs. Some of these state laws or amendments to these laws are continuing to take effect, and we cannot predict if states will subsequently amend those laws, if other states will pass similar laws, or the costs and expenses that we will incur to comply with such laws. Therefore, the effects of these state data protection laws are significant and will likely require us to modify our data processing practices and may cause us to incur substantial costs and expenses to comply.</w:t>
      </w:r>
    </w:p>
    <w:p>
      <w:pPr>
        <w:spacing w:after="0" w:line="191" w:lineRule="exact"/>
        <w:rPr>
          <w:sz w:val="20"/>
          <w:szCs w:val="20"/>
          <w:color w:val="auto"/>
        </w:rPr>
      </w:pPr>
    </w:p>
    <w:p>
      <w:pPr>
        <w:ind w:right="240" w:firstLine="749"/>
        <w:spacing w:after="0" w:line="254" w:lineRule="auto"/>
        <w:rPr>
          <w:sz w:val="20"/>
          <w:szCs w:val="20"/>
          <w:color w:val="auto"/>
        </w:rPr>
      </w:pPr>
      <w:r>
        <w:rPr>
          <w:rFonts w:ascii="Times New Roman" w:cs="Times New Roman" w:eastAsia="Times New Roman" w:hAnsi="Times New Roman"/>
          <w:sz w:val="18"/>
          <w:szCs w:val="18"/>
          <w:color w:val="auto"/>
        </w:rPr>
        <w:t>Many states have also adopted laws similar to each of the above federal laws, which may be broader in scope and apply to items or services reimbursed by any third-party payor, including commercial insurers, and some have transparency laws that require reporting price increases and related information. Certain state laws also regulate manufacturers’ use of prescriber identifiable data. Certain states also require implementation of commercial compliance programs and compliance with the pharmaceutical industry’s voluntary compliance guidelines and the applicable compliance guidance promulgated by the federal government, or otherwise restrict payments or the provision of other items of value that may be made to healthcare providers and other potential referral sources; impose restrictions on marketing practices; or require drug manufacturers to track and report information related to payments, gifts, and other items of value to physicians and other healthcare providers. These laws may affect our future sales, marketing, and other promotional activities by imposing administrative and compliance burdens.</w:t>
      </w:r>
    </w:p>
    <w:p>
      <w:pPr>
        <w:spacing w:after="0" w:line="192"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among pharmaceutical companies, HCPs,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investigators ultimately find that no violation has occurred.</w:t>
      </w:r>
    </w:p>
    <w:p>
      <w:pPr>
        <w:spacing w:after="0" w:line="18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such health regulatory laws or regulations described above or any other governmental laws or regulations that apply to us, we may be subject to penalties or other enforcement actions, including, without limitation, civil, administrative, and criminal penalties, damages, fines, disgorgement, the curtailment or restructuring of our operations, exclusion from participation in federal and state healthcare programs, individual imprisonment, injunctions, private qui tam actions brought by individual whistleblowers in the name of the government, as well as additional reporting obligations and oversight if we become subject to a corporate integrity agreement or other agreement to resolve allegations of non-compliance with these laws, any of which could adversely affect our ability to operate our business and our financial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To the extent that any of our products are sold in a foreign country, we may be subject to similar foreign laws and regulations, which may include, for instance, applicable post marketing requirements, including safety surveillance, anti-fraud and abuse laws, and implementation of corporate compliance programs and reporting of payments or transfers of value to HCPs.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 Generally</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Sales of pharmaceutical products depend significantly on the availability and adequacy of coverage and reimbursement by third-party payors such as Medicare, Medicaid, and other government programs at the federal and state level, managed care entities, private health insurers, and pharmacy benefit managers, or PBMs. Third-party payors decide the extent to which they will cover or reimburse for drugs on behalf of their beneficiaries and members and might not provide any coverage or reimbursement for a drug. Third-party payors are increasingly challenging the price and examining the cost-effectiveness of medical products and services. Reimbursement for newly approved healthcare products present significant uncertainty and may require expensive clinical trials to demonstrate the comparative cost-effectiveness of our products and our products and product candidates might not be considered cost-effective. Seeking coverage and reimbursement from third-party payors can be time consuming and expensive. Moreover, a payor’s decision to provide coverage for a drug product does not imply that an adequate reimbursement rate will be approved. Additional pressures on pricing as a result of other, peripheral policies may impact reimbursement across both government and private payors. Non-health specific policies may impart downstream impacts on private insurance reimbursement decision-making. In consideration of these numerous factors, reimbursement may not be available or sufficient to allow us to sell our products on a competitive and profitable basis.</w:t>
      </w:r>
    </w:p>
    <w:p>
      <w:pPr>
        <w:spacing w:after="0" w:line="192"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In the case of government health care programs, coverage and reimbursement may vary from program to program, including Medicare, Medicaid, and Tricare. Medicare is a federally funded program managed by CMS through local contractors that administer coverage and reimbursement for certain healthcare items and services for people 65 years of age or older and certain people with disabilities, even if under age 65. Medicaid is a jointly federally and state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insurance program managed by the applicable state for certain categories of individuals that may vary from state to state, including low-income people, families and children, pregnant people, and people with certain disabilities. Coverage for prescription drugs under these programs is subject to and limited by strict rules and conditions, including price controls. In the U.S.,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may base their reimbursement for prescription drugs based on the level at which government health care programs provide reimbursement for such drugs. These restrictions and limitations influence the purchase of drugs. In addition, government programs like Medicaid include substantial penalties for increasing commercial prices over the rate of inflation, which can affect realization and return on investment.</w:t>
      </w:r>
    </w:p>
    <w:p>
      <w:pPr>
        <w:spacing w:after="0" w:line="204" w:lineRule="exact"/>
        <w:rPr>
          <w:sz w:val="20"/>
          <w:szCs w:val="20"/>
          <w:color w:val="auto"/>
        </w:rPr>
      </w:pPr>
    </w:p>
    <w:p>
      <w:pPr>
        <w:ind w:right="60" w:firstLine="749"/>
        <w:spacing w:after="0" w:line="271" w:lineRule="auto"/>
        <w:rPr>
          <w:sz w:val="20"/>
          <w:szCs w:val="20"/>
          <w:color w:val="auto"/>
        </w:rPr>
      </w:pPr>
      <w:r>
        <w:rPr>
          <w:rFonts w:ascii="Times New Roman" w:cs="Times New Roman" w:eastAsia="Times New Roman" w:hAnsi="Times New Roman"/>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While all Medicare drug plans must give at least a standard level of coverage set by Medicare, Part D plan sponsors are not required to pay for all covered Part D drugs, and each Part D plan can develop its own drug formulary that identifies which drugs it will cover and at what tier or level. Despite this flexibility, Part D prescription drug formularies must include drugs within each therapeutic category and class of covered Part D drugs, though not necessarily all the drugs in each category or class and with some exceptions for certain classes of drugs. Any formulary used by a Part D prescription drug plan must be developed and reviewed by a pharmacy and therapeutic committee. Government payment for some of the costs of prescription drugs may increase demand for drugs for which we obtain marketing approval. Any negotiated prices for any of our products covered by a Part D prescription drug plan may be lower than the prices we might obtain from other payors.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A manufacturer must participate in a federal program known as the 340B drug pricing program by entering into various programs for federal funds to be available to pay for the manufacturer’s drugs under Medicaid. The 340B program requires a participating manufacturer to charge certain federally funded clinics and safety net hospitals no more than an established discounted price for its covered outpatient drugs, per a formula defined by statute to determine the discounted price, which is based on the AMP and the unit rebate amount as calculated under the Medicaid Drug Rebate Program, discussed further below. Manufacturers must report pricing information to CMS for HRSA on a quarterly basis. HRSA has also issued regulations relating to the calculation of the ceiling price as well as imposition of civil monetary penalties for each instance of knowingly and intentionally overcharging a 340B covered entity.</w:t>
      </w:r>
    </w:p>
    <w:p>
      <w:pPr>
        <w:spacing w:after="0" w:line="18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The Inflation Reduction Act of 2022, or IRA, established substantial changes to the Medicare program with certain drug pricing reforms and a Medicare Part D benefit redesign. For example, the IRA includes measures intended to lower the cost of prescription drugs and related healthcare reforms, such as limits on price increases and subjecting an escalating number of drugs to annual price negotiations with CMS. Specifically, the IRA authorizes and directs HHS to set drug price caps for certain high-cost Medicare Part B and Part D qualified drugs, subject to an exclusion for certain orphan drugs, with negotiated pricing for limited drugs taking effect in 2026 with a second-year list being announced for 2027. The IRA authorizes HHS to penalize pharmaceutical manufacturers that increase the price of certain Medicare Part B and Part D drugs faster than the rate of inflation. Effective in 2025, the IRA also created significant changes to the Medicare Part D benefit design by capping Part D beneficiaries' annual out-of-pocket spending. The impact of the IRA on the broader pharmaceutical industry remains to be seen. Certain legal challenges from pharmaceutical manufacturers and others in the industry continue, including challenges to the constitutionality and administrative implementation of the IRA’s drug price negotiation provisions. We cannot predict whether the IRA, in whole or in part, will be overturned, repealed, replaced, or amended.</w:t>
      </w:r>
    </w:p>
    <w:p>
      <w:pPr>
        <w:spacing w:after="0" w:line="194" w:lineRule="exact"/>
        <w:rPr>
          <w:sz w:val="20"/>
          <w:szCs w:val="20"/>
          <w:color w:val="auto"/>
        </w:rPr>
      </w:pPr>
    </w:p>
    <w:p>
      <w:pPr>
        <w:ind w:right="60" w:firstLine="749"/>
        <w:spacing w:after="0" w:line="218" w:lineRule="exact"/>
        <w:rPr>
          <w:sz w:val="20"/>
          <w:szCs w:val="20"/>
          <w:color w:val="auto"/>
        </w:rPr>
      </w:pPr>
      <w:r>
        <w:rPr>
          <w:rFonts w:ascii="Times New Roman" w:cs="Times New Roman" w:eastAsia="Times New Roman" w:hAnsi="Times New Roman"/>
          <w:sz w:val="18"/>
          <w:szCs w:val="18"/>
          <w:color w:val="auto"/>
        </w:rPr>
        <w:t>In the U.S., Europe, and other potentially significant markets for our products and product candidates, government authorities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increasingly attempting to limit or regulate the price of medical products and services, particularly for new and innovative products and therapies, which often has resulted in average selling prices lower than they would otherwise be. Manufacturers frequently must rebate a portion of the prescription price to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as a condition of coverage, which can greatly reduce realization on the sale.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increasingly challenging the price and examining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medical products and services, in addition to their safety and efficacy, and are developing increasingly sophisticated methods of controlling healthcare costs. They may limit coverage to specific drug products on an approved list, or formulary, which might not include all the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drug products for a particular indication, or they may control costs, particularly for new expensive therapies, by requiring prior authorization or imposing other restrictions before covering certain products, or they may condition payment based on achieving performance metrics. Legislative proposals to reform healthcare or reduce costs under government programs may result in lower reimbursement for our products and product candidates or exclusion of our products and product candidates from coverage.</w:t>
      </w:r>
    </w:p>
    <w:p>
      <w:pPr>
        <w:spacing w:after="0" w:line="203" w:lineRule="exact"/>
        <w:rPr>
          <w:sz w:val="20"/>
          <w:szCs w:val="20"/>
          <w:color w:val="auto"/>
        </w:rPr>
      </w:pPr>
    </w:p>
    <w:p>
      <w:pPr>
        <w:ind w:firstLine="749"/>
        <w:spacing w:after="0" w:line="220" w:lineRule="exact"/>
        <w:rPr>
          <w:sz w:val="20"/>
          <w:szCs w:val="20"/>
          <w:color w:val="auto"/>
        </w:rPr>
      </w:pPr>
      <w:r>
        <w:rPr>
          <w:rFonts w:ascii="Times New Roman" w:cs="Times New Roman" w:eastAsia="Times New Roman" w:hAnsi="Times New Roman"/>
          <w:sz w:val="18"/>
          <w:szCs w:val="18"/>
          <w:color w:val="auto"/>
        </w:rPr>
        <w:t>Achieving favorable CMS coverage and reimbursement is usually a significant gating issue for successful introduction of a new product because Medicare and Medicaid can represent a sizeable share of the market and because private payors often rely on the lead of the governmental payors in rendering coverage and reimbursement determinations. Further, the increased emphasis on managed healthcare in the U.S. and on country and regional pricing and reimbursement controls in Europe will likely put additional pressure on product pricing, reimbursement, and utilization, which may adversely affect our future product sales and results of operations. These pressures can arise from rules and practices of managed care entities, competition within therapeutic classes, availability of generic equivalents, judicial decisions and governmental laws and regulations related to Medicare, Medicaid, and healthcare reform, pharmaceutical coverage and reimbursement policies, and pricing in general. Patients who are prescribed treatments for their conditions and providers performing the prescribed services generally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to reimburse all or part of the associated healthcare costs. Sales of our products and product candidates will therefore depend substantially, both domestically and abroad, on the extent to which the costs of our products will be paid by health maintenance, managed care, pharmacy benefit, and similar healthcare management organizations, or reimbursed by government health administration authorities, such as Medicare and Medicaid, private health insurers,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17" w:lineRule="exact"/>
        <w:rPr>
          <w:sz w:val="20"/>
          <w:szCs w:val="20"/>
          <w:color w:val="auto"/>
        </w:rPr>
      </w:pPr>
      <w:r>
        <w:rPr>
          <w:rFonts w:ascii="Times New Roman" w:cs="Times New Roman" w:eastAsia="Times New Roman" w:hAnsi="Times New Roman"/>
          <w:sz w:val="18"/>
          <w:szCs w:val="18"/>
          <w:color w:val="auto"/>
        </w:rPr>
        <w:t>As a result of the above, we may need to conduct expensive pharmacoeconomic studies in order to demonstrate the medical necessity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products, in addition to the costs required to obtain FDA approvals. Our products and product candidates may not be considered medically necessary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There is often pressure to renegotiate pricing and reimbursement levels, including, in particular, in connection with changes to Medicare. Third-party payors continue to demand discounted fee structures, and the trend toward consolidation among third-party payors tends to increase their bargaining power over price structures. If third-party payors reduce their rates for our products, then our revenue and profitability may decline, and our operating margins will be reduced. Because some third-party payors rely on all or portions of Medicare payment systems to determine payment rates, changes to government healthcare programs that reduce payments under these programs may negatively impact payments from third-party payors. Our inability to maintain suitable financial arrangements with third-party payors could have a material adverse impact on our business. Additionally, the reimbursement process is complex and can involve lengthy delays. Third-party payors may disallow, in whole or in part, providers’ requests for reimbursement based on determinations that certain amounts are not reimbursable under plan coverage, that the drugs provided were not medically necessary, or that additional supporting documentation is necessary. Retroactive adjustments may change amounts realized from third-party payors. Delays and uncertainties in the reimbursement process may adversely affect market acceptance and utilization of our products, resulting in reduced revenues. The unavailability or inadequacy of third-party coverage and reimbursement could negatively affect the market acceptance of our products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 Many hospitals implement a controlled and defined process for developing and approving formularies or lists of medications that healthcare providers may prescribe to their patients. Any marketing efforts that are determined to have violated such policies could result in the denial or removal of our products from that hospital’s formulary.</w:t>
      </w:r>
    </w:p>
    <w:p>
      <w:pPr>
        <w:spacing w:after="0" w:line="208" w:lineRule="exact"/>
        <w:rPr>
          <w:sz w:val="20"/>
          <w:szCs w:val="20"/>
          <w:color w:val="auto"/>
        </w:rPr>
      </w:pPr>
    </w:p>
    <w:p>
      <w:pPr>
        <w:ind w:firstLine="749"/>
        <w:spacing w:after="0" w:line="223" w:lineRule="exact"/>
        <w:rPr>
          <w:sz w:val="20"/>
          <w:szCs w:val="20"/>
          <w:color w:val="auto"/>
        </w:rPr>
      </w:pPr>
      <w:r>
        <w:rPr>
          <w:rFonts w:ascii="Times New Roman" w:cs="Times New Roman" w:eastAsia="Times New Roman" w:hAnsi="Times New Roman"/>
          <w:sz w:val="18"/>
          <w:szCs w:val="18"/>
          <w:color w:val="auto"/>
        </w:rPr>
        <w:t>A payor’s decision to provide coverage for a drug product does not imply that an adequate reimbursement rate will be approved. Adequate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reimbursement may not be available to ensure acceptance and use of our products and product candidates or enable us to maintain price levels sufficient to realize an appropriate return on our investment in drug development. Legislative and regulatory proposals to reform healthcare or reduce costs under government insurance programs may result in lower reimbursement for our products and product candidates or exclusion of our products and product candidates from coverage. The cost containment measures that healthcare payors and providers are instituting and any healthcare reform could significantly reduce our revenues from the sale of products and any approved product candidates. We cannot provide any assurances that we will be able to obtain and maintain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or adequate reimbursement for our products and product candidates in whole or in part.</w:t>
      </w:r>
    </w:p>
    <w:p>
      <w:pPr>
        <w:spacing w:after="0" w:line="170"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PBMs, rebates and pricing transparency are key areas of legislative and regulatory focus and there may be changes in the regulatory landscape that could have a significant impact on the pharmaceutical supply chain and drug pricing more generally, which could affect our business operations and prospects in unknown and material ways.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designed to change the healthcare system in ways that could prevent or delay marketing approval of our product candidates, restrict or regulate post-approval activities, and affect our ability to sell our products profitably.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of 2010, as amended by the Health Care and Education Reconciliation Act, or, collectively, the ACA has substantially changed and continues to impact healthcare financing and delivery by both government payors and private insurers. Among the ACA provisions of importance to the pharmaceutical industry, in addition to those otherwise described above, are the following:</w:t>
      </w:r>
    </w:p>
    <w:p>
      <w:pPr>
        <w:spacing w:after="0" w:line="68" w:lineRule="exact"/>
        <w:rPr>
          <w:sz w:val="20"/>
          <w:szCs w:val="20"/>
          <w:color w:val="auto"/>
        </w:rPr>
      </w:pPr>
    </w:p>
    <w:p>
      <w:pPr>
        <w:ind w:left="1020" w:right="8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federal programs identified in the ACA;</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beneficiary eligibility criteria for Medicaid programs by, among other things, allowing states to offer Medicaid coverage to certain individuals with income at or below 138% of the federal poverty level, thereby potentially increasing manufacturers’ Medicaid rebate liability;</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manufacturers’ rebate liability under the Medicaid Drug Rebate Program by increasing the minimum rebate for both branded and generic drugs and revising the definition of “average manufacturer price” for calculating and reporting Medicaid drug rebates on outpatient prescription drug prices;</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covered drugs dispensed to individuals who are enrolled in Medicaid managed care organizations;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separate methodology by which rebates owed by manufacturers under the Medicaid Drug Rebate Program are calculated for drugs that are inhaled, infused, instilled, implanted, or injected;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types of entities eligible for the 340B drug discount program;</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Medicare Part D coverage gap discount program that, as a condition for the manufacturers’ outpatient drugs to be covered under Medicare Part D, requires manufacturers to provide a now 70% point-of-sale-discount off the negotiated price of applicable brand drugs to eligible beneficiaries during their coverage gap period;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Center for Medicare and Medicaid Innovation within the CMS to test innovative payment and service delivery models to lower Medicare and Medicaid spending, potentially including prescription drug spending;</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creation of the Patient-Centered Outcomes Research Institute to oversee, identify priorities in, and conduct comparative clinical effectiveness research, along with funding for such research;</w:t>
      </w:r>
    </w:p>
    <w:p>
      <w:pPr>
        <w:spacing w:after="0" w:line="53"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certain financial arrangements between manufacturers of drugs, biologics, devices, and medical supplies and physicians and teaching hospitals under the Sunshine Act;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of certain information regarding drug samples that manufacturers and distributors provide to licensed practitioners.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ACA established the Patient-Centered Outcome Research Institute to organize and coordinate federally funded research to compare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effectiveness of different treatments for the same illness. Although the results of the comparative effectiveness studies are not intended to mandate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coverage policies for public or private payors, it is not clear what effect, if any, the research will have on the sales of any product, if any such product or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that it is intended to treat is the subject of a study. It is also possible that comparative effectiveness research demonstrating benefits in a</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competitor’s product could adversely affect the sales of our product candidates. If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do not consider our product candidates to be</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compared to other available therapies, they may not cover our product candidates, once approved, as a benefit under their plans or, if they 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of payment may not be sufficient to allow us to sell our products on a profitable basis.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The ACA made other changes intended to broaden access to health insurance, reduce or constrain the growth of healthcare spending, enhance remedies against fraud and abuse, add new transparency requirements for healthcare and health insurance industries, impose new taxes and fees on the health care industry, and impose additional health policy reforms. The law expanded the eligibility criteria for Medicaid programs, thereby potentially increasing both the volume of sales and manufacturers’ Medicaid rebate liability. The law also expanded the entities eligible for discounts under the 340B Drug Discount Program, which mandates discounts to certain hospitals, community centers, and other qualifying providers, although, with the exception of children’s hospitals, these newly eligible entities are not eligible to receive discounted 340B pricing on orphan drugs and the Health Resources and Services Administration has narrowed its interpretation of which beneficiaries may fill prescriptions through 340B inventories. The law additionally extended manufacturer’s Medicaid rebate liability to covered drugs dispensed to patients enrolled in Medicaid managed care organizations, increased the statutory minimum rebates a manufacturer must pay under the Medicaid Drug Rebate program, and created an alternative rebate formula for certain new formulations of certain existing products, which is intended to increase the amount of rebates due on those drugs. The revisions to the Medicaid rebate formula can have the further effect of increasing the required 340B discounts. Finally, the ACA imposes a significant annual fee on companies that manufacture or import branded prescription drug products. Substantial new provisions affecting compliance have also been enacted through the ACA and otherwise, including the reporting of drug sample distribution, which may require us to modify our business practices with healthcare practitioners. Moreover, in the coming years, additional changes could be made to governmental healthcare programs that could significantly impact the success of our products.</w:t>
      </w:r>
    </w:p>
    <w:p>
      <w:pPr>
        <w:spacing w:after="0" w:line="196"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ACA also imposed an affirmative obligation to report and repay any overpayments, including those payments that resulted from violations of the Anti-Kickback Statute, FCA, or CMP Law, within sixty (60) days after such overpayment has been identified. Corresponding case law imposes an obligation on entities to exercise reasonable diligence in identifying such overpayments. The failure to timely report and repay is, itself, considered to constitute a violation of the FCA.</w:t>
      </w:r>
    </w:p>
    <w:p>
      <w:pPr>
        <w:spacing w:after="0" w:line="180"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The framework of the ACA continues to evolve as a result of executive, legislative, regulatory, and administrative developments that have challenged the law and contribute to legal uncertainty that could affect the profitability of our products. While Congress has not enacted legislation to comprehensively repeal the ACA, legislation affecting the ACA has been signed into law, including the elimination, effective January 1, 2019, of the tax-based shared responsibility payment imposed by the ACA on certain individuals who fail to maintain qualifying health coverage for all or part of a year, which is commonly referred to as the “individual mandate.”</w:t>
      </w:r>
    </w:p>
    <w:p>
      <w:pPr>
        <w:spacing w:after="0" w:line="18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other legislative and regulatory changes have been proposed and adopted since the ACA was enacted. These changes include aggregate reductions to Medicare payments to providers of up to 2% per fiscal year, starting in 2013, which will remain in effect through 2032 unless additional Congressional action is taken. In January 2013, the American Taxpayer Relief Act of 2012, which, among other things, further reduced Medicare payments to several providers, including hospitals and cancer treatment centers, increased the statute of limitations period for the government to recover overpayments to providers from three to five years. In 2017, CMS promulgated a rule reducing Medicare Part B reimbursement to hospitals for drugs purchased under the 340B program by 30%. Following an adverse U.S. Supreme Court decision, however, CMS subsequently modified its policies to restore certain payments owed to hospitals and to restore the reimbursement to the full, applicable rate going forward. In recent years, the federal government, state governments, regulators, and third-party payors have implemented and continue to propose changes to control costs of healthcare, including pharmaceutical drugs.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Since the ACA was enacted, there have been amendments and additional laws and regulations, such as the IRA. These changes include aggregate reductions to Medicare payments to providers of up to 2% per fiscal year, starting in 2013, which will remain in effect through 2032 unless additional Congressional action is taken. Additionally, on March 11, 2021, the American Rescue Plan Act of 2021 was signed into law, which eliminates the statutory Medicaid drug rebate cap, currently set at 100% of a drug’s average manufacturer price, for single source and innovator multiple source drugs, effective January 1, 2024. Current and future health care reform proposals could limit the prices we are able to charge for our products or the amounts of reimbursement available for our products. Individual states in the United States have also become increasingly active in implementing regulations designed to control pharmaceutical product reimbursement within state healthcare programs and payers, including price or patient reimbursement constraints, rebates and other price concessions, restrictions on certain product access and marketing cost disclosure and transparency measures, and, in some cases, designed to encourage importation from other countries and other purchasing approaches. Future laws may result in additional reductions in third-party payor reimbursement, which could have a material adverse effect on customers for our products and product candidates, if approved, and, accordingly, our financial operations.</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Any reduction in reimbursement from Medicare or other government-funded programs may result in a similar reduction in payments from private payors. The implementation of cost containment measures or other healthcare reforms may prevent us from being able to generate revenue, attain profitability or commercialize our drugs. The cost of pharmaceuticals continues to generate substantial governmental and third-party payor interest and states have begun to take action to increase transparency in drug pricing through mandatory reporting requirements. We expect that the pharmaceutical industry will experience pricing pressures due to the trend toward managed healthcare, the increasing influence of managed care organizations, and additional legislative proposals. Our results of operations could be adversely affected by current and future healthcare reforms. While we cannot predict whether any proposed cost containment measures will be adopted or otherwise implemented in the future, the announcement or adoption of these proposals could have a material adverse effect on our ability to obtain adequate prices for our products and product candidates and operate profitably.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The Foreign Corrupt Practices Act of 1977, or FCPA, prohibits any U.S. individual or business from paying, offering, or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Regulation</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are subject to a variety of foreign regulatory requirements regarding safety and efficacy and governing, among other things, clinical trials, marketing authorization, commercial sales, and distribution of our products. For example, in the European Union, or EU, Regulation (EU) 536/2014 on clinical trials, or CTR, requires sponsors to submit a single clinical trial application, or CTA, through the Clinical Trials Information System, or CTIS, an online portal to streamline the authorization process. While under the previously applicable Directive 2001/20/EC, or CTD, sponsors had to request separate approvals in each EU/EEA member state, the CTIS is a single-entry point that allows sponsors to apply for authorization to run a clinical trial in up to 30 EU/EEA countries. The CTIS authorization procedure is composed of two parts: (i) member states jointly cooperate during the Part I assessment of the applicable CTA and (ii) during Part II, the applicable CTA is assessed by each member state individually. The CTR established a transition period that ended on January 30, 2025, by which date all clinical trials approved under the CTD were required to transition to CTIS. Whether or not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The requirements governing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As in the United States, post approval regulatory requirements, such as those regarding product manufacture, marketing, or distribution, would apply to any product that is approved outside the United States.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European Union Drug Approval Process</w:t>
      </w:r>
    </w:p>
    <w:p>
      <w:pPr>
        <w:spacing w:after="0" w:line="227" w:lineRule="exact"/>
        <w:rPr>
          <w:sz w:val="20"/>
          <w:szCs w:val="20"/>
          <w:color w:val="auto"/>
        </w:rPr>
      </w:pPr>
    </w:p>
    <w:p>
      <w:pPr>
        <w:ind w:right="360" w:firstLine="749"/>
        <w:spacing w:after="0" w:line="239" w:lineRule="exact"/>
        <w:rPr>
          <w:sz w:val="20"/>
          <w:szCs w:val="20"/>
          <w:color w:val="auto"/>
        </w:rPr>
      </w:pPr>
      <w:r>
        <w:rPr>
          <w:rFonts w:ascii="Times New Roman" w:cs="Times New Roman" w:eastAsia="Times New Roman" w:hAnsi="Times New Roman"/>
          <w:sz w:val="18"/>
          <w:szCs w:val="18"/>
          <w:color w:val="auto"/>
        </w:rPr>
        <w:t>To obtain a marketing authorization of a drug in the European Union, we may submit marketing authorization applications, or MAAs, either under the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centralized, decentralized, mutual recognition, or national authorization procedures.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Centralized Procedure</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the centralized procedure, the European Commission, or EC, grants a single marketing authorization following a favorable opinion by the European Medicines Agency, or EMA, which is valid in all European Union member states, as well as in the European Economic Area, or EEA, countries (Iceland, Liechtenstein, and Norway). The centralized procedure is (i) compulsory for medicines produced by specified biotechnological processes, products designated as orphan medicinal products, advanced-therapy medicinal products, or ATMPs, and products with a new active substance indicated for the treatment of specified diseases, such as HIV/AIDS, cancer, diabetes, neurodegenerative disorders, autoimmune diseases and other immune dysfunctions, or viral diseases, (ii) optional for products containing new active substances for indications other than those stated above, products that represent a significant therapeutic, scientific, or technical innovation, or whose authorization would be in the interest of public health, and (iii) not available for all remaining products. Under the centralized procedure, the maximum timeframe for the evaluation of an MAA by the EMA is 210 days, excluding clock stops, when additional written or oral information is to be provided by the applicant in response to questions asked by the Committee for Medicinal Products for Human Use, or the CHMP. Accelerated assessment might be granted by the CHMP in exceptional cases, such as when a medicinal product is expected to be of a major public health interest, particularly from the point of view of therapeutic innovation. The timeframe for the evaluation of an MAA under the accelerated assessment procedure is 150 days, excluding clock stops.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Authorization Procedures</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There are also other possible routes to authorize medicinal products in several European Union countries, which are available for investigational medicinal products that fall outside the scope of the centralized procedure:</w:t>
      </w:r>
    </w:p>
    <w:p>
      <w:pPr>
        <w:spacing w:after="0" w:line="160" w:lineRule="exact"/>
        <w:rPr>
          <w:sz w:val="20"/>
          <w:szCs w:val="20"/>
          <w:color w:val="auto"/>
        </w:rPr>
      </w:pPr>
    </w:p>
    <w:p>
      <w:pPr>
        <w:ind w:left="1140" w:right="80" w:hanging="383"/>
        <w:spacing w:after="0" w:line="258"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Decentralized procedure. </w:t>
      </w:r>
      <w:r>
        <w:rPr>
          <w:rFonts w:ascii="Times New Roman" w:cs="Times New Roman" w:eastAsia="Times New Roman" w:hAnsi="Times New Roman"/>
          <w:sz w:val="18"/>
          <w:szCs w:val="18"/>
          <w:color w:val="auto"/>
        </w:rPr>
        <w:t>Using the decentralized procedure, an applicant may apply in more than one European Union country in parallel,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the applicant must nominate one reference European Union Member State, for simultaneous authorization of medicinal products that have not yet been authorized in any European Union country and that do not fall within the mandatory scope of the centralized procedure. Failing agreement, there is a procedure for resolving disagreements between member states and ultimately an arbitration procedure before the CHMP.</w:t>
      </w:r>
    </w:p>
    <w:p>
      <w:pPr>
        <w:spacing w:after="0" w:line="183" w:lineRule="exact"/>
        <w:rPr>
          <w:rFonts w:ascii="Times New Roman" w:cs="Times New Roman" w:eastAsia="Times New Roman" w:hAnsi="Times New Roman"/>
          <w:sz w:val="18"/>
          <w:szCs w:val="18"/>
          <w:color w:val="auto"/>
        </w:rPr>
      </w:pPr>
    </w:p>
    <w:p>
      <w:pPr>
        <w:ind w:left="1140" w:right="200" w:hanging="383"/>
        <w:spacing w:after="0" w:line="258"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recognition procedure. </w:t>
      </w:r>
      <w:r>
        <w:rPr>
          <w:rFonts w:ascii="Times New Roman" w:cs="Times New Roman" w:eastAsia="Times New Roman" w:hAnsi="Times New Roman"/>
          <w:sz w:val="18"/>
          <w:szCs w:val="18"/>
          <w:color w:val="auto"/>
        </w:rPr>
        <w:t>In the mutual recognition procedure, a medicine is first authorized in one European Union Member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the reference member state, in accordance with the national procedures of that country. Following this, further marketing authorizations can be sought from other nominated European Union countries, referred to as the concerned member states, in a procedure whereby the countries concerned agree to recognize the validity of the original, national marketing authorization. The procedure for disagreements described above similarly applies.</w:t>
      </w:r>
    </w:p>
    <w:p>
      <w:pPr>
        <w:spacing w:after="0" w:line="183" w:lineRule="exact"/>
        <w:rPr>
          <w:rFonts w:ascii="Times New Roman" w:cs="Times New Roman" w:eastAsia="Times New Roman" w:hAnsi="Times New Roman"/>
          <w:sz w:val="18"/>
          <w:szCs w:val="18"/>
          <w:color w:val="auto"/>
        </w:rPr>
      </w:pPr>
    </w:p>
    <w:p>
      <w:pPr>
        <w:ind w:left="1140" w:right="160" w:hanging="383"/>
        <w:spacing w:after="0" w:line="284"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National procedures. </w:t>
      </w:r>
      <w:r>
        <w:rPr>
          <w:rFonts w:ascii="Times New Roman" w:cs="Times New Roman" w:eastAsia="Times New Roman" w:hAnsi="Times New Roman"/>
          <w:sz w:val="18"/>
          <w:szCs w:val="18"/>
          <w:color w:val="auto"/>
        </w:rPr>
        <w:t>Purely national procedures continue to be possible but are strictly limited to where the product is to be authorized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member state only.</w:t>
      </w:r>
    </w:p>
    <w:p>
      <w:pPr>
        <w:spacing w:after="0" w:line="160" w:lineRule="exact"/>
        <w:rPr>
          <w:sz w:val="20"/>
          <w:szCs w:val="20"/>
          <w:color w:val="auto"/>
        </w:rPr>
      </w:pPr>
    </w:p>
    <w:p>
      <w:pPr>
        <w:ind w:firstLine="749"/>
        <w:spacing w:after="0" w:line="217" w:lineRule="exact"/>
        <w:rPr>
          <w:sz w:val="20"/>
          <w:szCs w:val="20"/>
          <w:color w:val="auto"/>
        </w:rPr>
      </w:pPr>
      <w:r>
        <w:rPr>
          <w:rFonts w:ascii="Times New Roman" w:cs="Times New Roman" w:eastAsia="Times New Roman" w:hAnsi="Times New Roman"/>
          <w:sz w:val="18"/>
          <w:szCs w:val="18"/>
          <w:color w:val="auto"/>
        </w:rPr>
        <w:t>In the European Union, new products authorized for marketing, referred to as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10 years have elapsed from the initial authorization of the reference product in the European Union. The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Overall, this period of regulatory data protection, or RDP, is commonly referred to as the “8+2+1” approach. This period of RDP equally applies to medicinal products that are authorized through the national procedure (or decentralized or mutual recognition procedures) under national law or through the centralized procedure. In the EU, the Council and the European Parliament reached an agreement in December 2025 on the most significant reform of EU pharmaceutical legislation in more than 20 years (the ‘EU Pharma Package’). The reform remains subject to formal adoption and will enter into force upon publication in the Official Journal of the European Union, which is expected in 2026. The EU Pharma Package includes a broad range of measures, including revisions to regulatory exclusivity. In particular, it amends the current RDP framework by providing for (i) eight years of data exclusivity and (ii) one year of market exclusivity, which may be extended by an additional year under specified conditions.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Conducting research and development is central to our business model. We have invested and expect to continue to invest significant time and capital in our research and development operations. Our research and development expenses were $183.3 million, and $187.1 million for the years ended December 31, 2025 and 2024, respectively. Research and development expenses are expected to stabilize in the near term as certain development programs near completion while new development programs are initiated.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8" w:lineRule="exact"/>
        <w:rPr>
          <w:sz w:val="20"/>
          <w:szCs w:val="20"/>
          <w:color w:val="auto"/>
        </w:rPr>
      </w:pPr>
    </w:p>
    <w:p>
      <w:pPr>
        <w:ind w:right="100" w:firstLine="749"/>
        <w:spacing w:after="0" w:line="223" w:lineRule="exact"/>
        <w:rPr>
          <w:sz w:val="20"/>
          <w:szCs w:val="20"/>
          <w:color w:val="auto"/>
        </w:rPr>
      </w:pPr>
      <w:r>
        <w:rPr>
          <w:rFonts w:ascii="Times New Roman" w:cs="Times New Roman" w:eastAsia="Times New Roman" w:hAnsi="Times New Roman"/>
          <w:sz w:val="18"/>
          <w:szCs w:val="18"/>
          <w:color w:val="auto"/>
        </w:rPr>
        <w:t>As of February 16, 2026, we had 925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Many of our employees have experience with drug commercialization or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may take further actions, in compliance with all appropriate government regulations, that we determine to be in the best interest of our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We were incorporated in Delaware in January 2012. Our offices are located at One World Trade Center 29th Floor, New York, New York 10007, and our telephone number is (212) 332-3241.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We file reports and other information with the SEC, as required by the Exchange Act. We make available free of charge through our website (http://www.axsome.com) our annual reports on Form 10-K, quarterly reports on Form 10-Q, current reports on Form 8-K and amendments to those reports filed or furnished pursuant to Sections 13(a) and 15(d) of the Exchange Act. We make these reports available through our website as soon as reasonably practicable after we electronically file such reports with, or furnish such reports to, the SEC. In addition, we regularly use our website to post information regarding our business, product development programs and governance, and we encourage investors to use our website, particularly the information in the section entitled “Investors,” as a source of information about us. The foregoing references to our website are not intended to, nor shall they be deemed to, incorporate information on our website into this Annual Report on Form 10-K by reference.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The Company is subject to a number of risks that if realized could materially adversely affect its business, results of operations, cash flow, financial condition or prospects. The following is a summary of the principal risk factors facing the Company. The list below is not exhaustive, and the Company faces additional challenges and risks. Investors should carefully consider all of the information set forth in this Annual Report on Form 10-K, including the following risk factors, before deciding to invest in any of the Company’s securities.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 length below. These risks include, among others, the following:</w:t>
      </w:r>
    </w:p>
    <w:p>
      <w:pPr>
        <w:spacing w:after="0" w:line="158" w:lineRule="exact"/>
        <w:rPr>
          <w:sz w:val="20"/>
          <w:szCs w:val="20"/>
          <w:color w:val="auto"/>
        </w:rPr>
      </w:pPr>
    </w:p>
    <w:p>
      <w:pPr>
        <w:ind w:left="760" w:right="220" w:hanging="378"/>
        <w:spacing w:after="0" w:line="286"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incurred significant losses since our inception, anticipate that we will continue to have losses, and may never achieve or maintain profitability.</w:t>
      </w:r>
    </w:p>
    <w:p>
      <w:pPr>
        <w:spacing w:after="0" w:line="154" w:lineRule="exact"/>
        <w:rPr>
          <w:rFonts w:ascii="Times New Roman" w:cs="Times New Roman" w:eastAsia="Times New Roman" w:hAnsi="Times New Roman"/>
          <w:sz w:val="16"/>
          <w:szCs w:val="16"/>
          <w:color w:val="auto"/>
        </w:rPr>
      </w:pPr>
    </w:p>
    <w:p>
      <w:pPr>
        <w:ind w:left="760" w:right="380" w:hanging="378"/>
        <w:spacing w:after="0" w:line="268"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0" w:lineRule="exact"/>
        <w:rPr>
          <w:rFonts w:ascii="Times New Roman" w:cs="Times New Roman" w:eastAsia="Times New Roman" w:hAnsi="Times New Roman"/>
          <w:sz w:val="16"/>
          <w:szCs w:val="16"/>
          <w:color w:val="auto"/>
        </w:rPr>
      </w:pPr>
    </w:p>
    <w:p>
      <w:pPr>
        <w:ind w:left="760" w:right="420" w:hanging="378"/>
        <w:spacing w:after="0" w:line="268"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70"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5" w:lineRule="exact"/>
        <w:rPr>
          <w:rFonts w:ascii="Times New Roman" w:cs="Times New Roman" w:eastAsia="Times New Roman" w:hAnsi="Times New Roman"/>
          <w:sz w:val="16"/>
          <w:szCs w:val="16"/>
          <w:color w:val="auto"/>
        </w:rPr>
      </w:pPr>
    </w:p>
    <w:p>
      <w:pPr>
        <w:ind w:left="760" w:right="360" w:hanging="378"/>
        <w:spacing w:after="0" w:line="286"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4" w:lineRule="exact"/>
        <w:rPr>
          <w:rFonts w:ascii="Times New Roman" w:cs="Times New Roman" w:eastAsia="Times New Roman" w:hAnsi="Times New Roman"/>
          <w:sz w:val="16"/>
          <w:szCs w:val="16"/>
          <w:color w:val="auto"/>
        </w:rPr>
      </w:pPr>
    </w:p>
    <w:p>
      <w:pPr>
        <w:ind w:left="760" w:right="60" w:hanging="378"/>
        <w:spacing w:after="0" w:line="262"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Food and Drug Administration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6" w:lineRule="exact"/>
        <w:rPr>
          <w:rFonts w:ascii="Times New Roman" w:cs="Times New Roman" w:eastAsia="Times New Roman" w:hAnsi="Times New Roman"/>
          <w:sz w:val="16"/>
          <w:szCs w:val="16"/>
          <w:color w:val="auto"/>
        </w:rPr>
      </w:pPr>
    </w:p>
    <w:p>
      <w:pPr>
        <w:ind w:left="760" w:hanging="378"/>
        <w:spacing w:after="0" w:line="262"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76" w:lineRule="exact"/>
        <w:rPr>
          <w:rFonts w:ascii="Times New Roman" w:cs="Times New Roman" w:eastAsia="Times New Roman" w:hAnsi="Times New Roman"/>
          <w:sz w:val="16"/>
          <w:szCs w:val="16"/>
          <w:color w:val="auto"/>
        </w:rPr>
      </w:pPr>
    </w:p>
    <w:p>
      <w:pPr>
        <w:ind w:left="760" w:right="160" w:hanging="378"/>
        <w:spacing w:after="0" w:line="286"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4" w:lineRule="exact"/>
        <w:rPr>
          <w:rFonts w:ascii="Times New Roman" w:cs="Times New Roman" w:eastAsia="Times New Roman" w:hAnsi="Times New Roman"/>
          <w:sz w:val="16"/>
          <w:szCs w:val="16"/>
          <w:color w:val="auto"/>
        </w:rPr>
      </w:pPr>
    </w:p>
    <w:p>
      <w:pPr>
        <w:ind w:left="760" w:right="100" w:hanging="378"/>
        <w:spacing w:after="0" w:line="286" w:lineRule="auto"/>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substantial product revenues.</w:t>
      </w:r>
    </w:p>
    <w:p>
      <w:pPr>
        <w:spacing w:after="0" w:line="15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we may be unable to generate substantial product revenues.</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0" w:right="20" w:hanging="378"/>
        <w:spacing w:after="0" w:line="259"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79" w:lineRule="exact"/>
        <w:rPr>
          <w:rFonts w:ascii="Times New Roman" w:cs="Times New Roman" w:eastAsia="Times New Roman" w:hAnsi="Times New Roman"/>
          <w:sz w:val="16"/>
          <w:szCs w:val="16"/>
          <w:color w:val="auto"/>
        </w:rPr>
      </w:pPr>
    </w:p>
    <w:p>
      <w:pPr>
        <w:ind w:left="760" w:right="40" w:hanging="378"/>
        <w:spacing w:after="0" w:line="268"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or fail to generate potential revenues.</w:t>
      </w:r>
    </w:p>
    <w:p>
      <w:pPr>
        <w:spacing w:after="0" w:line="170" w:lineRule="exact"/>
        <w:rPr>
          <w:rFonts w:ascii="Times New Roman" w:cs="Times New Roman" w:eastAsia="Times New Roman" w:hAnsi="Times New Roman"/>
          <w:sz w:val="16"/>
          <w:szCs w:val="16"/>
          <w:color w:val="auto"/>
        </w:rPr>
      </w:pPr>
    </w:p>
    <w:p>
      <w:pPr>
        <w:ind w:left="760" w:right="740" w:hanging="378"/>
        <w:spacing w:after="0" w:line="286"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4" w:lineRule="exact"/>
        <w:rPr>
          <w:rFonts w:ascii="Times New Roman" w:cs="Times New Roman" w:eastAsia="Times New Roman" w:hAnsi="Times New Roman"/>
          <w:sz w:val="16"/>
          <w:szCs w:val="16"/>
          <w:color w:val="auto"/>
        </w:rPr>
      </w:pPr>
    </w:p>
    <w:p>
      <w:pPr>
        <w:ind w:left="760" w:right="40" w:hanging="378"/>
        <w:spacing w:after="0" w:line="268"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70" w:lineRule="exact"/>
        <w:rPr>
          <w:rFonts w:ascii="Times New Roman" w:cs="Times New Roman" w:eastAsia="Times New Roman" w:hAnsi="Times New Roman"/>
          <w:sz w:val="16"/>
          <w:szCs w:val="16"/>
          <w:color w:val="auto"/>
        </w:rPr>
      </w:pPr>
    </w:p>
    <w:p>
      <w:pPr>
        <w:ind w:left="760" w:right="200" w:hanging="378"/>
        <w:spacing w:after="0" w:line="268"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0" w:lineRule="exact"/>
        <w:rPr>
          <w:rFonts w:ascii="Times New Roman" w:cs="Times New Roman" w:eastAsia="Times New Roman" w:hAnsi="Times New Roman"/>
          <w:sz w:val="16"/>
          <w:szCs w:val="16"/>
          <w:color w:val="auto"/>
        </w:rPr>
      </w:pPr>
    </w:p>
    <w:p>
      <w:pPr>
        <w:ind w:left="760" w:right="40" w:hanging="378"/>
        <w:spacing w:after="0" w:line="268"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payment rates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spacing w:after="0" w:line="170" w:lineRule="exact"/>
        <w:rPr>
          <w:rFonts w:ascii="Times New Roman" w:cs="Times New Roman" w:eastAsia="Times New Roman" w:hAnsi="Times New Roman"/>
          <w:sz w:val="16"/>
          <w:szCs w:val="16"/>
          <w:color w:val="auto"/>
        </w:rPr>
      </w:pPr>
    </w:p>
    <w:p>
      <w:pPr>
        <w:jc w:val="both"/>
        <w:ind w:left="760" w:right="120" w:hanging="378"/>
        <w:spacing w:after="0" w:line="268"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0" w:lineRule="exact"/>
        <w:rPr>
          <w:rFonts w:ascii="Times New Roman" w:cs="Times New Roman" w:eastAsia="Times New Roman" w:hAnsi="Times New Roman"/>
          <w:sz w:val="16"/>
          <w:szCs w:val="16"/>
          <w:color w:val="auto"/>
        </w:rPr>
      </w:pPr>
    </w:p>
    <w:p>
      <w:pPr>
        <w:ind w:left="760" w:hanging="378"/>
        <w:spacing w:after="0" w:line="268"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70" w:lineRule="exact"/>
        <w:rPr>
          <w:rFonts w:ascii="Times New Roman" w:cs="Times New Roman" w:eastAsia="Times New Roman" w:hAnsi="Times New Roman"/>
          <w:sz w:val="16"/>
          <w:szCs w:val="16"/>
          <w:color w:val="auto"/>
        </w:rPr>
      </w:pPr>
    </w:p>
    <w:p>
      <w:pPr>
        <w:ind w:left="760" w:right="400" w:hanging="378"/>
        <w:spacing w:after="0" w:line="286" w:lineRule="auto"/>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4"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our inception, anticipate that we will continue to have losses, and may never achieve or maintain profitability.</w:t>
      </w:r>
    </w:p>
    <w:p>
      <w:pPr>
        <w:spacing w:after="0" w:line="24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Since inception, we have incurred significant operating losses. Our net loss was $183.2 million for the year ended December 31, 2025. As of December 31, 2025, we had an accumulated deficit of $1,306.0 million. In 2022, we commenced the commercial sale of AUVELITY in the United States and SUNOSI in the United States and select global markets. In January 2025, SYMBRAVO was approved by the FDA for the acute treatment of migraine with or without aura in adults. Apart from AUVELITY, SUNOSI, and SYMBRAVO, we have no other products which have received regulatory approval.</w:t>
      </w:r>
    </w:p>
    <w:p>
      <w:pPr>
        <w:spacing w:after="0" w:line="18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expect to continue to incur substantial expenses and operating losses, as we continue to develop our current and future product candidates. In addition, we expect to incur significant sales, marketing, and manufacturing expenses related to the commercialization of AUVELITY, SUNOSI, SYMBRAVO, and any other product candidate which the FDA may approve or which we may in-license. We anticipate that our expenses will increase substantially as we:</w:t>
      </w:r>
    </w:p>
    <w:p>
      <w:pPr>
        <w:spacing w:after="0" w:line="180"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seek regulatory approval for additional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hire additional commercial, clinical, medical, quality, regulatory, and scientific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add operational, financial, and management information systems and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expand our sales, marketing, and distribution infrastructure;</w:t>
      </w:r>
    </w:p>
    <w:p>
      <w:pPr>
        <w:spacing w:after="0" w:line="225" w:lineRule="exact"/>
        <w:rPr>
          <w:rFonts w:ascii="Times New Roman" w:cs="Times New Roman" w:eastAsia="Times New Roman" w:hAnsi="Times New Roman"/>
          <w:sz w:val="16"/>
          <w:szCs w:val="16"/>
          <w:color w:val="auto"/>
        </w:rPr>
      </w:pPr>
    </w:p>
    <w:p>
      <w:pPr>
        <w:ind w:left="760" w:right="580" w:hanging="378"/>
        <w:spacing w:after="0" w:line="282" w:lineRule="auto"/>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expand external manufacturing capabilities and production to commercialize any additional products for which we may obtain regulatory approval and that we choose not to license to a third party;</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undertake additional manufacturing activities of our product candidates to satisfy FDA requirements for marketing application submissions;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conduct clinical trials for AXS-05 as an aid to smoking cessation treatment and other CNS disorders;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conduct clinical trials for solriamfetol in additional indications;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evaluate, plan for, and potentially submit NDAs for other pipeline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expand commercial sales of AUVELITY, SUNOSI, and SYMBRAVO;</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acquire additional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late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for any product candidates that successfully complete early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w:t>
      </w:r>
    </w:p>
    <w:p>
      <w:pPr>
        <w:spacing w:after="0" w:line="225"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conduct additional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with any product candidates; and</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(or in-licensing) and commercializing products that generate significant revenue. This will require us to be successful in a range of challenging activities, which may include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with respect to certain products and product candidates. We may never succeed in some of these activities and, even if we do, may never achieve profitability.</w:t>
      </w:r>
    </w:p>
    <w:p>
      <w:pPr>
        <w:spacing w:after="0" w:line="18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continue the commercialization of our products, or even continue our operations. A decline in the value of our company could also cause you to lose all or part of your investment.</w:t>
      </w:r>
    </w:p>
    <w:p>
      <w:pPr>
        <w:spacing w:after="0" w:line="17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75" w:lineRule="exact"/>
        <w:rPr>
          <w:sz w:val="20"/>
          <w:szCs w:val="20"/>
          <w:color w:val="auto"/>
        </w:rPr>
      </w:pPr>
    </w:p>
    <w:p>
      <w:pPr>
        <w:ind w:right="180" w:firstLine="749"/>
        <w:spacing w:after="0" w:line="222" w:lineRule="exact"/>
        <w:rPr>
          <w:sz w:val="20"/>
          <w:szCs w:val="20"/>
          <w:color w:val="auto"/>
        </w:rPr>
      </w:pPr>
      <w:r>
        <w:rPr>
          <w:rFonts w:ascii="Times New Roman" w:cs="Times New Roman" w:eastAsia="Times New Roman" w:hAnsi="Times New Roman"/>
          <w:sz w:val="18"/>
          <w:szCs w:val="18"/>
          <w:color w:val="auto"/>
        </w:rPr>
        <w:t>Conducting clinical trials, pursuing regulatory approvals, establishing outsourced manufacturing relationships, and successfully manufacturing and commercializing our product candidates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We may need to raise additional capital to:</w:t>
      </w:r>
    </w:p>
    <w:p>
      <w:pPr>
        <w:spacing w:after="0" w:line="199" w:lineRule="exact"/>
        <w:rPr>
          <w:sz w:val="20"/>
          <w:szCs w:val="20"/>
          <w:color w:val="auto"/>
        </w:rPr>
      </w:pPr>
    </w:p>
    <w:p>
      <w:pPr>
        <w:ind w:left="760" w:right="180" w:hanging="378"/>
        <w:spacing w:after="0" w:line="282" w:lineRule="auto"/>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fund our operations and continue to commercialize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qualify and outsource the commercial scale manufacturing of our products under cGMP;</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 additional product candidates; and</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product candidates.</w:t>
      </w:r>
    </w:p>
    <w:p>
      <w:pPr>
        <w:spacing w:after="0" w:line="266" w:lineRule="exact"/>
        <w:rPr>
          <w:sz w:val="20"/>
          <w:szCs w:val="20"/>
          <w:color w:val="auto"/>
        </w:rPr>
      </w:pPr>
    </w:p>
    <w:p>
      <w:pPr>
        <w:ind w:right="280" w:firstLine="749"/>
        <w:spacing w:after="0" w:line="289" w:lineRule="auto"/>
        <w:rPr>
          <w:sz w:val="20"/>
          <w:szCs w:val="20"/>
          <w:color w:val="auto"/>
        </w:rPr>
      </w:pPr>
      <w:r>
        <w:rPr>
          <w:rFonts w:ascii="Times New Roman" w:cs="Times New Roman" w:eastAsia="Times New Roman" w:hAnsi="Times New Roman"/>
          <w:sz w:val="17"/>
          <w:szCs w:val="17"/>
          <w:color w:val="auto"/>
        </w:rPr>
        <w:t>We believe that our current cash is sufficient to fund anticipated operations into cash flow positivity, based on the current operating plan. Our assumptions may prove to be wrong, and we could spend our available financial resources faster than we currently expect. Further, we may not have sufficient financial resources to meet all of our objectives. Our future funding requirements will depend on many factors, including, but not limited to:</w:t>
      </w:r>
    </w:p>
    <w:p>
      <w:pPr>
        <w:spacing w:after="0" w:line="158" w:lineRule="exact"/>
        <w:rPr>
          <w:sz w:val="20"/>
          <w:szCs w:val="20"/>
          <w:color w:val="auto"/>
        </w:rPr>
      </w:pPr>
    </w:p>
    <w:p>
      <w:pPr>
        <w:ind w:left="760" w:right="620" w:hanging="378"/>
        <w:spacing w:after="0" w:line="282" w:lineRule="auto"/>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rate of progress and costs related to the development of our product candidates, including the costs of preparing filings for regulatory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associated with conducting additional clinical and non-clinical studies with any of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potential for delays in our efforts to seek regulatory approval for our product candidates, and any costs associated with such delays;</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associated with selling, marketing, and distributing our approved products;</w:t>
      </w:r>
    </w:p>
    <w:p>
      <w:pPr>
        <w:spacing w:after="0" w:line="225" w:lineRule="exact"/>
        <w:rPr>
          <w:rFonts w:ascii="Times New Roman" w:cs="Times New Roman" w:eastAsia="Times New Roman" w:hAnsi="Times New Roman"/>
          <w:sz w:val="16"/>
          <w:szCs w:val="16"/>
          <w:color w:val="auto"/>
        </w:rPr>
      </w:pPr>
    </w:p>
    <w:p>
      <w:pPr>
        <w:ind w:left="760" w:right="400" w:hanging="378"/>
        <w:spacing w:after="0" w:line="282" w:lineRule="auto"/>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associated with our product candidates;</w:t>
      </w:r>
    </w:p>
    <w:p>
      <w:pPr>
        <w:spacing w:after="0" w:line="161" w:lineRule="exact"/>
        <w:rPr>
          <w:rFonts w:ascii="Times New Roman" w:cs="Times New Roman" w:eastAsia="Times New Roman" w:hAnsi="Times New Roman"/>
          <w:sz w:val="16"/>
          <w:szCs w:val="16"/>
          <w:color w:val="auto"/>
        </w:rPr>
      </w:pPr>
    </w:p>
    <w:p>
      <w:pPr>
        <w:ind w:left="760" w:right="600" w:hanging="378"/>
        <w:spacing w:after="0" w:line="282" w:lineRule="auto"/>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 and timing of manufacturing, or having third parties manufacture, sufficient supplies of our product candidates in preparation for commercialization;</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revenues from commercial sales of our approved products;</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terms and timing of any collaborative, licensing,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promotion, or other arrangements that we may establish; and</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success of the commercialization of any of our current products and, if approved, any of our product candidates.</w:t>
      </w:r>
    </w:p>
    <w:p>
      <w:pPr>
        <w:spacing w:after="0" w:line="225"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Future capital requirements will also depend on the extent to which we acquire or invest in additional businesses, products, and technologies. Until we can generate a sufficient amount of product revenue, if ever, we may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79"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as a result of covenants related to the outstanding indebtedness under our loan facility with Blackstone, and we may be required to repay the outstanding indebtedness in an event of default, which could have a materially adverse effect on our business.</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we entered into a loan agreement (the “Blackstone Loan Agreement”) with Blackstone Alternative Credit Advisors LP and Blackstone Life Sciences Advisors L.L.C. (collectively, the “Blackstone Representative” and referred to herein as “Blackstone”), certain subsidiaries party thereto as guarantors, Wilmington Trust, National Association, in its capacity as administrative agent, collateral agent and security trustee (“Wilmington Trust”), and the lenders from time to time party thereto (collectively,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the Company’s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approximately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Blackstone Loan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3"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covenants under the Blackstone Loan Agreement also require maintaining a minimum amount of cash in an account or accounts in which the Lenders have a first priority security interest.</w:t>
      </w:r>
    </w:p>
    <w:p>
      <w:pPr>
        <w:spacing w:after="0" w:line="162"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A breach of any of the covenants under the Blackstone Loan Agreement could result in a default. Upon the occurrence of an event of default,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of commercializing products, which may make it difficult to evaluate our business and prospects.</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We are a fully integrated biopharmaceutical company. Prior to our commercialization of AUVELITY and SUNOSI in 2022, and the approval and U.S. commercialization of SYMBRAVO in 2025, we had not obtained marketing approvals for any product candidates, manufactured products on a commercial scale or arranged for a third party to do so on our behalf, or conducted sales and marketing activities necessary for successful commercialization. Consequently, predictions about our future success or viability may not be as accurate as they would be if we had a longer history of successfully developing and commercializing products.</w:t>
      </w:r>
    </w:p>
    <w:p>
      <w:pPr>
        <w:spacing w:after="0" w:line="183" w:lineRule="exact"/>
        <w:rPr>
          <w:sz w:val="20"/>
          <w:szCs w:val="20"/>
          <w:color w:val="auto"/>
        </w:rPr>
      </w:pPr>
    </w:p>
    <w:p>
      <w:pPr>
        <w:ind w:right="380" w:firstLine="749"/>
        <w:spacing w:after="0" w:line="261" w:lineRule="auto"/>
        <w:rPr>
          <w:sz w:val="20"/>
          <w:szCs w:val="20"/>
          <w:color w:val="auto"/>
        </w:rPr>
      </w:pPr>
      <w:r>
        <w:rPr>
          <w:rFonts w:ascii="Times New Roman" w:cs="Times New Roman" w:eastAsia="Times New Roman" w:hAnsi="Times New Roman"/>
          <w:sz w:val="18"/>
          <w:szCs w:val="18"/>
          <w:color w:val="auto"/>
        </w:rPr>
        <w:t>We expect our financial condition and operating results to continue to fluctuate from quarter to quarter and year to year due to a variety of factors, many of which are beyond our control. We have transitioned from a company with solely a research and development focus to a company also undertaking commercial activities. We may continue to encounter unforeseen expenses, difficulties, complications and delays, and this may not be a successful transition.</w:t>
      </w:r>
    </w:p>
    <w:p>
      <w:pPr>
        <w:spacing w:after="0" w:line="17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operating in a period of economic uncertainty and capital markets disruption, which has been significantly impacted by geopolitical instability, including in South America, ongoing military conflicts between Russia and Ukraine, hostilities in the Middle East and elsewhere and record inflation. Our business, financial condition, and results of operations could be materially adversely affected by any negative impact on the global economy and capital markets resulting from the conflicts in South America, Russia and Ukraine, the Middle East and elsewhere, and geopolitical tensions, or record inflation.</w:t>
      </w:r>
    </w:p>
    <w:p>
      <w:pPr>
        <w:spacing w:after="0" w:line="183"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w:t>
      </w:r>
    </w:p>
    <w:p>
      <w:pPr>
        <w:spacing w:after="0" w:line="183"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Additionally, the military conflict in Ukraine has led to sanctions and other penalties being levied by the United States, European Union and other countries against Russia. Additional potential sanctions and penalties have also been proposed and/or threatened. Most recently, in December 2025, the EU extended its existing economic sanctions for an additional six months, keeping them in effect until July 31, 2026. Russian military actions and the resulting sanctions could adversely affect the global economy and financial markets and lead to instability and lack of liquidity in capital markets, potentially making it more difficult for us to obtain additional funds.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Although our business has not been materially impacted by these geopolitical issues, or the U.S. domestic political climate, to date, it is impossible to predict the extent to which our operations, or those of our suppliers and manufacturers, will be impacted in the short and long term, or the ways in which conflicts may impact our business. The extent and duration of military action, sanctions, and resulting market disruptions are impossible to predict, but could be substantial. Any such disruptions may also magnify the impact of other risks described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U.S. continues to experience significant political events that cast uncertainty on the U.S. and global financial and economic markets. For example, on October 1, 2025, the U.S. federal government commenced a shutdown due to an impasse over funding for the 2026 fiscal year, impacting a number of federal services, including essential services such as Medicare and Medicaid, and it is uncertain when it will end. In addition,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the U.S. announced a 100% tariff on any branded or patented pharmaceuticals imported into the U.S. from drug manufacturers that do not have, or are not in the process of building, a manufacturing facility in the U.S., which has been delayed as negotiations with large drug manufacturers continue. Although imposition of such tariffs was paused for negotiations, the threat remains significant. Recent developments indicate that, by early 2026, sixteen major pharmaceutical companies secured a three-year exemption from 100% tariffs on imported, branded, or patented drugs in exchange for commitments related to increasing domestic manufacturing and adopting most favored nation (MFN) pricing – aligning U.S. drug costs with lower international prices. While we currently do not anticipate a material impact from such tariffs on our business or operations, such tariffs, if and as they are implemented along with other policy changes, could have adverse implications on drug pricing, drug production levels and patient access, and may result in supply chain or other operational disruptions. Further,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w:t>
      </w:r>
    </w:p>
    <w:p>
      <w:pPr>
        <w:spacing w:after="0" w:line="195"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Furthermore, in April 2025, the U.S. administration imposed increased tariffs on all countries and individualized “reciprocal” higher tariffs on certain countries with which the U.S. has the largest trade deficits. Certain countries responded by announcing retaliatory tariffs on U.S. imports. A few days later, the U.S. administration reduced the tariffs imposed on most countries to 10 percent for a period of 90 days to allow trade negotiations with those countries. This pause was initially set to expire on July 9, 2025, but was extended thereafter, with significant tariff changes taking effect with certain countries on August 1, 2025. Tariffs remain a dynamic issue and have become a central part of the U.S. trade policy, undergoing continuous expansion and modification, such as China’s tariffs being reduced in November 2025 and further actions in early 2026. Additionally, on January 17, 2026, President Trump announced 10% tariffs (increasing to 25% on June 1, 2026) on imports from eight European allies to pressure for a ‘deal’ regarding Greenland. It is presently unclear how these actions may impact the biopharmaceutical industry in the U.S. Any actions taken by the U.S. administration, including the many recent executive orders and tariff increases, may have a negative impact on the U.S. economy, global markets and on our business, financial condition, and results of operations.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The new U.S. administration may also enact other new regulations or policies that affect trade with China or otherwise impact the pharmaceutical industry by enacting laws to restrict U.S. pharmaceutical companies from contracting with Chinese companies on the development, research or manufacturing of pharmaceutical products. In December 2025, the BIOSECURE Act was signed into law as part of the Fiscal Year 2026 National Defense Authorization Act, which restricts U.S. government agencies from purchasing or obtaining certain biotechnology equipment or services from “biotechnology companies of concern” (BCC), which includes certain Chinese biotech firms; entering, extending or renewing a contract with any entity using biotechnology equipment or services provided by a BCC to perform a government contract; or granting government funds or loans for such biotechnology equipment or services provided by a BCC. The BIOSECURE ACT may have significant implications for U.S. companies with government contracts that obtain biotechnology equipment or services from a BCC. In April 2025,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w:t>
      </w:r>
    </w:p>
    <w:p>
      <w:pPr>
        <w:spacing w:after="0" w:line="194"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Further, executive orders were signed to implement MFN drug pricing policies designed to align certain prescription drug prices in the U.S. to lower prices available in other countries. Investigations are being conducted to examine price differentials and consider policy approaches for implementation, including through administrative action. If such MFN policies are implemented, changes to drug pricing are expected to affect the profitability of pharmaceutical and biotech companies in the U.S. as well as in other countries, as a price referencing policy to the U.S. market could make it commercially unviable to commercialize a drug product in a price constrained market. The details of such proposed regulations and policies are unclear and the final terms and impact remain uncertain, and may pose long-term risks to our business and our future commercialization plans of our drug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manufacturer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9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change or legal, regulatory or market measures to address climate change may negatively affect our business, results of operations, cash flows and prospects.</w:t>
      </w:r>
    </w:p>
    <w:p>
      <w:pPr>
        <w:spacing w:after="0" w:line="15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We believe that climate change has the potential to negatively affect our business and results of operations, cash flows and prospects. We are exposed to physical risks (such as extreme weather conditions or rising sea levels), risks in transitioning to a low-carbon economy (such as additional legal or regulatory requirements, changes in technology, market risk, and reputational risk) and social and human effects (such as population dislocations and harm to health and well-being) associated with climate change. These risks can be either acute (short-term) or chronic (long-term).</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adverse impacts of climate change include increased frequency and severity of natural disasters and extreme weather events such as hurricanes, tornados, wildfires (exacerbated by drought), flooding, and extreme heat. Extreme weather and sea-level rise pose physical risks to our facilities as well as those of our suppliers. Such risks include losses incurred as a result of physical damage to facilities, loss or spoilage of inventory, and business interruption caused by such natural disasters and extreme weather events. Other potential physical impacts due to climate change include reduced access to high-quality water in certain regions and the loss of biodiversity, which could impact future product development. These risks could disrupt our operations and its supply chain, which may result in increased costs.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New legal or regulatory requirements may be enacted to prevent, mitigate, or adapt to the implications of a changing climate and its effects on the environment. These regulations, which may differ across jurisdictions, could result in us being subject to new or expanded carbon pricing or taxes, increased compliance costs, restrictions on greenhouse gas emissions, investment in new technologies, increased carbon disclosure and transparency, upgrade of facilities to meet new building codes, and the redesign of utility systems, which could increase our operating costs, including the cost of electricity and energy used by us. Our supply chain would likely be subject to these same transitional risks and would likely pass along any increased costs to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OF OUR PRODUCT CANDIDATES</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products and cannot guarantee that any of our product candidates will successfully complete any planned or ongoing clinical trials, receive regulatory approval, or be successfully commercialized.</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currently have three products approved for commercial distribution. We have invested a significant portion of our efforts and financial resources in the development of our product candidates. Our business, including our ability to generate revenue, depends entirely on the successful commercialization of AUVELITY, SUNOSI, and SYMBRAVO, and the successful development and commercialization of our product candidates and/or future in-licensing activities, which may never occur. Furthermore, given the nature of our business, the biopharmaceutical industry in general and the uncertainty and costs associated with developing and commercializing our products within a complicated and costly regulatory regime, our goals, plans and assumptions with respect to our products may evolve or change. For example, we may not continue to emphasize, focus our research and development efforts on or direct resources to certain of our product candidates, and we may shift our focus and resources to our other current or future products. Any such change in our business strategy could harm our business, cause uncertainty or confusion in the marketplace or harm the clinical prospects of our products.</w:t>
      </w:r>
    </w:p>
    <w:p>
      <w:pPr>
        <w:spacing w:after="0" w:line="188"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additional clinical and non-clinical development, regulatory approval, commercial manufacturing arrangements, significant marketing efforts, and further investment before we generate any revenues from the sale of such product candidates. Multiple clinical trials are ongoing. As a result of one or more risks discussed in this section, we cannot assure you that we will meet projected timelines related to these trials.</w:t>
      </w:r>
    </w:p>
    <w:p>
      <w:pPr>
        <w:spacing w:after="0" w:line="180"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Although we submitted NDAs to the FDA for AUVELITY (which was approved) and for SYMBRAVO (which received a complete response letter (CRL) and has now been approved) and for AXS-14 (which received a Refuse to File letter from the FDA, and which we plan to resubmit), we have not otherwise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2/3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If approved for marketing by applicable regulatory authorities, our ability to generate revenues from our product candidates depend on our ability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7" w:lineRule="exact"/>
        <w:rPr>
          <w:sz w:val="20"/>
          <w:szCs w:val="20"/>
          <w:color w:val="auto"/>
        </w:rPr>
      </w:pPr>
    </w:p>
    <w:p>
      <w:pPr>
        <w:ind w:left="760" w:right="220" w:hanging="378"/>
        <w:spacing w:after="0" w:line="282"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receive regulatory approval for claims that are necessary or desirable for successful marketing;</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hire, train, and deploy a sales force to commercialize our product candidates;</w:t>
      </w:r>
    </w:p>
    <w:p>
      <w:pPr>
        <w:spacing w:after="0" w:line="225" w:lineRule="exact"/>
        <w:rPr>
          <w:rFonts w:ascii="Times New Roman" w:cs="Times New Roman" w:eastAsia="Times New Roman" w:hAnsi="Times New Roman"/>
          <w:sz w:val="16"/>
          <w:szCs w:val="16"/>
          <w:color w:val="auto"/>
        </w:rPr>
      </w:pPr>
    </w:p>
    <w:p>
      <w:pPr>
        <w:ind w:left="760" w:right="160" w:hanging="378"/>
        <w:spacing w:after="0" w:line="282"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manufacture (or have manufactured by third parties) our product candidates in sufficient quantities and at acceptable quality and manufacturing cost to meet commercial demand at launch and thereafter;</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establish and maintain agreements with wholesalers, distributors, and group purchasing organizations on commercially reasonable terms;</w:t>
      </w:r>
    </w:p>
    <w:p>
      <w:pPr>
        <w:spacing w:after="0" w:line="225" w:lineRule="exact"/>
        <w:rPr>
          <w:rFonts w:ascii="Times New Roman" w:cs="Times New Roman" w:eastAsia="Times New Roman" w:hAnsi="Times New Roman"/>
          <w:sz w:val="16"/>
          <w:szCs w:val="16"/>
          <w:color w:val="auto"/>
        </w:rPr>
      </w:pPr>
    </w:p>
    <w:p>
      <w:pPr>
        <w:ind w:left="760" w:right="600" w:hanging="378"/>
        <w:spacing w:after="0" w:line="282" w:lineRule="auto"/>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patent and trade secret protection and regulatory exclusivity for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launch commercial sales of our product candidates, whether alone or in collaboration with others;</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achieve appropriate reimbursement for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effectively compete with other therapies;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59"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certain of the Company’s then current product candidates. The patents licensed from Antecip include certain intellectual property pertaining to the Company’s AUVELITY product / AXS-05 portfolio product.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9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solriamfetol for additional indications, AXS-05 for the treatment of AD agitation and smoking cessation,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Note 15. License Agreements, we are required to pay to an entity owned by our Chief Executive Officer and Chairman of the Board certain royalty payments related to any sales of the Company’s AUVELITY product / AXS-05 portfolio product, as well as two product candidates that are not currently in active development. This may influence management’s decision concerning which product candidates or indications to pursue and/or the manner in which our products are commercialized.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59"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A component of our business strategy is to continue to develop a pipeline of product candidates by developing products that we believe are a strategic fit with our focus on CNS therapies. However, these business activities may entail numerous operational and financial risks, including:</w:t>
      </w:r>
    </w:p>
    <w:p>
      <w:pPr>
        <w:spacing w:after="0" w:line="162"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difficulty or inability to secure financing to fund business activities for such development;</w:t>
      </w:r>
    </w:p>
    <w:p>
      <w:pPr>
        <w:spacing w:after="0" w:line="200" w:lineRule="exact"/>
        <w:rPr>
          <w:rFonts w:ascii="Times New Roman" w:cs="Times New Roman" w:eastAsia="Times New Roman" w:hAnsi="Times New Roman"/>
          <w:sz w:val="16"/>
          <w:szCs w:val="16"/>
          <w:color w:val="auto"/>
        </w:rPr>
      </w:pPr>
    </w:p>
    <w:p>
      <w:pPr>
        <w:spacing w:after="0" w:line="259"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disruption of our business and diversion of our management’s time and attention;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higher than expected development costs;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exposure to unknown liabilities;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difficulty in managing multiple product development programs;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inability to successfully develop new products or clinical failure.</w:t>
      </w:r>
    </w:p>
    <w:p>
      <w:pPr>
        <w:spacing w:after="0" w:line="22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For instance, we received a Refuse to File from the FDA relating to the Company’s product candidate AXS-14 for the management of fibromyalgia in June 2025. Likewise, our prior efforts have resulted in our decision not to further develop certain product candidates that, at one time, appeared to be promising. Moreover, we may devote resources to potential development that are never completed, or we may fail to realize the anticipated benefits of such efforts. If we do not successfully develop and commercialize product candidates, we may not be able to obtain revenues from such product candidates in future periods.</w:t>
      </w:r>
    </w:p>
    <w:p>
      <w:pPr>
        <w:spacing w:after="0" w:line="17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75"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In the EU, we are not permitted to commercialize, market, promote, or sell any product candidate without obtaining marketing approval from the EC or national competent authorities at the EU member state level.</w:t>
      </w:r>
    </w:p>
    <w:p>
      <w:pPr>
        <w:spacing w:after="0" w:line="176"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the United States, we currently plan to, at least initially, seek approval of some of our product candidates using the 505(b)(2) pathway. These 505(b)(2) product candidates include additional indications for AXS-05. The FDA interprets Section 505(b)(2) of the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83" w:lineRule="exact"/>
        <w:rPr>
          <w:sz w:val="20"/>
          <w:szCs w:val="20"/>
          <w:color w:val="auto"/>
        </w:rPr>
      </w:pPr>
    </w:p>
    <w:p>
      <w:pPr>
        <w:ind w:right="20" w:firstLine="749"/>
        <w:spacing w:after="0" w:line="226" w:lineRule="exact"/>
        <w:rPr>
          <w:sz w:val="20"/>
          <w:szCs w:val="20"/>
          <w:color w:val="auto"/>
        </w:rPr>
      </w:pPr>
      <w:r>
        <w:rPr>
          <w:rFonts w:ascii="Times New Roman" w:cs="Times New Roman" w:eastAsia="Times New Roman" w:hAnsi="Times New Roman"/>
          <w:sz w:val="18"/>
          <w:szCs w:val="18"/>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warnings. For instance, antidepressants, including AUVELITY, include a class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black box warning regarding the increased risk of suicidal thoughts and behavior.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addition, because we plan to file certain product candidates under an NDA submitted pursuant to 505(b)(2), we will rely, at least in part, upon a reference drug and published literature. For example, we have and/or intend to rely on third-party studies in the published literature as well as FDA findings of safety and efficacy for approved drug products containing the same active molecules in AXS-05.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submitted NDAs for AUVELITY and SYMBRAVO pursuant to the 505(b)(2) process, we have not conducted certain additional clinical trials for these products and, as such, we will have less experience with actual testing of these products.</w:t>
      </w:r>
    </w:p>
    <w:p>
      <w:pPr>
        <w:spacing w:after="0" w:line="18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ANDA, for a generic version of the approved product. We may, however, not be able to immediately submit an ANDA or have an ANDA approval made effective, as we could be blocked by others’ periods of patent and regulatory exclusivity protection.</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7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timelines and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75"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The timeline for review and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The timeline for regulatory approval can be affected by a variety of factors, including budget and funding levels, agency staffing, and statutory, regulatory, and policy changes. In addition, approval policies, regulations, or the type and amount of clinical data necessary to gain approval may change during the course of a product candidate’s clinical development, vary among jurisdictions, and/or require us to amend our clinical trial protocols or conduct additional studies that require regulatory or IRB approval, or otherwise cause delays in the approval or rejection of an application. To date, we have submitted two NDAs to the FDA and have obtained regulatory approval for both of our product candidates, AUVELITY and SYMBRAVO. It is possible that none of our other existing product candidates, or any product candidates we may seek to develop in the future, will ever obtain regulatory approval. Any delay in obtaining or failure to obtain required approvals or uncertainty in the timing of regulatory action could materially adversely impact our development efforts and affect our ability or that of any of our collaborators to generate revenue from the particular product candidate, which likely would result in significant harm to our financial position and adversely impact our stock price.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products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and/or national competent authorities in Europe, and similar regulatory authorities outside the United States and Europe. Failure to obtain marketing approval for a product candidate will prevent us from commercializing the product candidate. We have limited experience in filing and supporting the applications necessary to gain marketing approvals and rely on third 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188"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98"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2" w:lineRule="exact"/>
        <w:rPr>
          <w:sz w:val="20"/>
          <w:szCs w:val="20"/>
          <w:color w:val="auto"/>
        </w:rPr>
      </w:pPr>
    </w:p>
    <w:p>
      <w:pPr>
        <w:ind w:left="760" w:right="280" w:hanging="378"/>
        <w:spacing w:after="0" w:line="282" w:lineRule="auto"/>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Times New Roman" w:cs="Times New Roman" w:eastAsia="Times New Roman" w:hAnsi="Times New Roman"/>
          <w:sz w:val="16"/>
          <w:szCs w:val="16"/>
          <w:color w:val="auto"/>
        </w:rPr>
      </w:pPr>
    </w:p>
    <w:p>
      <w:pPr>
        <w:ind w:left="760" w:right="60" w:hanging="378"/>
        <w:spacing w:after="0" w:line="282" w:lineRule="auto"/>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Times New Roman" w:cs="Times New Roman" w:eastAsia="Times New Roman" w:hAnsi="Times New Roman"/>
          <w:sz w:val="16"/>
          <w:szCs w:val="16"/>
          <w:color w:val="auto"/>
        </w:rPr>
      </w:pPr>
    </w:p>
    <w:p>
      <w:pPr>
        <w:jc w:val="both"/>
        <w:ind w:left="760" w:right="440" w:hanging="378"/>
        <w:spacing w:after="0" w:line="266" w:lineRule="auto"/>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75" w:lineRule="exact"/>
        <w:rPr>
          <w:rFonts w:ascii="Times New Roman" w:cs="Times New Roman" w:eastAsia="Times New Roman" w:hAnsi="Times New Roman"/>
          <w:sz w:val="16"/>
          <w:szCs w:val="16"/>
          <w:color w:val="auto"/>
        </w:rPr>
      </w:pPr>
    </w:p>
    <w:p>
      <w:pPr>
        <w:ind w:left="760" w:right="340" w:hanging="378"/>
        <w:spacing w:after="0" w:line="282" w:lineRule="auto"/>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1" w:lineRule="exact"/>
        <w:rPr>
          <w:rFonts w:ascii="Times New Roman" w:cs="Times New Roman" w:eastAsia="Times New Roman" w:hAnsi="Times New Roman"/>
          <w:sz w:val="16"/>
          <w:szCs w:val="16"/>
          <w:color w:val="auto"/>
        </w:rPr>
      </w:pPr>
    </w:p>
    <w:p>
      <w:pPr>
        <w:ind w:left="760" w:right="280" w:hanging="378"/>
        <w:spacing w:after="0" w:line="282" w:lineRule="auto"/>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20" w:lineRule="exact"/>
        <w:rPr>
          <w:rFonts w:ascii="Times New Roman" w:cs="Times New Roman" w:eastAsia="Times New Roman" w:hAnsi="Times New Roman"/>
          <w:sz w:val="16"/>
          <w:szCs w:val="16"/>
          <w:color w:val="auto"/>
        </w:rPr>
      </w:pPr>
    </w:p>
    <w:p>
      <w:pPr>
        <w:ind w:left="760" w:right="140" w:hanging="378"/>
        <w:spacing w:after="0" w:line="245" w:lineRule="exact"/>
        <w:tabs>
          <w:tab w:leader="none" w:pos="7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240" w:hanging="378"/>
        <w:spacing w:after="0" w:line="261"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7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marketing approval policies during the development period rendering our data insufficient to obtain marketing approval;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or the enactment of additional statutes or regulations;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regulatory review for each submitted product application;</w:t>
      </w:r>
    </w:p>
    <w:p>
      <w:pPr>
        <w:spacing w:after="0" w:line="225" w:lineRule="exact"/>
        <w:rPr>
          <w:rFonts w:ascii="Times New Roman" w:cs="Times New Roman" w:eastAsia="Times New Roman" w:hAnsi="Times New Roman"/>
          <w:sz w:val="16"/>
          <w:szCs w:val="16"/>
          <w:color w:val="auto"/>
        </w:rPr>
      </w:pPr>
    </w:p>
    <w:p>
      <w:pPr>
        <w:ind w:left="760" w:right="180" w:hanging="378"/>
        <w:spacing w:after="0" w:line="282"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61" w:lineRule="exact"/>
        <w:rPr>
          <w:rFonts w:ascii="Times New Roman" w:cs="Times New Roman" w:eastAsia="Times New Roman" w:hAnsi="Times New Roman"/>
          <w:sz w:val="16"/>
          <w:szCs w:val="16"/>
          <w:color w:val="auto"/>
        </w:rPr>
      </w:pPr>
    </w:p>
    <w:p>
      <w:pPr>
        <w:ind w:left="760" w:right="820" w:hanging="378"/>
        <w:spacing w:after="0" w:line="282"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Times New Roman" w:cs="Times New Roman" w:eastAsia="Times New Roman" w:hAnsi="Times New Roman"/>
          <w:sz w:val="16"/>
          <w:szCs w:val="16"/>
          <w:color w:val="auto"/>
        </w:rPr>
      </w:pPr>
    </w:p>
    <w:p>
      <w:pPr>
        <w:ind w:left="760" w:hanging="378"/>
        <w:spacing w:after="0" w:line="255"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decide, or regulators may require us, to conduct additional clinical trials, analyses, reports, data, or preclinical/non-clinical studies, or we may abandon product development programs. For instance, we relied on the completed Phase 2 trial and Phase 3 trial to support an NDA for AXS-14 for the management of fibromyalgia; however, we received a Refuse to File from the FDA. On January 15, 2026, we announced the initiation of the Phase 3 FORWARD trial, which we are conducting to address the FDA’s feedback. Furthermore, although we believe that we are able to rely on the Phase 2 CONCERT trial, Phase 3 SYMPHONY trial, and Phase 3 ENCORE trial to support an NDA for AXS-12 for the treatment of cataplexy and narcolepsy, the FDA could still require additional studies to support the approval of an NDA for this and other product candidates. The outcome of our studies may further necessitate additional clinical or preclinical work;</w:t>
      </w:r>
    </w:p>
    <w:p>
      <w:pPr>
        <w:spacing w:after="0" w:line="188"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fail to reach an agreement with regulators regarding the scope or design of our clinical trials;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225" w:lineRule="exact"/>
        <w:rPr>
          <w:rFonts w:ascii="Times New Roman" w:cs="Times New Roman" w:eastAsia="Times New Roman" w:hAnsi="Times New Roman"/>
          <w:sz w:val="16"/>
          <w:szCs w:val="16"/>
          <w:color w:val="auto"/>
        </w:rPr>
      </w:pPr>
    </w:p>
    <w:p>
      <w:pPr>
        <w:ind w:left="760" w:hanging="378"/>
        <w:spacing w:after="0" w:line="266"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75" w:lineRule="exact"/>
        <w:rPr>
          <w:rFonts w:ascii="Times New Roman" w:cs="Times New Roman" w:eastAsia="Times New Roman" w:hAnsi="Times New Roman"/>
          <w:sz w:val="16"/>
          <w:szCs w:val="16"/>
          <w:color w:val="auto"/>
        </w:rPr>
      </w:pPr>
    </w:p>
    <w:p>
      <w:pPr>
        <w:ind w:left="760" w:right="820" w:hanging="378"/>
        <w:spacing w:after="0" w:line="282"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may be regulatory questions regarding interpretations of data and results, or new information may emerge regarding our product candidates;</w:t>
      </w:r>
    </w:p>
    <w:p>
      <w:pPr>
        <w:spacing w:after="0" w:line="161" w:lineRule="exact"/>
        <w:rPr>
          <w:rFonts w:ascii="Times New Roman" w:cs="Times New Roman" w:eastAsia="Times New Roman" w:hAnsi="Times New Roman"/>
          <w:sz w:val="16"/>
          <w:szCs w:val="16"/>
          <w:color w:val="auto"/>
        </w:rPr>
      </w:pPr>
    </w:p>
    <w:p>
      <w:pPr>
        <w:ind w:left="760" w:hanging="378"/>
        <w:spacing w:after="0" w:line="258" w:lineRule="auto"/>
        <w:tabs>
          <w:tab w:leader="none" w:pos="7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80" w:hanging="378"/>
        <w:spacing w:after="0" w:line="258"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3"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disagree with our intended indications;</w:t>
      </w:r>
    </w:p>
    <w:p>
      <w:pPr>
        <w:spacing w:after="0" w:line="225" w:lineRule="exact"/>
        <w:rPr>
          <w:rFonts w:ascii="Times New Roman" w:cs="Times New Roman" w:eastAsia="Times New Roman" w:hAnsi="Times New Roman"/>
          <w:sz w:val="16"/>
          <w:szCs w:val="16"/>
          <w:color w:val="auto"/>
        </w:rPr>
      </w:pPr>
    </w:p>
    <w:p>
      <w:pPr>
        <w:ind w:left="760" w:right="32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manufacturing facilities for clinical and future commercial supplies;</w:t>
      </w:r>
    </w:p>
    <w:p>
      <w:pPr>
        <w:spacing w:after="0" w:line="161" w:lineRule="exact"/>
        <w:rPr>
          <w:rFonts w:ascii="Times New Roman" w:cs="Times New Roman" w:eastAsia="Times New Roman" w:hAnsi="Times New Roman"/>
          <w:sz w:val="16"/>
          <w:szCs w:val="16"/>
          <w:color w:val="auto"/>
        </w:rPr>
      </w:pPr>
    </w:p>
    <w:p>
      <w:pPr>
        <w:ind w:left="760" w:right="6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 connection with the CMC data necessary for our NDA filing and approval, we will need to conduct stability studies and provide stability data to establish appropriate retest or expiration dating periods;</w:t>
      </w:r>
    </w:p>
    <w:p>
      <w:pPr>
        <w:spacing w:after="0" w:line="161" w:lineRule="exact"/>
        <w:rPr>
          <w:rFonts w:ascii="Times New Roman" w:cs="Times New Roman" w:eastAsia="Times New Roman" w:hAnsi="Times New Roman"/>
          <w:sz w:val="16"/>
          <w:szCs w:val="16"/>
          <w:color w:val="auto"/>
        </w:rPr>
      </w:pPr>
    </w:p>
    <w:p>
      <w:pPr>
        <w:ind w:left="760" w:right="16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161" w:lineRule="exact"/>
        <w:rPr>
          <w:rFonts w:ascii="Times New Roman" w:cs="Times New Roman" w:eastAsia="Times New Roman" w:hAnsi="Times New Roman"/>
          <w:sz w:val="16"/>
          <w:szCs w:val="16"/>
          <w:color w:val="auto"/>
        </w:rPr>
      </w:pPr>
    </w:p>
    <w:p>
      <w:pPr>
        <w:ind w:left="760" w:right="22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may be delays in the FDA’s ability to conduct necessary Pre-Approval Inspections, or PAIs, and more generally the FDA or comparable foreign regulatory authorities may take longer than we anticipate to make a decision on our product candidates; and</w:t>
      </w:r>
    </w:p>
    <w:p>
      <w:pPr>
        <w:spacing w:after="0" w:line="161" w:lineRule="exact"/>
        <w:rPr>
          <w:rFonts w:ascii="Times New Roman" w:cs="Times New Roman" w:eastAsia="Times New Roman" w:hAnsi="Times New Roman"/>
          <w:sz w:val="16"/>
          <w:szCs w:val="16"/>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Moreover, if we are required to conduct additional clinical trials or other testing of our product candidates beyond that which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7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not obtain marketing approval at all;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 approval for indications or patient populations that are not as broad as intended or desired or are not covered by our intellectual property;</w:t>
      </w:r>
    </w:p>
    <w:p>
      <w:pPr>
        <w:spacing w:after="0" w:line="225" w:lineRule="exact"/>
        <w:rPr>
          <w:rFonts w:ascii="Times New Roman" w:cs="Times New Roman" w:eastAsia="Times New Roman" w:hAnsi="Times New Roman"/>
          <w:sz w:val="16"/>
          <w:szCs w:val="16"/>
          <w:color w:val="auto"/>
        </w:rPr>
      </w:pPr>
    </w:p>
    <w:p>
      <w:pPr>
        <w:ind w:left="760" w:hanging="378"/>
        <w:spacing w:after="0" w:line="266" w:lineRule="auto"/>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35"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requirements, including REMS; or</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If we are slow or unable to adapt to changes in existing requirements or the adoption of new requirements or policies governing clinical trials, our product development plans may be impacted. For example, in December 2022, with the passage of the Food and Drug Omnibus Reform Act (FDORA), Congress required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diversity action plans must include the sponsor’s goals for enrollment, the underlying rationale for those goals, and an explanation of how the sponsor intends to meet them. In terms of the compliance deadline, the requirement to submit a diversity action plan applies to clinical studies for which enrollment begins 180 days after the final guidance is published, which was originally anticipated to occur in June 2025. In January 2025, the previously published draft guidance was temporarily removed from the FDA website following an executive order, but was restored and reinstated the following month per a court order. However, it remains in draft form, which impacts the eventual publication date of the final guidance, and as a result, may delay the compliance deadline.</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may be materially harmed.</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Further, the FDA’s review of our regulatory submissions may be delayed in the future due to reasons beyond our control. FDA operations are affected by various factors, such as shifting government priorities, budgets and funding levels, authorization and payment of user fees, the ability to hire and retain key personnel, as well as other statutory, regulatory, and policy changes impacting HHS, the FDA, or other HHS agencies. Specifically, in 2025, FDA faced a reduction in size, a prolonged federal government shutdown, as well as frequent administrative turnover and agency restructuring following the institution of the new administration, which have directly or indirectly impacted FDA’s ability to support research and development activities. If legislation, administrative action, or changes in policy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In addition, any future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92"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For example, in the CRL with respect to our NDA for SYMBRAVO, the FDA noted the need for additional CMC data. SYMBRAVO was subsequently approved by the FDA. With respect to our NDA for AXS-14 for the management of fibromyalgia, the FDA stated that upon preliminary review, it found that our NDA was not sufficiently complete to permit a substantive review. To address the FDA’s feedback, we plan to conduct an additional controlled trial, which will use a fixed-dose paradigm and a 12-week primary endpoint as requested by the FDA.</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Furthermore, there is the possibility that the FDA or comparable foreign regulatory authorities have not previously reviewed product candidates for the indications we are pursuing, such as AD agitation or smoking cessation. As a result, we may experience delays in regulatory approval due to uncertainties in the approval process.</w:t>
      </w:r>
    </w:p>
    <w:p>
      <w:pPr>
        <w:spacing w:after="0" w:line="17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89" w:lineRule="exact"/>
        <w:rPr>
          <w:sz w:val="20"/>
          <w:szCs w:val="20"/>
          <w:color w:val="auto"/>
        </w:rPr>
      </w:pPr>
    </w:p>
    <w:p>
      <w:pPr>
        <w:ind w:left="760" w:right="460" w:hanging="378"/>
        <w:spacing w:after="0" w:line="282" w:lineRule="auto"/>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preclinical or non-clinical testing may produce inconclusive or negative safety results, which may require us to conduct additional non-clinical testing or to abandon product candidates;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may have unfavorable pharmacology or toxicity characteristics or suggest possible drug-drug interaction;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product candidates may cause undesirable side effects;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FDA or other regulatory authorities may determine that additional safety testing is required.</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Any such events would increase our costs and could delay or prevent our ability to commercialize our product candidates, which could adversely impact our business, financial condition and results of operation.</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5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83" w:lineRule="exact"/>
        <w:rPr>
          <w:sz w:val="20"/>
          <w:szCs w:val="20"/>
          <w:color w:val="auto"/>
        </w:rPr>
      </w:pPr>
    </w:p>
    <w:p>
      <w:pPr>
        <w:ind w:right="20" w:firstLine="749"/>
        <w:spacing w:after="0" w:line="219" w:lineRule="exact"/>
        <w:rPr>
          <w:sz w:val="20"/>
          <w:szCs w:val="20"/>
          <w:color w:val="auto"/>
        </w:rPr>
      </w:pPr>
      <w:r>
        <w:rPr>
          <w:rFonts w:ascii="Times New Roman" w:cs="Times New Roman" w:eastAsia="Times New Roman" w:hAnsi="Times New Roman"/>
          <w:sz w:val="18"/>
          <w:szCs w:val="18"/>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60" w:lineRule="auto"/>
        <w:rPr>
          <w:sz w:val="20"/>
          <w:szCs w:val="20"/>
          <w:color w:val="auto"/>
        </w:rPr>
      </w:pPr>
      <w:r>
        <w:rPr>
          <w:rFonts w:ascii="Times New Roman" w:cs="Times New Roman" w:eastAsia="Times New Roman" w:hAnsi="Times New Roman"/>
          <w:sz w:val="18"/>
          <w:szCs w:val="18"/>
          <w:color w:val="auto"/>
        </w:rPr>
        <w:t>Based on the side effects disclosed in the EMA required product label for marketed drugs that contain the same active molecule as our product candidates,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Known side effects for AUVELITY, SUNOSI, and SYMBRAVO are described on the approved labels for those products. In relation to further development efforts with respect to these compounds, different patient populations may react to these compounds differently. For example, AD agitation patients in the case of AXS-05 or ADHD patients in the case of solriamfetol may experience different side effects than patients taking these products for their currently approved indications. This is particularly true where different dosing, formulations or methods of administration are implicated.</w:t>
      </w:r>
    </w:p>
    <w:p>
      <w:pPr>
        <w:spacing w:after="0" w:line="180" w:lineRule="exact"/>
        <w:rPr>
          <w:sz w:val="20"/>
          <w:szCs w:val="20"/>
          <w:color w:val="auto"/>
        </w:rPr>
      </w:pPr>
    </w:p>
    <w:p>
      <w:pPr>
        <w:ind w:right="240" w:firstLine="749"/>
        <w:spacing w:after="0" w:line="220" w:lineRule="exact"/>
        <w:rPr>
          <w:sz w:val="20"/>
          <w:szCs w:val="20"/>
          <w:color w:val="auto"/>
        </w:rPr>
      </w:pPr>
      <w:r>
        <w:rPr>
          <w:rFonts w:ascii="Times New Roman" w:cs="Times New Roman" w:eastAsia="Times New Roman" w:hAnsi="Times New Roman"/>
          <w:sz w:val="18"/>
          <w:szCs w:val="18"/>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97"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3"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size and nature of the patient population;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severity of the disease under investigation;</w:t>
      </w:r>
    </w:p>
    <w:p>
      <w:pPr>
        <w:spacing w:after="0" w:line="225" w:lineRule="exact"/>
        <w:rPr>
          <w:rFonts w:ascii="Times New Roman" w:cs="Times New Roman" w:eastAsia="Times New Roman" w:hAnsi="Times New Roman"/>
          <w:sz w:val="16"/>
          <w:szCs w:val="16"/>
          <w:color w:val="auto"/>
        </w:rPr>
      </w:pPr>
    </w:p>
    <w:p>
      <w:pPr>
        <w:ind w:left="760" w:right="100" w:hanging="378"/>
        <w:spacing w:after="0" w:line="282"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Times New Roman" w:cs="Times New Roman" w:eastAsia="Times New Roman" w:hAnsi="Times New Roman"/>
          <w:sz w:val="16"/>
          <w:szCs w:val="16"/>
          <w:color w:val="auto"/>
        </w:rPr>
      </w:pPr>
    </w:p>
    <w:p>
      <w:pPr>
        <w:ind w:left="760" w:right="580" w:hanging="378"/>
        <w:spacing w:after="0" w:line="282" w:lineRule="auto"/>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perceived risks and benefits of the product candidate under study, including the potential advantages or disadvantages of the product candidate being studied in relation to other available therapies;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competition in recruiting and enrolling patients in clinical trials;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patient referral practices of physicians;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effectiveness of publicity created by clinical trial sites regarding the trial;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patients’ ability to comply with the specific instructions related to the trial protocol, proper documentation, and use of the drug product;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inability to obtain or maintain patient informed consents;</w:t>
      </w: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risk that enrolled patients will drop out before completion;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ability to identify patients for enrollment and maintain a sufficient level of patient participants in our clinical studies;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combination product candidates may present more or different challenges than development of single agent product candidates.</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Certain product candidates of ours, including AXS-05,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229"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products from being marketed abroad.</w:t>
      </w:r>
    </w:p>
    <w:p>
      <w:pPr>
        <w:spacing w:after="0" w:line="188" w:lineRule="exact"/>
        <w:rPr>
          <w:sz w:val="20"/>
          <w:szCs w:val="20"/>
          <w:color w:val="auto"/>
        </w:rPr>
      </w:pPr>
    </w:p>
    <w:p>
      <w:pPr>
        <w:ind w:right="120" w:firstLine="749"/>
        <w:spacing w:after="0" w:line="222" w:lineRule="exact"/>
        <w:rPr>
          <w:sz w:val="20"/>
          <w:szCs w:val="20"/>
          <w:color w:val="auto"/>
        </w:rPr>
      </w:pPr>
      <w:r>
        <w:rPr>
          <w:rFonts w:ascii="Times New Roman" w:cs="Times New Roman" w:eastAsia="Times New Roman" w:hAnsi="Times New Roman"/>
          <w:sz w:val="18"/>
          <w:szCs w:val="18"/>
          <w:color w:val="auto"/>
        </w:rPr>
        <w:t>In order to market and sell our products in the EU, and many other jurisdictions,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9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AD agitation.</w:t>
      </w:r>
    </w:p>
    <w:p>
      <w:pPr>
        <w:spacing w:after="0" w:line="15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received a Fast Track product designation for AXS-05 for both the treatment of TRD as well as for the treatment of AD agitation, and we may seek Fast Track designation for our other current or future product candidates.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w:t>
      </w:r>
    </w:p>
    <w:p>
      <w:pPr>
        <w:spacing w:after="0" w:line="192"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also received Breakthrough Therapy designation for AXS-05 for both the treatment of MDD and the treatment of AD agitation, and we may seek Breakthrough Therapy designation for other current or future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 For instance, the FDA granted AXS-05 Priority Review on December 31, 2025, with a Prescription Drug User Fee Act (PDUFA) date of April 30, 2026, accelerating its review of Alzheimer’s disease agitation; however, Priority Review does not guarantee FDA approval and could still lead to further data requests or denial.</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Breakthrough Therapy or Fast Track designation is within the discretion of the FDA. The receipt of a Breakthrough Therapy or Fast Track designation for a product candidate may not ultimately result in a faster development process or review, and it does not in any way assure approval of product candidates by the FDA. In addition, the FDA may later decide to rescind the Breakthrough Therapy or Fast Track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83"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label” uses, resulting in damage to our reputation and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2847975</wp:posOffset>
            </wp:positionH>
            <wp:positionV relativeFrom="paragraph">
              <wp:posOffset>-103505</wp:posOffset>
            </wp:positionV>
            <wp:extent cx="6413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We, and any of our collaborators, must comply with laws, regulations, and other requirements concerning advertising and promotion for any of our products for which we or they obtain marketing approval. Promotional communications with respect to prescription drugs are subject to a variety of legal and regulatory restrictions and continuing review by the FDA, Department of Justice, HHS’s OIG,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or comparable foreign regulatory authorities’ approval for any desired uses or indications for our products and product candidates, we may not market or promote our products for those indications and uses, referred to as off label uses, and our business may be adversely affected. We further must be able to sufficiently substantiate any claims that we make for our products including claims comparing our products to other companies’ products.</w:t>
      </w:r>
    </w:p>
    <w:p>
      <w:pPr>
        <w:spacing w:after="0" w:line="192" w:lineRule="exact"/>
        <w:rPr>
          <w:sz w:val="20"/>
          <w:szCs w:val="20"/>
          <w:color w:val="auto"/>
        </w:rPr>
      </w:pPr>
    </w:p>
    <w:p>
      <w:pPr>
        <w:ind w:right="40" w:firstLine="749"/>
        <w:spacing w:after="0" w:line="224" w:lineRule="exact"/>
        <w:rPr>
          <w:sz w:val="20"/>
          <w:szCs w:val="20"/>
          <w:color w:val="auto"/>
        </w:rPr>
      </w:pPr>
      <w:r>
        <w:rPr>
          <w:rFonts w:ascii="Times New Roman" w:cs="Times New Roman" w:eastAsia="Times New Roman" w:hAnsi="Times New Roman"/>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w:t>
      </w:r>
    </w:p>
    <w:p>
      <w:pPr>
        <w:spacing w:after="0" w:line="172" w:lineRule="exact"/>
        <w:rPr>
          <w:sz w:val="20"/>
          <w:szCs w:val="20"/>
          <w:color w:val="auto"/>
        </w:rPr>
      </w:pPr>
    </w:p>
    <w:p>
      <w:pPr>
        <w:ind w:right="80"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have impermissibly promoted any of our products,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the United States, engaging in the impermissible promotion of our products, following approval, for off-label uses can also subject us to false claims and other litigation under federal and state statutes, including fraud and abuse and consumer protection laws, which can lead to civil and criminal penalties, damages, fines, and actions,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suspension or debarment from government procurement and potential adverse actions affecting future orders under existing contracts. Recent court decisions have impacted the FDA’s enforcement activity regarding off-label promotion in light of First Amendment considerations; however, there are still significant risks in this area, such as where communications are misleading or conduct is the alleged cause of false claims, in part due to the potential FCA exposure. The FCA allows a private individual to bring a qui tam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FCA, a penalty may be imposed for each false claim, which, for example, might be a claim for payment for each prescription for the product, and, when aggregated, these penalties often total millions of dollars and incentivize qui tam lawsuits. These FCA lawsuits against pharmaceutical companies have increased significantly in volume and breadth, leading to several substantial civil settlements and criminal resolutions, pertaining to certain sales practices and promoting off-label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other actions and, if we do not successfully defend against such actions, those actions may have a material adverse effect on our business, financial condition, results of operations, and prospects.</w:t>
      </w:r>
    </w:p>
    <w:p>
      <w:pPr>
        <w:spacing w:after="0" w:line="191"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the United States, the distribution of product samples to physicians must further comply with the requirements of the U.S. PDMA.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83"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and will continue to be subject to, ongoing obligations and continued regulatory review, which may result in significant additional expense. Additionally, any of our products, could be subject to labeling and other restrictions and market withdrawal and we may be subject to penalties if we fail to comply with regulatory requirements or experience unanticipated problems with our products.</w:t>
      </w:r>
    </w:p>
    <w:p>
      <w:pPr>
        <w:spacing w:after="0" w:line="175"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Our product(s) are subject to extensive and ongoing requirements of and review by the FDA and other regulatory authorities, including requirements related to the manufacturing processes, post-approval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products; continued compliance with cGMP requirements relating to manufacturing, quality control, quality assurance, and corresponding maintenance of records and documents; requirements regarding the distribution of samples to physicians and recordkeeping; and GCP, for any clinical trials that we conduct post-approval.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For example, in early September 2025, following a presidential memorandum directing the FDA to “take appropriate action to enforce the Federal Food, Drug, and Cosmetic Act’s prescription drug advertising provisions, and otherwise ensure truthful and non-misleading information in direct-to-consumer (DTC) prescription drug advertisements”, the FDA issued more than 100 enforcement letters to pharmaceutical companies and compounding firms, alleging that certain promotional communications and DTC advertisements are false and misleading. Furthermore, the Department of Health and Human Services (HHS) and FDA have stated that they are committed to a “more expansive reading” of the FDA’s enforcement authorities than that taken by previous administrations. In connection with these developments, we received an untitled letter from the FDA’s Center for Drug Evaluation and Research, asserting that a particular DTC print advertisement for AUVELITY was false and misleading. We responded to the untitled letter, and the FDA confirmed via close-out letter that we adequately addressed the FDA’s concerns. Failure to comply with current or forthcoming FDA requirements may trigger enforcement by the FDA, Department of Justice, or HHS Office of Inspector General (as well as state authorities), which may result in warning letters, civil and criminal penalties, agreements restricting promotional practices, and significant reputational harm.</w:t>
      </w:r>
    </w:p>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and any of our collaborators, including our contract manufacturers, could be subject to periodic unannounced inspections by the FDA to monitor and ensure compliance with cGMP and GCP. Notably, in May 2025, the FDA announced its intent to expand its use of unannounced inspections of foreign facilities manufacturing products for distribution in the United States, which may impact our operations. Further, application holders must further notify the FDA, and depending on the nature of the change, obtain FDA pre-approval for product and manufacturing changes. Application fees may apply to certain changes.</w:t>
      </w:r>
    </w:p>
    <w:p>
      <w:pPr>
        <w:spacing w:after="0" w:line="183"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7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225" w:lineRule="exact"/>
        <w:rPr>
          <w:rFonts w:ascii="Times New Roman" w:cs="Times New Roman" w:eastAsia="Times New Roman" w:hAnsi="Times New Roman"/>
          <w:sz w:val="16"/>
          <w:szCs w:val="16"/>
          <w:color w:val="auto"/>
        </w:rPr>
      </w:pPr>
    </w:p>
    <w:p>
      <w:pPr>
        <w:ind w:left="760" w:right="180" w:hanging="378"/>
        <w:spacing w:after="0" w:line="282" w:lineRule="auto"/>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modifications to promotional pieces;</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clinical holds or termination of clinical trials;</w:t>
      </w:r>
    </w:p>
    <w:p>
      <w:pPr>
        <w:spacing w:after="0" w:line="225" w:lineRule="exact"/>
        <w:rPr>
          <w:rFonts w:ascii="Times New Roman" w:cs="Times New Roman" w:eastAsia="Times New Roman" w:hAnsi="Times New Roman"/>
          <w:sz w:val="16"/>
          <w:szCs w:val="16"/>
          <w:color w:val="auto"/>
        </w:rPr>
      </w:pPr>
    </w:p>
    <w:p>
      <w:pPr>
        <w:ind w:left="760" w:right="100" w:hanging="378"/>
        <w:spacing w:after="0" w:line="289" w:lineRule="auto"/>
        <w:tabs>
          <w:tab w:leader="none" w:pos="7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57"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to the way the drug is administered;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liability for harm caused to patients or subjects;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reputational harm;</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drug becoming less competitive;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warning or untitled letters;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180" w:hanging="378"/>
        <w:spacing w:after="0" w:line="282" w:lineRule="auto"/>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drug;</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fines, damages, restitution, or disgorgement of profits or revenues;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6"/>
          <w:szCs w:val="16"/>
          <w:color w:val="auto"/>
        </w:rPr>
      </w:pPr>
    </w:p>
    <w:p>
      <w:pPr>
        <w:ind w:left="760" w:right="120" w:hanging="378"/>
        <w:spacing w:after="0" w:line="282" w:lineRule="auto"/>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FDA debarment, debarment from government contracts, and refusal of future orders under existing contracts, exclusion from federal healthcare programs, consent decrees, or corporate integrity agreements; or</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or that could impose additional regulatory obligations on our products.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78"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there is a great degree of uncertainty regarding how recent U.S. Supreme Court decisions, including </w:t>
      </w:r>
      <w:r>
        <w:rPr>
          <w:rFonts w:ascii="Times New Roman" w:cs="Times New Roman" w:eastAsia="Times New Roman" w:hAnsi="Times New Roman"/>
          <w:sz w:val="18"/>
          <w:szCs w:val="18"/>
          <w:i w:val="1"/>
          <w:iCs w:val="1"/>
          <w:color w:val="auto"/>
        </w:rPr>
        <w:t>Loper Bright Enterprises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Raimondo</w:t>
      </w:r>
      <w:r>
        <w:rPr>
          <w:rFonts w:ascii="Times New Roman" w:cs="Times New Roman" w:eastAsia="Times New Roman" w:hAnsi="Times New Roman"/>
          <w:sz w:val="18"/>
          <w:szCs w:val="18"/>
          <w:color w:val="auto"/>
        </w:rPr>
        <w:t>, 603 U.S. 369 (2024) and</w:t>
      </w:r>
      <w:r>
        <w:rPr>
          <w:rFonts w:ascii="Times New Roman" w:cs="Times New Roman" w:eastAsia="Times New Roman" w:hAnsi="Times New Roman"/>
          <w:sz w:val="18"/>
          <w:szCs w:val="18"/>
          <w:i w:val="1"/>
          <w:iCs w:val="1"/>
          <w:color w:val="auto"/>
        </w:rPr>
        <w:t xml:space="preserve"> Corner Post, Inc. v. Board of Governors of the Federal Reserve System</w:t>
      </w:r>
      <w:r>
        <w:rPr>
          <w:rFonts w:ascii="Times New Roman" w:cs="Times New Roman" w:eastAsia="Times New Roman" w:hAnsi="Times New Roman"/>
          <w:sz w:val="18"/>
          <w:szCs w:val="18"/>
          <w:color w:val="auto"/>
        </w:rPr>
        <w:t>, 603 U.S. 799 (2024), will impact the FDA’s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enforcement and decision-making authority. </w:t>
      </w:r>
      <w:r>
        <w:rPr>
          <w:rFonts w:ascii="Times New Roman" w:cs="Times New Roman" w:eastAsia="Times New Roman" w:hAnsi="Times New Roman"/>
          <w:sz w:val="18"/>
          <w:szCs w:val="18"/>
          <w:i w:val="1"/>
          <w:iCs w:val="1"/>
          <w:color w:val="auto"/>
        </w:rPr>
        <w:t>Loper Bright</w:t>
      </w:r>
      <w:r>
        <w:rPr>
          <w:rFonts w:ascii="Times New Roman" w:cs="Times New Roman" w:eastAsia="Times New Roman" w:hAnsi="Times New Roman"/>
          <w:sz w:val="18"/>
          <w:szCs w:val="18"/>
          <w:color w:val="auto"/>
        </w:rPr>
        <w:t xml:space="preserve"> explicitly overturned </w:t>
      </w:r>
      <w:r>
        <w:rPr>
          <w:rFonts w:ascii="Times New Roman" w:cs="Times New Roman" w:eastAsia="Times New Roman" w:hAnsi="Times New Roman"/>
          <w:sz w:val="18"/>
          <w:szCs w:val="18"/>
          <w:i w:val="1"/>
          <w:iCs w:val="1"/>
          <w:color w:val="auto"/>
        </w:rPr>
        <w:t>Chevron</w:t>
      </w:r>
      <w:r>
        <w:rPr>
          <w:rFonts w:ascii="Times New Roman" w:cs="Times New Roman" w:eastAsia="Times New Roman" w:hAnsi="Times New Roman"/>
          <w:sz w:val="18"/>
          <w:szCs w:val="18"/>
          <w:color w:val="auto"/>
        </w:rPr>
        <w:t xml:space="preserve"> deference, which previously gave judicial deference to administrative action by agencies in the executive branch. Furthermore, the Supreme Court’s decision in </w:t>
      </w:r>
      <w:r>
        <w:rPr>
          <w:rFonts w:ascii="Times New Roman" w:cs="Times New Roman" w:eastAsia="Times New Roman" w:hAnsi="Times New Roman"/>
          <w:sz w:val="18"/>
          <w:szCs w:val="18"/>
          <w:i w:val="1"/>
          <w:iCs w:val="1"/>
          <w:color w:val="auto"/>
        </w:rPr>
        <w:t>Corner Post</w:t>
      </w:r>
      <w:r>
        <w:rPr>
          <w:rFonts w:ascii="Times New Roman" w:cs="Times New Roman" w:eastAsia="Times New Roman" w:hAnsi="Times New Roman"/>
          <w:sz w:val="18"/>
          <w:szCs w:val="18"/>
          <w:color w:val="auto"/>
        </w:rPr>
        <w:t xml:space="preserve"> may result in challenges to FDA decisions by new litigants long into the future. These decisions could result in additional legal challenges to regulations and guidance issued by federal agencies, including the FDA, on which we rely. Any such legal challenges, if successful, could have a material impact on our business. Additionally, the </w:t>
      </w:r>
      <w:r>
        <w:rPr>
          <w:rFonts w:ascii="Times New Roman" w:cs="Times New Roman" w:eastAsia="Times New Roman" w:hAnsi="Times New Roman"/>
          <w:sz w:val="18"/>
          <w:szCs w:val="18"/>
          <w:i w:val="1"/>
          <w:iCs w:val="1"/>
          <w:color w:val="auto"/>
        </w:rPr>
        <w:t xml:space="preserve">Loper </w:t>
      </w:r>
      <w:r>
        <w:rPr>
          <w:rFonts w:ascii="Times New Roman" w:cs="Times New Roman" w:eastAsia="Times New Roman" w:hAnsi="Times New Roman"/>
          <w:sz w:val="18"/>
          <w:szCs w:val="18"/>
          <w:color w:val="auto"/>
        </w:rPr>
        <w:t>decision may result in increased regulatory uncertainty, inconsistent judicial interpretations, and could impact various aspects of the agency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spacing w:after="0" w:line="194" w:lineRule="exact"/>
        <w:rPr>
          <w:sz w:val="20"/>
          <w:szCs w:val="20"/>
          <w:color w:val="auto"/>
        </w:rPr>
      </w:pPr>
    </w:p>
    <w:p>
      <w:pPr>
        <w:ind w:right="660" w:firstLine="749"/>
        <w:spacing w:after="0" w:line="239" w:lineRule="exact"/>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regulations may have a negative effect on our operating results and financial condition.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are, and may become party to further agreements, pursuant to which we out-license our products outside of the United States. The Company also currently markets SUNOSI in Canada. We expect that we will be subject to additional risks related to entering into international business relationships, including:</w:t>
      </w:r>
    </w:p>
    <w:p>
      <w:pPr>
        <w:spacing w:after="0" w:line="176"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different regulatory requirements for approval of drugs in foreign countries;</w:t>
      </w:r>
    </w:p>
    <w:p>
      <w:pPr>
        <w:spacing w:after="0" w:line="184" w:lineRule="exact"/>
        <w:rPr>
          <w:rFonts w:ascii="Times New Roman" w:cs="Times New Roman" w:eastAsia="Times New Roman" w:hAnsi="Times New Roman"/>
          <w:sz w:val="16"/>
          <w:szCs w:val="16"/>
          <w:color w:val="auto"/>
        </w:rPr>
      </w:pPr>
    </w:p>
    <w:p>
      <w:pPr>
        <w:ind w:left="760" w:hanging="378"/>
        <w:spacing w:after="0" w:line="236" w:lineRule="exact"/>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potential for so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198" w:lineRule="exact"/>
        <w:rPr>
          <w:rFonts w:ascii="Times New Roman" w:cs="Times New Roman" w:eastAsia="Times New Roman" w:hAnsi="Times New Roman"/>
          <w:sz w:val="16"/>
          <w:szCs w:val="16"/>
          <w:color w:val="auto"/>
        </w:rPr>
      </w:pPr>
    </w:p>
    <w:p>
      <w:pPr>
        <w:ind w:left="760" w:right="80" w:hanging="378"/>
        <w:spacing w:after="0" w:line="256"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stricter harmonized EU rules on data privacy and cybersecurity. These include enhanced rules on the processing of personal data, including health data, under the EU General Data Protection Regulation (GDPR), which became enforceable beginning May 25, 2018, as well as cybersecurity obligations under Directive (EU) 2022/2555 (NIS 2 Directive). The NIS 2 Directive establishes a harmonized cybersecurity framework for 18 critical sectors, including the health sector, and imposes significant compliance obligations on in-scope organizations, including risk management measures, incident prevention, detection and notification requirements, supply chain security controls, and enhanced governance and oversight, including potential personal liability at the Board level;</w:t>
      </w:r>
    </w:p>
    <w:p>
      <w:pPr>
        <w:spacing w:after="0" w:line="187" w:lineRule="exact"/>
        <w:rPr>
          <w:rFonts w:ascii="Times New Roman" w:cs="Times New Roman" w:eastAsia="Times New Roman" w:hAnsi="Times New Roman"/>
          <w:sz w:val="16"/>
          <w:szCs w:val="16"/>
          <w:color w:val="auto"/>
        </w:rPr>
      </w:pPr>
    </w:p>
    <w:p>
      <w:pPr>
        <w:ind w:left="760" w:right="680" w:hanging="378"/>
        <w:spacing w:after="0" w:line="282"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unexpected changes in tariffs, trade barriers, and regulatory requirements and in the health care policies of foreign jurisdictions;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foreign taxes, including withholding of payroll taxes;</w:t>
      </w:r>
    </w:p>
    <w:p>
      <w:pPr>
        <w:spacing w:after="0" w:line="225" w:lineRule="exact"/>
        <w:rPr>
          <w:rFonts w:ascii="Times New Roman" w:cs="Times New Roman" w:eastAsia="Times New Roman" w:hAnsi="Times New Roman"/>
          <w:sz w:val="16"/>
          <w:szCs w:val="16"/>
          <w:color w:val="auto"/>
        </w:rPr>
      </w:pPr>
    </w:p>
    <w:p>
      <w:pPr>
        <w:ind w:left="760" w:right="160" w:hanging="378"/>
        <w:spacing w:after="0" w:line="282"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difficulties staffing and managing foreign operations;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workforce uncertainty in countries where labor unrest is more common than in the United States and worker rights tend to be stronger;</w:t>
      </w:r>
    </w:p>
    <w:p>
      <w:pPr>
        <w:spacing w:after="0" w:line="225" w:lineRule="exact"/>
        <w:rPr>
          <w:rFonts w:ascii="Times New Roman" w:cs="Times New Roman" w:eastAsia="Times New Roman" w:hAnsi="Times New Roman"/>
          <w:sz w:val="16"/>
          <w:szCs w:val="16"/>
          <w:color w:val="auto"/>
        </w:rPr>
      </w:pPr>
    </w:p>
    <w:p>
      <w:pPr>
        <w:ind w:left="760" w:right="140" w:hanging="378"/>
        <w:spacing w:after="0" w:line="282"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compliance with U.S. laws and regulations for foreign operations, including the FCPA or comparable foreign regulations, and the risks and costs of noncompliance;</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6"/>
          <w:szCs w:val="16"/>
          <w:color w:val="auto"/>
        </w:rPr>
      </w:pPr>
    </w:p>
    <w:p>
      <w:pPr>
        <w:ind w:left="760" w:right="400" w:hanging="378"/>
        <w:spacing w:after="0" w:line="282" w:lineRule="auto"/>
        <w:tabs>
          <w:tab w:leader="none" w:pos="76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These and other risks associated with our international operations may materially adversely affect our ability to attain or maintain profitable operations.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market risk from fluctuations in currency exchange rates and interest rates.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operate in multiple jurisdictions, and virtually all sales are denominated in currencies of the local jurisdiction. Additionally, we have entered and may enter into business development transactions, borrowings, or other financial transactions that may give rise to currency and interest rate exposure.</w:t>
      </w:r>
    </w:p>
    <w:p>
      <w:pPr>
        <w:spacing w:after="0" w:line="162"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Since we cannot, with certainty, foresee and mitigate against such adverse changes, fluctuations in currency exchange rates, interest rates, and inflation could negatively affect our business, cash flow, results of operations, financial condition, and prospects.</w:t>
      </w:r>
    </w:p>
    <w:p>
      <w:pPr>
        <w:spacing w:after="0" w:line="162"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In order to mitigate against the adverse impact of these market fluctuations, we may from time to time enter into hedging agreements. While hedging agreements, such as currency options and forwards and interest rate swaps, may limit some of the exposure to exchange rate and interest rate fluctuations, such attempts to mitigate these risks may be costly and not always successful.</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7" w:lineRule="exact"/>
        <w:rPr>
          <w:sz w:val="20"/>
          <w:szCs w:val="20"/>
          <w:color w:val="auto"/>
        </w:rPr>
      </w:pPr>
    </w:p>
    <w:p>
      <w:pPr>
        <w:ind w:right="40" w:firstLine="749"/>
        <w:spacing w:after="0" w:line="281" w:lineRule="auto"/>
        <w:rPr>
          <w:sz w:val="20"/>
          <w:szCs w:val="20"/>
          <w:color w:val="auto"/>
        </w:rPr>
      </w:pPr>
      <w:r>
        <w:rPr>
          <w:rFonts w:ascii="Times New Roman" w:cs="Times New Roman" w:eastAsia="Times New Roman" w:hAnsi="Times New Roman"/>
          <w:sz w:val="17"/>
          <w:szCs w:val="17"/>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Amgen Inc.; Avadel Pharmaceuticals plc; Biogen Inc.; Eli Lilly and Company; H. Lundbeck A/S; Harmony Biosciences LLC; Intra-Cellular Therapies, Inc.; Janssen; Jazz; Otsuka Pharmaceutical Co. Ltd.; Pfizer; and Takeda Pharmaceuticals Company.</w:t>
      </w: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more convenient, or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89"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Generic forms of the active ingredients of our product candidates, including dextromethorphan, bupropion, meloxicam, rizatriptan, and reboxetine,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83"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exclusivity before approving generic or similar versions of our products, the sales of our products could be adversely affected.</w:t>
      </w:r>
    </w:p>
    <w:p>
      <w:pPr>
        <w:spacing w:after="0" w:line="17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For example, in February 2023, we received a paragraph IV certification notice letter from Teva providing notification to the Company that Teva has submitted an ANDA to the FDA seeking approval to manufacture, use, or sell a generic version of AUVELITY. We settled the ensuing litigation in February 2025. Additionally, beginning in August 2023, we received paragraph IV certification notice letters from six other pharmaceutical companies providing notification to the Company that each such filer has submitted an ANDA to the FDA seeking approval to manufacture, use, or sell a generic version of SUNOSI. We have reached settlement agreements in the ensuing litigation with five of the six filers. We remain in ongoing litigation with one remaining filer in the U.S. District Court for the District of New Jersey. More recently, in August 2025, Apotex sent a Paragraph IV certification notice regarding their ANDA submission to the FDA for a generic version of SYMBRAVO. In response, we filed a patent infringement lawsuit against Apotex, Inc. in the U.S. District Court for the District of New Jersey, which remains ongoing.</w:t>
      </w:r>
    </w:p>
    <w:p>
      <w:pPr>
        <w:spacing w:after="0" w:line="187" w:lineRule="exact"/>
        <w:rPr>
          <w:sz w:val="20"/>
          <w:szCs w:val="20"/>
          <w:color w:val="auto"/>
        </w:rPr>
      </w:pPr>
    </w:p>
    <w:p>
      <w:pPr>
        <w:ind w:right="120" w:firstLine="749"/>
        <w:spacing w:after="0" w:line="220" w:lineRule="exact"/>
        <w:rPr>
          <w:sz w:val="20"/>
          <w:szCs w:val="20"/>
          <w:color w:val="auto"/>
        </w:rPr>
      </w:pPr>
      <w:r>
        <w:rPr>
          <w:rFonts w:ascii="Times New Roman" w:cs="Times New Roman" w:eastAsia="Times New Roman" w:hAnsi="Times New Roman"/>
          <w:sz w:val="18"/>
          <w:szCs w:val="18"/>
          <w:color w:val="auto"/>
        </w:rPr>
        <w:t>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Moreover, in addition to generic competition, we could face competition from other companies seeking approval of drug products that are similar to ours using the 505(b)(2) pathway. Such applicants may be able to rely on our products, or other approved drug products or published literature to develop drug products that are similar to ours. The introduction of a drug product similar to our product candidates could expose us to increased competition.</w:t>
      </w:r>
    </w:p>
    <w:p>
      <w:pPr>
        <w:spacing w:after="0" w:line="180" w:lineRule="exact"/>
        <w:rPr>
          <w:sz w:val="20"/>
          <w:szCs w:val="20"/>
          <w:color w:val="auto"/>
        </w:rPr>
      </w:pPr>
    </w:p>
    <w:p>
      <w:pPr>
        <w:ind w:right="240" w:firstLine="749"/>
        <w:spacing w:after="0" w:line="219" w:lineRule="exact"/>
        <w:rPr>
          <w:sz w:val="20"/>
          <w:szCs w:val="20"/>
          <w:color w:val="auto"/>
        </w:rPr>
      </w:pPr>
      <w:r>
        <w:rPr>
          <w:rFonts w:ascii="Times New Roman" w:cs="Times New Roman" w:eastAsia="Times New Roman" w:hAnsi="Times New Roman"/>
          <w:sz w:val="18"/>
          <w:szCs w:val="18"/>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we may be subject to generic competition or competition from similar products, or may need to commence patent infringement proceedings, which would divert our resources.</w:t>
      </w:r>
    </w:p>
    <w:p>
      <w:pPr>
        <w:spacing w:after="0" w:line="203" w:lineRule="exact"/>
        <w:rPr>
          <w:sz w:val="20"/>
          <w:szCs w:val="20"/>
          <w:color w:val="auto"/>
        </w:rPr>
      </w:pPr>
    </w:p>
    <w:p>
      <w:pPr>
        <w:ind w:right="460" w:firstLine="749"/>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our product candidates.</w:t>
      </w:r>
    </w:p>
    <w:p>
      <w:pPr>
        <w:spacing w:after="0" w:line="158"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75"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AXS-12 received Orphan Drug Designation from the FDA for the treatment of narcolepsy. We may also seek Orphan Drug Designation for our other products, as appropriate.</w:t>
      </w:r>
    </w:p>
    <w:p>
      <w:pPr>
        <w:spacing w:after="0" w:line="162"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8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 FDA or the EMA/EC may, under certain conditions, grant orphan exclusivity to two different sponsors for the same compound or active molecule and for the same indication. For example, if another sponsor receives FDA approval for a reboxetine containing product for the treatment of narcolepsy before we obtain FDA approval for AXS-12 for the treatment of narcolepsy, we would be prevented from launching our product in the United States for this indication for a period of at least 7 years. In the EU, if another company is granted orphan exclusivity for a reboxetine containing product for the treatment of narcolepsy, we would be prevented from obtaining marketing authorization for AXS-12 for the treatment of narcolepsy for up to 10 years, which may be extended to 12 years under certain conditions. The EU Pharma Package will reduce the standard orphan exclusivity to 9 years, which may be extended to 11 years for certain products.</w:t>
      </w:r>
    </w:p>
    <w:p>
      <w:pPr>
        <w:spacing w:after="0" w:line="18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marketing, sales and distribution capabilities or enter into agreements with third parties to market, sell and distribute our products, we may be unable to generate significant product awareness and that lack of awareness may limit the product revenues that we generate.</w:t>
      </w:r>
    </w:p>
    <w:p>
      <w:pPr>
        <w:spacing w:after="0" w:line="17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We recently expanded our commercial infrastructure for the marketing, sale, and distribution of pharmaceutical products, which included the creation of a sales force to launch our commercial stage products throughout the United States. This effort requires additional compliance with a range of federal and state laws. Additionally, we currently commercialize SUNOSI outside the United States. Each global market we commercialize SUNOSI in has its own set of applicable laws.</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We have limited experience in the marketing, sale, and distribution of pharmaceutical products, and there are significant risks involved in the building and managing of a commercial infrastructure. We have to compete with other pharmaceutical and biotechnology companies to recruit, hire, train, manage, and retain marketing and sales personnel. In the event we are unable to maintain our marketing and sales infrastructure, we may not be able to successfully commercialize any of our existing commercial stage products or future product candidates, which would limit our ability to generate revenue. Factors that may inhibit our efforts to commercialize any of our products on our own include:</w:t>
      </w:r>
    </w:p>
    <w:p>
      <w:pPr>
        <w:spacing w:after="0" w:line="183"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inability to recruit, train, manage, and retain adequate numbers of effective sales and marketing personnel;</w:t>
      </w:r>
    </w:p>
    <w:p>
      <w:pPr>
        <w:spacing w:after="0" w:line="225" w:lineRule="exact"/>
        <w:rPr>
          <w:rFonts w:ascii="Times New Roman" w:cs="Times New Roman" w:eastAsia="Times New Roman" w:hAnsi="Times New Roman"/>
          <w:sz w:val="16"/>
          <w:szCs w:val="16"/>
          <w:color w:val="auto"/>
        </w:rPr>
      </w:pPr>
    </w:p>
    <w:p>
      <w:pPr>
        <w:ind w:left="760" w:right="200" w:hanging="378"/>
        <w:spacing w:after="0" w:line="282"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inability of sales personnel to obtain access to physicians or appropriately persuade adequate numbers of physicians to prescribe any of our current or future product candidates;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inability to effectively oversee a geographically dispersed sales and marketing team;</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application of federal and state drug distribution and supply chain requirements to our business;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costs associated with training sales and marketing personnel on legal and regulatory compliance matters and monitoring their actions;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 inability to secure adequate or any coverage and reimbursement by government and private health plans or other payers;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clinical indications and labeled claims for which the product is approved;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distribution and use restrictions imposed by the FDA or to which we agree as part of a mandatory REMS or voluntary risk management plan;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liability for sales or marketing personnel who fail to comply with the applicable legal and regulatory requirements;</w:t>
      </w:r>
    </w:p>
    <w:p>
      <w:pPr>
        <w:spacing w:after="0" w:line="225" w:lineRule="exact"/>
        <w:rPr>
          <w:rFonts w:ascii="Times New Roman" w:cs="Times New Roman" w:eastAsia="Times New Roman" w:hAnsi="Times New Roman"/>
          <w:sz w:val="16"/>
          <w:szCs w:val="16"/>
          <w:color w:val="auto"/>
        </w:rPr>
      </w:pPr>
    </w:p>
    <w:p>
      <w:pPr>
        <w:ind w:left="760" w:right="80" w:hanging="378"/>
        <w:spacing w:after="0" w:line="282"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6"/>
          <w:szCs w:val="16"/>
          <w:color w:val="auto"/>
        </w:rPr>
      </w:pPr>
    </w:p>
    <w:p>
      <w:pPr>
        <w:ind w:left="760" w:right="920" w:hanging="378"/>
        <w:spacing w:after="0" w:line="282" w:lineRule="auto"/>
        <w:tabs>
          <w:tab w:leader="none" w:pos="7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or engaging a contract sales organization.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If additional product candidates are approved, we may incur expenses prior to product launch in expanding our sales force and compliant marketing and sales infrastructure. If a commercial launch is delayed as a result of FDA requirements or other reasons, we may incur these expenses prior to being able to realize any revenue from sales of such product candidate(s). Furthermore, our sales force and marketing teams may not be successful in commercializing any of our current or future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 of our products do not achieve broad market acceptance, the revenues that we generate from their sales will be limited.</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products, and, if approved, our product candidates, may not gain acceptance among physicians, patients, third-party payors, or others in the medical community. If any of our products or product candidates, for which we obtain regulatory approval, do not gain an adequate level of market acceptance, we may not generate significant product revenues or become profitable. Market acceptance of any of our products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Physicians and their patients may likewise make decisions about therapies based on cost and insurance coverage and reimbursement. Further, patients often acclimate to the therapy that they are currently taking. While they may switch if their physicians recommend switching products, there is no guarantee. Additionally, they may also switch therapies due to lack of reimbursement for existing therapies or for other reasons. Even if physicians prescribe our products, third-party payors may not provide coverage, such as if they may not consider our products cost effective without a significant price concession, and, even when coverage is provided, may not provide adequate reimbursement, which in each such case could negatively impact our revenue. Third-party payors may also implement onerous access controls, which could further impede our efforts to effectively transition eligible patients to our therapies.</w:t>
      </w:r>
    </w:p>
    <w:p>
      <w:pPr>
        <w:spacing w:after="0" w:line="192"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our products may require significant resources and may not be successful. If our products or any of our product candidates that are approved do not achieve an adequate level of market acceptance, we may not generate significant revenues, and we may not become profitable. Even if the medical community accepts that one of our product candidates is safe and effective for its approved indications and third-party payors provide coverage and reimbursement for the same, physicians and patients may not immediately be receptive to such product candidate and may be slow to adopt it as an accepted treatment of the approved indication or may not accept it at all. It is unlikely that any labeling approved by the FDA will contain claims that one of our product candidates is safer or more effective than competitive products or will permit us to promote such product candidate as being superior to competing products. The degree of market acceptance of any of our products will depend on a number of factors, including:</w:t>
      </w:r>
    </w:p>
    <w:p>
      <w:pPr>
        <w:spacing w:after="0" w:line="192"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efficacy of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prevalence and severity of adverse events associated with such product;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clinical indications for which the product is approved and the approved claims that we may make for the product;</w:t>
      </w:r>
    </w:p>
    <w:p>
      <w:pPr>
        <w:spacing w:after="0" w:line="184" w:lineRule="exact"/>
        <w:rPr>
          <w:rFonts w:ascii="Times New Roman" w:cs="Times New Roman" w:eastAsia="Times New Roman" w:hAnsi="Times New Roman"/>
          <w:sz w:val="16"/>
          <w:szCs w:val="16"/>
          <w:color w:val="auto"/>
        </w:rPr>
      </w:pPr>
    </w:p>
    <w:p>
      <w:pPr>
        <w:ind w:left="760" w:right="700" w:hanging="378"/>
        <w:spacing w:after="0" w:line="245" w:lineRule="exact"/>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limitations or warnings contained in the product’s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labeling, including potential limitations or warnings for such product candidate, that may be more restrictive than other competitive products;</w:t>
      </w:r>
    </w:p>
    <w:p>
      <w:pPr>
        <w:spacing w:after="0" w:line="198" w:lineRule="exact"/>
        <w:rPr>
          <w:rFonts w:ascii="Times New Roman" w:cs="Times New Roman" w:eastAsia="Times New Roman" w:hAnsi="Times New Roman"/>
          <w:sz w:val="16"/>
          <w:szCs w:val="16"/>
          <w:color w:val="auto"/>
        </w:rPr>
      </w:pPr>
    </w:p>
    <w:p>
      <w:pPr>
        <w:ind w:left="760" w:right="200" w:hanging="378"/>
        <w:spacing w:after="0" w:line="282"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relative convenience and ease of administration of such product;</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 of treatment versus economic and clinical benefit in relation to alternative treatments or therapies;</w:t>
      </w:r>
    </w:p>
    <w:p>
      <w:pPr>
        <w:spacing w:after="0" w:line="225" w:lineRule="exact"/>
        <w:rPr>
          <w:rFonts w:ascii="Times New Roman" w:cs="Times New Roman" w:eastAsia="Times New Roman" w:hAnsi="Times New Roman"/>
          <w:sz w:val="16"/>
          <w:szCs w:val="16"/>
          <w:color w:val="auto"/>
        </w:rPr>
      </w:pPr>
    </w:p>
    <w:p>
      <w:pPr>
        <w:ind w:left="760" w:right="580" w:hanging="378"/>
        <w:spacing w:after="0" w:line="282" w:lineRule="auto"/>
        <w:tabs>
          <w:tab w:leader="none" w:pos="7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availability of adequate coverage or reimbursement by third parties, such as insurance companies and other healthcare payors, and by government healthcare programs, including Medicare and Medicaid;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willingness of third-party payors to prefer other products, even if not approved for our product’s indication;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extent and strength of our marketing and distribution of such product;</w:t>
      </w:r>
    </w:p>
    <w:p>
      <w:pPr>
        <w:spacing w:after="0" w:line="225" w:lineRule="exact"/>
        <w:rPr>
          <w:rFonts w:ascii="Times New Roman" w:cs="Times New Roman" w:eastAsia="Times New Roman" w:hAnsi="Times New Roman"/>
          <w:sz w:val="16"/>
          <w:szCs w:val="16"/>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Times New Roman" w:cs="Times New Roman" w:eastAsia="Times New Roman" w:hAnsi="Times New Roman"/>
          <w:sz w:val="16"/>
          <w:szCs w:val="16"/>
          <w:color w:val="auto"/>
        </w:rPr>
      </w:pPr>
    </w:p>
    <w:p>
      <w:pPr>
        <w:ind w:left="760" w:right="620" w:hanging="378"/>
        <w:spacing w:after="0" w:line="282" w:lineRule="auto"/>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distribution and use restrictions imposed by the FDA with respect to such product or to which we agree as part of a mandatory REMS or voluntary risk management plan;</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timing of market introduction of such product, as well as competitive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offer such product candidate for sale at competitive prices, including prices that are competitive with generic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84" w:lineRule="exact"/>
        <w:rPr>
          <w:rFonts w:ascii="Times New Roman" w:cs="Times New Roman" w:eastAsia="Times New Roman" w:hAnsi="Times New Roman"/>
          <w:sz w:val="16"/>
          <w:szCs w:val="16"/>
          <w:color w:val="auto"/>
        </w:rPr>
      </w:pPr>
    </w:p>
    <w:p>
      <w:pPr>
        <w:ind w:left="760" w:hanging="378"/>
        <w:spacing w:after="0" w:line="207" w:lineRule="exact"/>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extent and strength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 and supplier support;</w:t>
      </w:r>
    </w:p>
    <w:p>
      <w:pPr>
        <w:spacing w:after="0" w:line="26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approval of other new products for the same indications;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160" w:firstLine="749"/>
        <w:spacing w:after="0" w:line="219" w:lineRule="exact"/>
        <w:rPr>
          <w:sz w:val="20"/>
          <w:szCs w:val="20"/>
          <w:color w:val="auto"/>
        </w:rPr>
      </w:pPr>
      <w:r>
        <w:rPr>
          <w:rFonts w:ascii="Times New Roman" w:cs="Times New Roman" w:eastAsia="Times New Roman" w:hAnsi="Times New Roman"/>
          <w:sz w:val="18"/>
          <w:szCs w:val="18"/>
          <w:color w:val="auto"/>
        </w:rPr>
        <w:t>The potential market opportunities for our products and/or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99"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potential product liability exposure, and if successful claims are brought against us, we may incur substantial liability and may have to limit our products’ commercialization.</w:t>
      </w:r>
    </w:p>
    <w:p>
      <w:pPr>
        <w:spacing w:after="0" w:line="15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use of any of our current or future product candidates in clinical trials, and the sale of any of our products exposes us to the risk of product liability claims. We face inherent risk of product liability related to the testing of our product candidates in human clinical trials and face an even greater risk for our commercialized products. For example, we may be sued if any products we develop allegedly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products. Even successful defense would require significant financial and management resources. Regardless of merit or eventual outcome, liability claims may result in loss of revenue, including from:</w:t>
      </w:r>
    </w:p>
    <w:p>
      <w:pPr>
        <w:spacing w:after="0" w:line="188"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decreased demand for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impairment of our business reputation or financial stability;</w:t>
      </w: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related litigation;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substantial monetary awards to patients or other claimants;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diversion of management attention;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loss of revenues;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withdrawal of clinical trial participants and potential termination of clinical trial sites or entire clinical programs;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significant negative media attention;</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decrease in our stock price;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initiation of investigations and enforcement actions by regulators;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25" w:lineRule="exact"/>
        <w:rPr>
          <w:sz w:val="20"/>
          <w:szCs w:val="20"/>
          <w:color w:val="auto"/>
        </w:rPr>
      </w:pPr>
    </w:p>
    <w:p>
      <w:pPr>
        <w:ind w:right="260" w:firstLine="749"/>
        <w:spacing w:after="0" w:line="255" w:lineRule="auto"/>
        <w:rPr>
          <w:sz w:val="20"/>
          <w:szCs w:val="20"/>
          <w:color w:val="auto"/>
        </w:rPr>
      </w:pPr>
      <w:r>
        <w:rPr>
          <w:rFonts w:ascii="Times New Roman" w:cs="Times New Roman" w:eastAsia="Times New Roman" w:hAnsi="Times New Roman"/>
          <w:sz w:val="18"/>
          <w:szCs w:val="18"/>
          <w:color w:val="auto"/>
        </w:rPr>
        <w:t>We have obtained limited product liability insurance coverage for our products and our clinical trials.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8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SUNOSI is a controlled substance and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SUNOSI contains controlled substances as defined in the Federal Controlled Substances Act, or CSA. Controlled substances are subject to a number of requirements and restrictions under the CSA and implementing regulations, including certain registration, security, recordkeeping, reporting, import, export and other requirements administered by the U.S. Drug Enforcement Administration, or DEA. The DEA classifies controlled substances into five schedules: Schedule I, II, III, IV or V substances. Schedule I substances by definition have a high potential for abuse, have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further restricted. For example, they may not be refilled without a new prescription. SUNOSI is a Schedule IV controlled substance.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18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inspections periodically or as needed of certain registered establishments that handle controlled substances. Obtaining and maintaining the necessary registrations and complying with the regulatory obligations may result in delay of the importation, manufacturing, distribution or clinical research of our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 Any penalties imposed by the DEA to us or our third-party manufacturers could have a material adverse effect on our business, results of operations, financial condition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perform many essential services for our products and product candidates, including services related to our preclinical studies and clinical trials, warehousing and inventory control, distribution, government price reporting, customer service, and adverse event reporting. If these third parties fail to perform satisfactorily, including by failing to meet deadlines for the completion of our preclinical studies and clinical trials, or fail to comply with legal and regulatory requirements, our ability to commercialize any of our products will be significantly impacted and we may be subject to regulatory sanctions.</w:t>
      </w:r>
    </w:p>
    <w:p>
      <w:pPr>
        <w:spacing w:after="0" w:line="142" w:lineRule="exact"/>
        <w:rPr>
          <w:sz w:val="20"/>
          <w:szCs w:val="20"/>
          <w:color w:val="auto"/>
        </w:rPr>
      </w:pPr>
    </w:p>
    <w:p>
      <w:pPr>
        <w:ind w:firstLine="749"/>
        <w:spacing w:after="0" w:line="224" w:lineRule="exact"/>
        <w:rPr>
          <w:sz w:val="20"/>
          <w:szCs w:val="20"/>
          <w:color w:val="auto"/>
        </w:rPr>
      </w:pPr>
      <w:r>
        <w:rPr>
          <w:rFonts w:ascii="Times New Roman" w:cs="Times New Roman" w:eastAsia="Times New Roman" w:hAnsi="Times New Roman"/>
          <w:sz w:val="18"/>
          <w:szCs w:val="18"/>
          <w:color w:val="auto"/>
        </w:rPr>
        <w:t>We rely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parties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198"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development activities will reduce our control over these activities. Nevertheless, we are responsible for ensuring that each of our studies is conducted in accordance with applicable protocol, legal, regulatory,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GLP as appropriate. Moreover, the FDA and comparable foreign regulatory authorities require us to comply with standards, such as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the third parties we engage fail to comply with applicable GCP, we, or those third parties, may be subject to enforcement or other legal actions, the clinical data generated in our clinical trials may be deemed unreliable and the FDA or comparable foreign regulatory authorities may require us to perform additional clinical trials.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when we submit an NDA for review, we are required to report certain financial interests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98"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cannot assure you that upon inspection by a given regulatory authority, such regulatory authority will determine that any of our clinical trials comply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 sponsored database, ClinicalTrials.gov, within specified timeframes. Failure to do so or to meet the related submission requirements can result in enforcement actions, including civil monetary penalties and adverse publicity.</w:t>
      </w:r>
    </w:p>
    <w:p>
      <w:pPr>
        <w:spacing w:after="0" w:line="18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Third parties we engage to conduct research may also have relationships with other entities, some of which may be our competitors, for whom they may also be conducting clinical trials or other drug development activities that could harm our competitive position. In addition, these third parties are not our employees, and except for remedies available to us under our agreements with such third parties, we cannot control whether or not they devote sufficient time and resources to our ongoing clinical, non-clinical,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materially and adversely affected.</w:t>
      </w:r>
    </w:p>
    <w:p>
      <w:pPr>
        <w:spacing w:after="0" w:line="19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resources or to do so on commercially reasonable terms. Switching or adding additional third parties involves additional cost and requires management time and focus. In addition, there is a natural transition period when a new third party commences work. As a result, delays could occur, which could compromise our ability to meet our desired development timelines. Though we carefully manage our relationships with these third-party vendors,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8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manufacturers upon whom we rely fail to produce our products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75"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do not manufacture any of our products, and we do not currently plan to develop any capacity to do so. We currently outsource all manufacturing of our products to third parties typically without any guarantee that there will be sufficient supplies to fulfill our requirements or that we may obtain such supplies on acceptable terms. Any delays in obtaining adequate supplies with respect to our products may delay or disrupt the development or commercialization of our products. Moreover, we do not yet in all cases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22" w:lineRule="exact"/>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existing or future products and programs. Our products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for us to meet commercial demand or to advance our clinical trials while we identify and qualify replacement suppliers. If, for any reason we are unable to obtain adequate supplies of our products or the drug substances used to manufacture them, it will be more difficult for us to develop our products and compete effectively. Further, even if we do establish such collaborations or arrangements,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breach, terminate, or not renew these agreements.</w:t>
      </w:r>
    </w:p>
    <w:p>
      <w:pPr>
        <w:spacing w:after="0" w:line="130" w:lineRule="exact"/>
        <w:rPr>
          <w:sz w:val="20"/>
          <w:szCs w:val="20"/>
          <w:color w:val="auto"/>
        </w:rPr>
      </w:pPr>
    </w:p>
    <w:p>
      <w:pPr>
        <w:ind w:right="20" w:firstLine="749"/>
        <w:spacing w:after="0" w:line="223" w:lineRule="exact"/>
        <w:rPr>
          <w:sz w:val="20"/>
          <w:szCs w:val="20"/>
          <w:color w:val="auto"/>
        </w:rPr>
      </w:pPr>
      <w:r>
        <w:rPr>
          <w:rFonts w:ascii="Times New Roman" w:cs="Times New Roman" w:eastAsia="Times New Roman" w:hAnsi="Times New Roman"/>
          <w:sz w:val="18"/>
          <w:szCs w:val="18"/>
          <w:color w:val="auto"/>
        </w:rPr>
        <w:t>Any problems or delays we experience in preparing for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98" w:lineRule="exact"/>
        <w:rPr>
          <w:sz w:val="20"/>
          <w:szCs w:val="20"/>
          <w:color w:val="auto"/>
        </w:rPr>
      </w:pPr>
    </w:p>
    <w:p>
      <w:pPr>
        <w:ind w:right="120" w:firstLine="749"/>
        <w:spacing w:after="0" w:line="219" w:lineRule="exact"/>
        <w:rPr>
          <w:sz w:val="20"/>
          <w:szCs w:val="20"/>
          <w:color w:val="auto"/>
        </w:rPr>
      </w:pPr>
      <w:r>
        <w:rPr>
          <w:rFonts w:ascii="Times New Roman" w:cs="Times New Roman" w:eastAsia="Times New Roman" w:hAnsi="Times New Roman"/>
          <w:sz w:val="18"/>
          <w:szCs w:val="18"/>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addition, all manufacturers of our products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products, other than through our contractual arrangements, we have little control over our manufacturers’ compliance with these regulations and standards. If the FDA or a comparable foreign regulatory authority does not approve these facilities for the manufacture of our products or if it withdraws any such approval in the future, we may need to find alternative manufacturing facilities, which would significantly impact our ability to develop or market our products, or obtain regulatory approval for, our product candidates. A failure to comply with these requirements may result in regulatory enforcement actions against our manufacturers or us, including fines and civil and criminal penalties, including imprisonment; suspension or restrictions on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FCA; corporate integrity agreements; consent decrees; or withdrawal of product approval. If the safety of any quantities supplied is compromised due to our manufacturers’ failure to adhere to applicable laws or for other reasons, we may not be able to obtain regulatory approval for our product candidates or successfully commercialize our products.</w:t>
      </w:r>
    </w:p>
    <w:p>
      <w:pPr>
        <w:spacing w:after="0" w:line="191"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Any failure or refusal to supply our products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76"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NDA applicant and commercial “virtual manufacturer,” we may rely in many cases on third parties to perform many essential services for our products, including services related to warehousing and inventory control, distribution, government price reporting, customer service, and adverse event reporting. If these third parties fail to perform as expected or to comply with legal and regulatory requirements, our ability to commercialize any of our products will be significantly impacted and we may be subject to regulatory sanctions.</w:t>
      </w:r>
    </w:p>
    <w:p>
      <w:pPr>
        <w:spacing w:after="0" w:line="180"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retained third-party service providers to perform a variety of functions related to the sale and distribution of our products, key aspects of which are out of our direct control. These service providers provide key services related to warehousing and inventory control, distribution, government price reporting, and customer service, and, as a result, much of our inventory is stored at a single warehouse maintained by one such service provider. We substantially rely on this service provider as well as other third-party providers that perform services for us, including entrusting our inventories of products to their care and handling. If these third-party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 Moreover, these agreements might terminate for a variety of reasons. If we fail to enter into alternative arrangements, this could further delay the commercialization of our products and adversely affect our business.</w:t>
      </w:r>
    </w:p>
    <w:p>
      <w:pPr>
        <w:spacing w:after="0" w:line="188"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addition, we may engage third parties to perform various other services for us relating to adverse event reporting, safety database management, fulfillment of requests for medical information regarding our products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 which could expose us to significant FCA liability and other civil monetary penalties.</w:t>
      </w:r>
    </w:p>
    <w:p>
      <w:pPr>
        <w:spacing w:after="0" w:line="17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business model is to commercialize our product candidates in the United States, and we may either commercialize products outside the United States ourselves or collaborate with pharmaceutical or biotechnology companies, or academic institutions, for the development or commercialization of our product candidates in the rest of the world. For example, we currently commercialize SUNOSI in Canada. In February 2023, we announced a licensing transaction with Pharmanovia to market SUNOSI in Europe and certain countries in the Middle East / North Africa.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relied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192"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We may license the right to market and sell our products under our collaborators’ labeler codes. Alternatively, we may enter into agreements with collaborators to market and sell our products under our own labeler code, in which case errors and omissions by collaborators in capturing and transmitting transactional data may impact the accuracy of our government price reporting.</w:t>
      </w:r>
    </w:p>
    <w:p>
      <w:pPr>
        <w:spacing w:after="0" w:line="176"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76" w:lineRule="exact"/>
        <w:rPr>
          <w:sz w:val="20"/>
          <w:szCs w:val="20"/>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6"/>
          <w:szCs w:val="16"/>
          <w:color w:val="auto"/>
        </w:rPr>
      </w:pPr>
    </w:p>
    <w:p>
      <w:pPr>
        <w:ind w:left="760" w:right="20" w:hanging="378"/>
        <w:spacing w:after="0" w:line="266"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not pursue development and commercialization of any product candidates which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75" w:lineRule="exact"/>
        <w:rPr>
          <w:rFonts w:ascii="Times New Roman" w:cs="Times New Roman" w:eastAsia="Times New Roman" w:hAnsi="Times New Roman"/>
          <w:sz w:val="16"/>
          <w:szCs w:val="16"/>
          <w:color w:val="auto"/>
        </w:rPr>
      </w:pPr>
    </w:p>
    <w:p>
      <w:pPr>
        <w:ind w:left="760" w:right="680" w:hanging="378"/>
        <w:spacing w:after="0" w:line="282"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could fail to make timely regulatory submissions for a product candidate;</w:t>
      </w:r>
    </w:p>
    <w:p>
      <w:pPr>
        <w:spacing w:after="0" w:line="225" w:lineRule="exact"/>
        <w:rPr>
          <w:rFonts w:ascii="Times New Roman" w:cs="Times New Roman" w:eastAsia="Times New Roman" w:hAnsi="Times New Roman"/>
          <w:sz w:val="16"/>
          <w:szCs w:val="16"/>
          <w:color w:val="auto"/>
        </w:rPr>
      </w:pPr>
    </w:p>
    <w:p>
      <w:pPr>
        <w:ind w:left="760" w:right="400" w:hanging="378"/>
        <w:spacing w:after="0" w:line="282"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Times New Roman" w:cs="Times New Roman" w:eastAsia="Times New Roman" w:hAnsi="Times New Roman"/>
          <w:sz w:val="16"/>
          <w:szCs w:val="16"/>
          <w:color w:val="auto"/>
        </w:rPr>
      </w:pPr>
    </w:p>
    <w:p>
      <w:pPr>
        <w:ind w:left="760" w:right="80" w:hanging="378"/>
        <w:spacing w:after="0" w:line="266" w:lineRule="auto"/>
        <w:tabs>
          <w:tab w:leader="none" w:pos="7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right="140" w:hanging="378"/>
        <w:spacing w:after="0" w:line="282"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1" w:lineRule="exact"/>
        <w:rPr>
          <w:rFonts w:ascii="Times New Roman" w:cs="Times New Roman" w:eastAsia="Times New Roman" w:hAnsi="Times New Roman"/>
          <w:sz w:val="16"/>
          <w:szCs w:val="16"/>
          <w:color w:val="auto"/>
        </w:rPr>
      </w:pPr>
    </w:p>
    <w:p>
      <w:pPr>
        <w:ind w:left="760" w:right="120" w:hanging="378"/>
        <w:spacing w:after="0" w:line="282"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1" w:lineRule="exact"/>
        <w:rPr>
          <w:rFonts w:ascii="Times New Roman" w:cs="Times New Roman" w:eastAsia="Times New Roman" w:hAnsi="Times New Roman"/>
          <w:sz w:val="16"/>
          <w:szCs w:val="16"/>
          <w:color w:val="auto"/>
        </w:rPr>
      </w:pPr>
    </w:p>
    <w:p>
      <w:pPr>
        <w:ind w:left="760" w:right="320" w:hanging="378"/>
        <w:spacing w:after="0" w:line="261" w:lineRule="auto"/>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79" w:lineRule="exact"/>
        <w:rPr>
          <w:rFonts w:ascii="Times New Roman" w:cs="Times New Roman" w:eastAsia="Times New Roman" w:hAnsi="Times New Roman"/>
          <w:sz w:val="16"/>
          <w:szCs w:val="16"/>
          <w:color w:val="auto"/>
        </w:rPr>
      </w:pPr>
    </w:p>
    <w:p>
      <w:pPr>
        <w:jc w:val="both"/>
        <w:ind w:left="760" w:right="280" w:hanging="378"/>
        <w:spacing w:after="0" w:line="312" w:lineRule="auto"/>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39" w:lineRule="exact"/>
        <w:rPr>
          <w:rFonts w:ascii="Times New Roman" w:cs="Times New Roman" w:eastAsia="Times New Roman" w:hAnsi="Times New Roman"/>
          <w:sz w:val="15"/>
          <w:szCs w:val="15"/>
          <w:color w:val="auto"/>
        </w:rPr>
      </w:pPr>
    </w:p>
    <w:p>
      <w:pPr>
        <w:ind w:left="760" w:hanging="378"/>
        <w:spacing w:after="0"/>
        <w:tabs>
          <w:tab w:leader="none" w:pos="76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0"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5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Market exclusivity awarded by the FDA upon the approval of an NDA is limited in scope and duration. For example, our New Chemical Entity exclusivity for SUNOSI expired on June 17, 2024 with an Orphan Drug Exclusivity relating to the product’s narcolepsy indication expiring on June 17, 2026. For AUVELITY, the New Product Exclusivity expires on August 18, 2025. Neither of these expiry dates take into account the effect of the statutory 30-month stay should we timely commence litigation against any generic filer. A generic filer may be permitted to launch a generic version of either of our products following expiry of these exclusivities if our patents do not preclude a generic launch. Patent litigation is inherently uncertain, and we cannot guarantee the outcome of any such proceedings, that we would succeed in stopping the “at risk” launch of a generic version of either of our currently commercialized products during the pendency of litigation following expiry of the 30-month stay, or that we would commence such proceedings. Such a generic launch could materially impact our commercial success.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We seek to protect intellectual property relating to our products and portfolio products by prosecuting patents in the United States and elsewhere. The patent prosecution process is expensive and time consuming, and we may not be able to and/or may choose not to file, prosecute, and maintain all necessary or desirable patent applications at a reasonable cost or in a timely manner. It is also possible that we will fail to identify patentable aspects of our research and development output before it is too late to obtain patent protection, or that we may choose not to pursue patent protection for all patentable aspects identified.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maintained,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reliably or accurately predict the breadth of claims that may be allowed or enforced in our patents and patent applications or in third party patents and patent applications. Further, the degree of future protection for our proprietary rights is uncertain, for example,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195" w:lineRule="exact"/>
        <w:rPr>
          <w:sz w:val="20"/>
          <w:szCs w:val="20"/>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have been the first to conceive of and reduce to practice the inventions covered by each of our pending patent applications and issued patents;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have been the first to file patent applications for these inventions;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others may independently develop similar or alternative technologies or duplicate any of our product candidates or technologies;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it is possible that none of the pending patent applications will result in issued patents;</w:t>
      </w:r>
    </w:p>
    <w:p>
      <w:pPr>
        <w:spacing w:after="0" w:line="225" w:lineRule="exact"/>
        <w:rPr>
          <w:rFonts w:ascii="Times New Roman" w:cs="Times New Roman" w:eastAsia="Times New Roman" w:hAnsi="Times New Roman"/>
          <w:sz w:val="16"/>
          <w:szCs w:val="16"/>
          <w:color w:val="auto"/>
        </w:rPr>
      </w:pPr>
    </w:p>
    <w:p>
      <w:pPr>
        <w:ind w:left="760" w:right="500" w:hanging="378"/>
        <w:spacing w:after="0" w:line="266"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issued patents may not cover commercially viable active products, may not provide us with any competitive advantages, or may be successfully challenged by third parties, and we may not have a continuing application (e.g., divisional, continuation, continuation-in-part) pending that covers the relevant subject matter;</w:t>
      </w:r>
    </w:p>
    <w:p>
      <w:pPr>
        <w:spacing w:after="0" w:line="17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patents of others may have an adverse effect on our business;</w:t>
      </w:r>
    </w:p>
    <w:p>
      <w:pPr>
        <w:spacing w:after="0" w:line="225" w:lineRule="exact"/>
        <w:rPr>
          <w:rFonts w:ascii="Times New Roman" w:cs="Times New Roman" w:eastAsia="Times New Roman" w:hAnsi="Times New Roman"/>
          <w:sz w:val="16"/>
          <w:szCs w:val="16"/>
          <w:color w:val="auto"/>
        </w:rPr>
      </w:pPr>
    </w:p>
    <w:p>
      <w:pPr>
        <w:ind w:left="760" w:right="60" w:hanging="378"/>
        <w:spacing w:after="0" w:line="266"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75" w:lineRule="exact"/>
        <w:rPr>
          <w:rFonts w:ascii="Times New Roman" w:cs="Times New Roman" w:eastAsia="Times New Roman" w:hAnsi="Times New Roman"/>
          <w:sz w:val="16"/>
          <w:szCs w:val="16"/>
          <w:color w:val="auto"/>
        </w:rPr>
      </w:pPr>
    </w:p>
    <w:p>
      <w:pPr>
        <w:ind w:left="760" w:right="140" w:hanging="378"/>
        <w:spacing w:after="0" w:line="266"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products and potential product candidates; or</w:t>
      </w:r>
    </w:p>
    <w:p>
      <w:pPr>
        <w:spacing w:after="0" w:line="175" w:lineRule="exact"/>
        <w:rPr>
          <w:rFonts w:ascii="Times New Roman" w:cs="Times New Roman" w:eastAsia="Times New Roman" w:hAnsi="Times New Roman"/>
          <w:sz w:val="16"/>
          <w:szCs w:val="16"/>
          <w:color w:val="auto"/>
        </w:rPr>
      </w:pPr>
    </w:p>
    <w:p>
      <w:pPr>
        <w:ind w:left="760" w:right="100" w:hanging="378"/>
        <w:spacing w:after="0" w:line="266" w:lineRule="auto"/>
        <w:tabs>
          <w:tab w:leader="none" w:pos="7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expiration of a utility patent is typically 20 years from the date that the application for the patent is filed or 20 years from the earliest non-provisional filing date to which priority is claimed if the patent is granted from a continuing application (e.g., continuation, divisional, or continuation-in-part).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and regulatory review.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18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 Future patent reform legislation in the U.S. and/or in jurisdictions outside the U.S. could potentially further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36" w:lineRule="exact"/>
        <w:rPr>
          <w:sz w:val="20"/>
          <w:szCs w:val="20"/>
          <w:color w:val="auto"/>
        </w:rPr>
      </w:pPr>
    </w:p>
    <w:p>
      <w:pPr>
        <w:ind w:firstLine="749"/>
        <w:spacing w:after="0" w:line="218"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patent agencies for the patents and patent applications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5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Our ability to develop, manufacture, market, and sell any of our products depends upon our ability to avoid infringing the proprietary rights of third parties, and our commercial success depends upon our ability, and the ability of our collaborators, to develop, manufacture, market, and/or sell our products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take time to publish and can take many years to issue, and because there is no way to guarantee we are aware of all third party patents and applications, there may be currently pending applications, unknown to us, which may later result in issued patents that any of our current or future products may infringe. There could also be existing patents of which we are not aware that any of our current or future products may inadvertently infringe.</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a third party claims that we infringe their intellectual property rights, we could face a number of issues, including:</w:t>
      </w:r>
    </w:p>
    <w:p>
      <w:pPr>
        <w:spacing w:after="0" w:line="225" w:lineRule="exact"/>
        <w:rPr>
          <w:sz w:val="20"/>
          <w:szCs w:val="20"/>
          <w:color w:val="auto"/>
        </w:rPr>
      </w:pPr>
    </w:p>
    <w:p>
      <w:pPr>
        <w:ind w:left="760" w:right="180" w:hanging="378"/>
        <w:spacing w:after="0" w:line="282"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infringement and other intellectual property claims which, whether meritorious or not, can be expensive and time consuming to litigate and can divert management’s attention from our core business;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substantial damages for past infringement which we may have to pay if a court decides that our product infringes on a competitor’s patent;</w:t>
      </w:r>
    </w:p>
    <w:p>
      <w:pPr>
        <w:spacing w:after="0" w:line="225" w:lineRule="exact"/>
        <w:rPr>
          <w:rFonts w:ascii="Times New Roman" w:cs="Times New Roman" w:eastAsia="Times New Roman" w:hAnsi="Times New Roman"/>
          <w:sz w:val="16"/>
          <w:szCs w:val="16"/>
          <w:color w:val="auto"/>
        </w:rPr>
      </w:pPr>
    </w:p>
    <w:p>
      <w:pPr>
        <w:ind w:left="760" w:right="260" w:hanging="378"/>
        <w:spacing w:after="0" w:line="282" w:lineRule="auto"/>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 court prohibiting us from selling or licensing our product unless the patent holder licenses the patent to us, which it would not be required to do;</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if a license is available from a patent holder, we may have to pay substantial royalties or grant cross licenses to our patents;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redesigning our products and processes so they do not infringe, which may not be possible or could require substantial funds and time.</w:t>
      </w:r>
    </w:p>
    <w:p>
      <w:pPr>
        <w:spacing w:after="0" w:line="225"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Competitors may infringe our issued patents, our in-licensed patents, or other intellectual property that we own or in-license.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and/or to challenge the validity of the asserted patent(s) before a court or the USPTO (e.g., in post-grant proceedings such as Inter Partes Review before the Patent Trial and Appeal Board (PTAB) of the USPTO). In addition, in a patent infringement or validity proceeding, a decision maker (e.g., a court or the PTAB) may decide that a patent of ours is invalid or unenforceable, in whole or in part; construe the patent’s claims narrowly; or refuse to stop the other party from using the technology at issue on the grounds that our patents do not cover the technology in question. Any litigation proceeding or related proceeding at the USPTO could have adverse results, putting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2"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Many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76" w:lineRule="exact"/>
        <w:rPr>
          <w:sz w:val="20"/>
          <w:szCs w:val="20"/>
          <w:color w:val="auto"/>
        </w:rPr>
      </w:pPr>
    </w:p>
    <w:p>
      <w:pPr>
        <w:jc w:val="both"/>
        <w:ind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36"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January 2020, we entered into an agreement with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$97.54,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products in the United States and to seek and maintain regulatory approvals for the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92"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we entered into three exclusive license agreements with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paid-up, royalty-free, perpetual non-exclusive license. If Antecip terminates any of the agreements for cause, or if we exercise our right to terminate any of the agreements for convenience, the rights granted to us under such terminated agreement will revert to Antecip. We are dependent upon the license agreements with Antecip and if any of the license agreements with Antecip are terminated for any reason, our business, financial condition, results of operations, and prospects will be materially harmed.</w:t>
      </w:r>
    </w:p>
    <w:p>
      <w:pPr>
        <w:spacing w:after="0" w:line="19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in addition to the upfront purchase price, we assumed certain liabilities in connection with the Acquisition and agreed to make non-refundable, non-creditable royalty payments to Jazz on U.S. net sales. There are no royalty payments due to Jazz for net sales outside of the U.S. In addition, we assumed all of the commitments of Jazz to SK and Aerial. The assumed commitments to SK and Aerial include single-digit tiered royalties and certain sales and development milestones. We are dependent on these agreements, and if we breach these agreements, our business, financial condition, results of operations, and prospects will be materially harmed.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42" w:lineRule="auto"/>
        <w:rPr>
          <w:sz w:val="20"/>
          <w:szCs w:val="20"/>
          <w:color w:val="auto"/>
        </w:rPr>
      </w:pPr>
      <w:r>
        <w:rPr>
          <w:rFonts w:ascii="Times New Roman" w:cs="Times New Roman" w:eastAsia="Times New Roman" w:hAnsi="Times New Roman"/>
          <w:sz w:val="18"/>
          <w:szCs w:val="18"/>
          <w:color w:val="auto"/>
        </w:rPr>
        <w:t>In November 2025, we acquired all the outstanding shares of Baergic. The acquisition provided global rights to AZD7325 (AXS-17), an oral GABA</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8"/>
          <w:szCs w:val="18"/>
          <w:color w:val="auto"/>
        </w:rPr>
        <w:t xml:space="preserve">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19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In December 2025, we acquired the global rights to deuterium-stabilized S-bupropion from DeuteRx. DeuteRx is eligible to receive contingent development, regulatory and sales-based milestones of up to $523 million and a tiered low single-digit royalty on potential global net sales.</w:t>
      </w:r>
    </w:p>
    <w:p>
      <w:pPr>
        <w:spacing w:after="0" w:line="158"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prevent disclosure of trade secrets and other proprietary information.</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We rely on trade secrets to protect our proprietary technological advances and know 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proprietary information and may not provide an adequate remedy in the event of unauthorized disclosure of proprietary information. Costly and time 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our licensors, may not be able to protect our intellectual property rights throughout the world.</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 applications and patents on products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enforcing,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and/or our licensors’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COMPLIANCE MATTERS</w:t>
      </w:r>
    </w:p>
    <w:p>
      <w:pPr>
        <w:spacing w:after="0" w:line="225"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state, and foreign healthcare laws, including laws governing fraud and abuse, transparency, health and data protection, information privacy and security, we could face substantial penalties and liabilities, and our business, financial condition, results of operations, and prospects could be adversely affected.</w:t>
      </w:r>
    </w:p>
    <w:p>
      <w:pPr>
        <w:spacing w:after="0" w:line="175"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As a pharmaceutical company, we are subject to many federal and state healthcare laws, including those described in the “Business— Government Regulation and Product Approval” section of this Annual Report on Form 10-K, such laws may include the federal Anti-Kickback Statute, the federal civil and criminal FCA, the CMP Law, the Medicaid Drug Rebate Statute and other price reporting requirements, the Veterans Health Care Act of 1992, the Sunshine Act, HIPAA, the FCPA, the ACA, and other state and foreign laws. Even though we do not and will not control referrals of healthcare services or bill directly to Medicare, Medicaid, or other third-party payors, certain federal and state healthcare laws and regulations pertaining to fraud and abuse, disclosures, and patients’ rights are and will be applicable to our business. We are subject to healthcare laws by both the federal government and the states in which we conduct our business as well as by other third parties, such as patients.</w:t>
      </w:r>
    </w:p>
    <w:p>
      <w:pPr>
        <w:spacing w:after="0" w:line="18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There are numerous other laws and legislative and regulatory initiatives at the federal and state levels addressing privacy and security concerns, and some state privacy and security laws apply in broader circumstances than HIPAA and its implementing regulations. For example, the California Consumer Privacy Act, or CCPA, which went into effect on January 1, 2020, and was subsequently amended and expanded by the California Privacy Rights Act, or CPRA, taking full effect as of January 1, 2023, including the CPRA’s expansion of the “Right to Know” that impacts personal information collected on or after January 1, 2022. The CCPA and CPRA, among other things, create new data privacy obligations for covered companies and provide new privacy rights to California residents, including the right to opt out of certain disclosures of their information. The CCPA also created a private right of action with statutory damages for certain data breaches, thereby potentially increasing risks associated with a data breach. Additional modifications may continue to be made to the CCPA and CPRA by the California legislature and their interpretation by regulators may continue to evolve. Since the passage of the CCPA, certain other states have passed similar laws that may also have similar impacts on our data processing practices and incurred costs. Some of these state laws or amendments to these laws are continuing to take effect, and we cannot predict if states will subsequently amend those laws, if other states will pass similar laws, or the costs and expenses that we will incur to comply with such laws. Therefore, the effects of these state data protection laws are significant and will likely require us to modify our data processing practices and may cause us to incur substantial costs and expenses to comply.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In addition, EU member states and other foreign jurisdictions, including Switzerland, have adopted data protection laws and regulations which impose significant compliance obligations. Moreover, the collection and use of personal data, including health data, relating to individuals located in the EU, which was formerly governed by the provisions of the EU Data Protection Directive 95/46, was replaced with the EU GDPR in May 2018. The GDPR, which is wide-ranging in scope, imposes several requirements including relating to the legal basis of the processing of personal data,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EEA to the U.S. and other non-EEA countries that do not provide a level of protection to personal data in line with the GDPR standard, provides an enforcement authority in each EU member state and imposes large penalties for noncompliance, including the potential for fines of up to €20 million or 4% of the annual global turnover of the noncompliant company, whichever is greater. The GDPR requirements apply not only to third-party transactions, but also to transfers of information between us and our subsidiaries, including employee information. The coming into force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Moreover,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9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are also federal and state laws on marketing and solicitation, such as CAN-SPAM. The CAN-SPAM Act, among other things, obligates the sender of commercial emails to provide recipients with the ability to opt out of receiving future commercial emails from the sender. Any failure by us to comply fully with the CAN-SPAM Act may leave us subject to substantial fines and penalties.</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In addition, foreign jurisdictions, such as Canada, have enacted laws that regulate our ability to send commercial messages via email. For example, Canada’s Anti-Spam Legislation (“CASL”) prohibits email marketing without the recipient’s consent, with limited exceptions. The penalties for non-compliance with CASL are considerable, including administrative monetary penalties of up to $10 million and a private right of action.</w:t>
      </w:r>
    </w:p>
    <w:p>
      <w:pPr>
        <w:spacing w:after="0" w:line="176"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If we, or our operations, are found to be in violation of any federal or state healthcare, data or information privacy law, or any other governmental laws and regulations that apply to us, we may be subject to penalties or other enforcement actions,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such physicians or other healthcare providers or entities may be subject to criminal, civil, or administrative sanctions, including but not limited to, exclusions from participation in government healthcare programs, which could also materially affect our business.</w:t>
      </w:r>
    </w:p>
    <w:p>
      <w:pPr>
        <w:spacing w:after="0" w:line="192"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government or third-party payors fail to provide adequate coverage and reimbursement for any of our products, or if such payors and health care providers including health maintenance organizations (HMOs) and long-term care facilities, choose to use therapies that are less expensive, our products may lose or fail to generate potential revenue and our prospects for profitability may be limited.</w:t>
      </w:r>
    </w:p>
    <w:p>
      <w:pPr>
        <w:spacing w:after="0" w:line="17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In both domestic and foreign markets, sales of our products depend in part upon the availability of coverage and reimbursement from third-party payors. Such third-party payors include government health programs, such as Medicare and Medicaid, managed care organizations, private health insurers, and other similar programs and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or other third party is responsible to pay the full price, which can significantly limit utilization. If reimbursement is not available, or is available only up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92"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drugs. Marketing approvals, pricing, and reimbursement for new drug products varies widely from country to country. Current and future legislation and/or administrative action may significantly change the approval requirements in ways that could involve additional costs and cause delays in obtaining approvals. For example, on September 20, 2024, the Centers for Medicare &amp; Medicaid Services issued a final rule titled “Medicaid Program; Misclassification of Drugs, Program Integrity Updates Under the Medicaid Drug Rebate Program,” which may impact our reimbursement and rebate strategy.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of our products or product candidates. Our ability, and the ability of our collaborators, to commercialize our product candidates will depend in part on the extent to which coverage and reimbursement for these products and related treatments will be available from government healthcare programs, private health insurers, and other organizations. Regulatory authorities and third-party payors, such as private health insurers and HMOs,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low-cost alternatives within the class, particularly if a generic version of the same agent is available in another form.</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87"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Assuming coverage is approved, the resulting reimbursement payment rates might not be adequate. If payors subject our products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of our products to the satisfaction of hospitals and other target customers and their third-party payors. Such studies might require us to commit a significant amount of management time and financial and other resources. Our products might not ultimately be considered cost effective. Third-party coverage and adequate reimbursement might not be available to enable us to maintain price levels sufficient to realize an appropriate return on investment in product development.</w:t>
      </w:r>
    </w:p>
    <w:p>
      <w:pPr>
        <w:spacing w:after="0" w:line="19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88" w:lineRule="exact"/>
        <w:rPr>
          <w:sz w:val="20"/>
          <w:szCs w:val="20"/>
          <w:color w:val="auto"/>
        </w:rPr>
      </w:pPr>
    </w:p>
    <w:p>
      <w:pPr>
        <w:jc w:val="both"/>
        <w:ind w:right="440" w:firstLine="749"/>
        <w:spacing w:after="0" w:line="257"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86" w:lineRule="exact"/>
        <w:rPr>
          <w:sz w:val="20"/>
          <w:szCs w:val="20"/>
          <w:color w:val="auto"/>
        </w:rPr>
      </w:pPr>
    </w:p>
    <w:p>
      <w:pPr>
        <w:ind w:right="100" w:firstLine="749"/>
        <w:spacing w:after="0" w:line="255" w:lineRule="auto"/>
        <w:rPr>
          <w:sz w:val="20"/>
          <w:szCs w:val="20"/>
          <w:color w:val="auto"/>
        </w:rPr>
      </w:pPr>
      <w:r>
        <w:rPr>
          <w:rFonts w:ascii="Times New Roman" w:cs="Times New Roman" w:eastAsia="Times New Roman" w:hAnsi="Times New Roman"/>
          <w:sz w:val="18"/>
          <w:szCs w:val="18"/>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of our product candidates for which we obtain marketing approval could have a material adverse effect on our operating results, ability to raise capital needed to commercialize products, and overall financial condition.</w:t>
      </w:r>
    </w:p>
    <w:p>
      <w:pPr>
        <w:spacing w:after="0" w:line="1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59"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03"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w:t>
      </w:r>
    </w:p>
    <w:p>
      <w:pPr>
        <w:spacing w:after="0" w:line="176"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We expect that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We continue to monitor the potential impact of proposals and recently enacted legislation to lower prescription drug costs at the federal and state level. For example, the Inflation Reduction Act (“IRA”) was signed into law by President Biden in August 2022. The IRA makes significant changes to how drugs are covered and paid for under the Medicare program, including the creation of financial penalties for drugs whose prices rise faster than the rate of inflation, redesign of the Medicare Part D program to require manufacturers to bear more of the liability for certain drug benefits, and government price-setting for certain Medicare Part D drugs, with the first negotiated prices effective as of January 1, 2026, and Medicare Part B drugs starting in 2028. The IRA’s changes include, by way of example, capping Medicare beneficiary out-of-pocket spending at $2,000 for 2025 and providing for no beneficiary cost sharing above the annual out-of-pocket threshold. Additionally, as of January 1, 2025, the existing Medicare Coverage Gap Discount Program ended and was replaced by the Manufacturer Discount Program, through which a manufacturer provides discounts for brand-name drugs and biologics in the initial and catastrophic coverage phases under the Medicare Part D benefit. These changes eliminated the Medicare Part D coverage gap benefit phase (commonly referred to as the “donut hole”), in which a Medicare beneficiary was originally responsible for 100% of the costs of covered prescription drugs following an initial coverage phase until the costs initiated a catastrophic coverage phase, but which was gradually phased out through the end of 2024. We are evaluating what effect, if any, the IRA may have on our business.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On April 15, 2025, the Administration issued an executive order (the “April 2025 EO”) that, among other directives, directs HHS to work with Congress to align the treatment of small molecule drugs and biologics in the Medicare price setting program under the IRA. It is currently unclear how such modifications would affect the timeframe in which Medicare price setting becomes applicable for selected drugs or biologics. The April 2025 EO also directs HHS to provide recommendations within 180 days to accelerate the approval of generics, biosimilars, combination products and second-in-class medications, as well as to address Medicaid drug rebates and Medicaid drug payment methodologies, and, within one year, to develop and implement a plan to test a payment model to enable Medicare to obtain pharmaceuticals at lower cost. Other Centers for Medicare &amp; Medicaid Services (CMS) policy changes and demonstration projects to test new care, delivery and payment models can also significantly affect how drugs, including our products, are covered and reimbursed. Legislative and regulatory proposals may also be made to expand post-approval requirements and restrict sales and promotional activities for drugs. To date, CMS has selected ten Medicare Part D drugs with prices to go into effect on January 1, 2026 and another 15 Part D drugs with prices to go into effect on January 1, 2027. Another 15 drugs from Medicare Part B or Medicare Part D will be selected by February 1, 2026, for the maximum price to be set and in effect by January 1, 2028.</w:t>
      </w:r>
    </w:p>
    <w:p>
      <w:pPr>
        <w:spacing w:after="0" w:line="192"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list of negotiated Medicare drugs grows yearly, and by 2029, it will have reached around 60 high-cost, single-source drugs – those without generic or biosimilar alternatives.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 We continue to evaluate the impact of the IRA on our business, operations and financial condition.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9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Further,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spacing w:after="0" w:line="183"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In addition, there have been a number of other legislative and regulatory proposals aimed at changing the pharmaceutical industry. For instance, the enacted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The distribution of product samples continues to be regulated under the PDMA, and some states also impose regulations on drug sample distribution.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The industry is currently analyzing the proposed Global Benchmark for Efficient Drug Pricing, or GLOBE Model, published by CMS in the Federal Register on December 23, 2025. This mandatory payment model pilot, aimed at implementing MFN drug pricing in Medicare Part B by using international benchmarks, is open for public comment until February 23, 2026, and would require pharmaceutical companies to pay additional rebates on certain medicines whose U.S. net-of-discount prices exceed those in certain other countries. If finalized as proposed, the model is expected to begin on October 1, 2026, and run through September 30, 2031. The implications of this rule, along with its companion, Guarding U.S. Medicare Against Rising Drug Costs, or GUARD Model, which is focused on Part D drugs, and other MFN pricing pressures, could lead to voluntary or involuntary manufacturer price changes, which could be either temporary or long term, but all of which could adversely affect our business. Furthermore, these actions may lead to legal challenges, introducing additional uncertainty into our business operations.</w:t>
      </w:r>
    </w:p>
    <w:p>
      <w:pPr>
        <w:spacing w:after="0" w:line="192"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In the EU, several recently adopted and pending legislation will impact regulatory procedures for medicinal products. Key developments include:</w:t>
      </w:r>
    </w:p>
    <w:p>
      <w:pPr>
        <w:spacing w:after="0" w:line="237" w:lineRule="exact"/>
        <w:rPr>
          <w:sz w:val="20"/>
          <w:szCs w:val="20"/>
          <w:color w:val="auto"/>
        </w:rPr>
      </w:pPr>
    </w:p>
    <w:p>
      <w:pPr>
        <w:ind w:left="1020" w:right="320" w:hanging="503"/>
        <w:spacing w:after="0" w:line="258"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 Pharma Package – This is the largest reform of the EU’s Pharmaceutical Legislation in 20 years. The reform still requires formal approval and will enter into force upon publication in the EU’s Official Journal, expected in 2026. Most provisions are expected to apply from 2028, following a two-year transition period. The reform encompasses a broad range of measures, including changes to regulatory exclusivity, incentives to combat antimicrobial resistance, intellectual property exemptions for generic medicines, orphan products, and marketing authorization procedures;</w:t>
      </w:r>
    </w:p>
    <w:p>
      <w:pPr>
        <w:spacing w:after="0" w:line="183" w:lineRule="exact"/>
        <w:rPr>
          <w:rFonts w:ascii="Times New Roman" w:cs="Times New Roman" w:eastAsia="Times New Roman" w:hAnsi="Times New Roman"/>
          <w:sz w:val="18"/>
          <w:szCs w:val="18"/>
          <w:color w:val="auto"/>
        </w:rPr>
      </w:pPr>
    </w:p>
    <w:p>
      <w:pPr>
        <w:ind w:left="1020" w:right="40" w:hanging="503"/>
        <w:spacing w:after="0" w:line="26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(EU) 2021/2282 on health technology assessment (HTA Regulation) – This became applicable in the EU on January 12, 2025, introducing a single EU-level submission file for joint clinical assessments for oncology medicines and advanced therapy medicinal products The EU HTA-R will be extended to orphan medicines in January 2028 and as of 2030, will cover all new centrally authorized medicinal products;</w:t>
      </w:r>
    </w:p>
    <w:p>
      <w:pPr>
        <w:spacing w:after="0" w:line="179"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legislative initiatives include new rules on substances of human origin (Regulation (EU) 2024/1938 – SoHO Regulation) and the proposed SPC Regulation revision, Critical Medicines Act, and Biotech Act.</w:t>
      </w:r>
    </w:p>
    <w:p>
      <w:pPr>
        <w:spacing w:after="0" w:line="162"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Moreover, other EU “horizontal” legislation may impact companies operating in the pharmaceutical sector, including Regulation (EU) 2024/1689 (AI Act), Regulation (EU) 2023/2854 (Data Act), Regulation (EU) 2025/327 (Health Data Space Regulation), and the NIS 2 Directive. Moreover, the EU is currently discussing the Digital Omnibus Package, which comprises a series of technical amendments to a wide body of EU digital legislation.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 variety of U.S. and international laws and regulations.</w:t>
      </w:r>
    </w:p>
    <w:p>
      <w:pPr>
        <w:spacing w:after="0" w:line="229" w:lineRule="exact"/>
        <w:rPr>
          <w:sz w:val="20"/>
          <w:szCs w:val="20"/>
          <w:color w:val="auto"/>
        </w:rPr>
      </w:pPr>
    </w:p>
    <w:p>
      <w:pPr>
        <w:ind w:right="120" w:firstLine="749"/>
        <w:spacing w:after="0" w:line="253" w:lineRule="auto"/>
        <w:rPr>
          <w:sz w:val="20"/>
          <w:szCs w:val="20"/>
          <w:color w:val="auto"/>
        </w:rPr>
      </w:pPr>
      <w:r>
        <w:rPr>
          <w:rFonts w:ascii="Times New Roman" w:cs="Times New Roman" w:eastAsia="Times New Roman" w:hAnsi="Times New Roman"/>
          <w:sz w:val="18"/>
          <w:szCs w:val="18"/>
          <w:color w:val="auto"/>
        </w:rPr>
        <w:t>We are currently subject to a number of government laws and regulations, and, in the future, could become subject to new government laws and regulations. The costs of compliance with such laws and regulations, or the negative results of non-compliance, could adversely affect our business, cash flow, results of operations, financial condition, and prospects; these laws and regulations include (i) additional health care reform initiatives in the U.S. or in other countries, including additional mandatory discounts or fees; (ii) the FCPA or other anti-bribery and corruption laws; (iii) new laws, regulations, and judicial or other governmental decisions affecting pricing, drug reimbursement, and access or marketing within or across jurisdictions; (iv) changes in intellectual property laws; (v) changes in accounting standards; (vi) new and increasing cybersecurity and data privacy regulations and enforcement, particularly in the EU, the U.S., and China; (vii) legislative mandates or preferences for local manufacturing of pharmaceutical products; (viii) emerging and new global regulatory requirements for reporting payments and other value transfers to healthcare professionals; (ix) environmental regulations, such as the EU’s Corporate Sustainability Reporting Directive; and (x) the potential impact of importation restrictions, embargoes, trade sanctions, and legislative and/or other regulatory changes.</w:t>
      </w:r>
    </w:p>
    <w:p>
      <w:pPr>
        <w:spacing w:after="0" w:line="194"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For example, the One Big Beautiful Bill Act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requirements. The OBBBA also includes other significant provisions, including tax cut extensions and modifications to the international tax framework. While we continue to evaluate the impact of these legislative changes as additional guidance becomes available, uncertainty remains regarding the timing and interpretation by tax authorities in affected jurisdictions.</w:t>
      </w:r>
    </w:p>
    <w:p>
      <w:pPr>
        <w:spacing w:after="0" w:line="183"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Further, OBBBA enacted, among others, changes to eligibility requirements for premium tax credits, which are expected to result in less coverage in the ACA’s health insurance marketplace (“Marketplace”) over the next few years. The ACA’s enhanced premium tax credits expired at the end of 2025, which is expected to result in significant increases in the uninsured population who may have otherwise enrolled in insurance plans obtained through the Marketplace. In addition, the OBBBA made other changes to the enrollment and eligibility requirements for Medicaid, which resulted in the loss of coverage for certain individuals who were previously enrolled in Medicaid programs.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ind w:right="40" w:firstLine="749"/>
        <w:spacing w:after="0" w:line="219" w:lineRule="exact"/>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There can be no assurance that our products will be considered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that an adequate level of reimbursement will be available, or that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36"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51"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manufacturers may use hazardous materials in the production of our products and, if so, they must comply with environmental laws and regulations, which can be expensive and restrict how we or they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-223520</wp:posOffset>
            </wp:positionV>
            <wp:extent cx="64135"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Manufacturing activities for the production of our products involve the controlled storage, use, and disposal of hazardous materials, including the components of our products, and other hazardous compounds.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98"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440" w:firstLine="74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and may continue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18" w:lineRule="exact"/>
        <w:rPr>
          <w:sz w:val="20"/>
          <w:szCs w:val="20"/>
          <w:color w:val="auto"/>
        </w:rPr>
      </w:pPr>
    </w:p>
    <w:p>
      <w:pPr>
        <w:ind w:right="160" w:firstLine="749"/>
        <w:spacing w:after="0" w:line="226" w:lineRule="exact"/>
        <w:rPr>
          <w:sz w:val="20"/>
          <w:szCs w:val="20"/>
          <w:color w:val="auto"/>
        </w:rPr>
      </w:pPr>
      <w:r>
        <w:rPr>
          <w:rFonts w:ascii="Times New Roman" w:cs="Times New Roman" w:eastAsia="Times New Roman" w:hAnsi="Times New Roman"/>
          <w:sz w:val="18"/>
          <w:szCs w:val="18"/>
          <w:color w:val="auto"/>
        </w:rPr>
        <w:t>As of February 16, 2026, we had 925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Our management, personnel, systems, and facilities currently in place may not be adequate to support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02" w:lineRule="exact"/>
        <w:rPr>
          <w:sz w:val="20"/>
          <w:szCs w:val="20"/>
          <w:color w:val="auto"/>
        </w:rPr>
      </w:pPr>
    </w:p>
    <w:p>
      <w:pPr>
        <w:ind w:left="760" w:right="200" w:hanging="378"/>
        <w:spacing w:after="0" w:line="282" w:lineRule="auto"/>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the hiring and training of personnel for our commercial organization, and maintain appropriate systems, policies and infrastructure to support that organization;</w:t>
      </w:r>
    </w:p>
    <w:p>
      <w:pPr>
        <w:spacing w:after="0" w:line="161" w:lineRule="exact"/>
        <w:rPr>
          <w:rFonts w:ascii="Times New Roman" w:cs="Times New Roman" w:eastAsia="Times New Roman" w:hAnsi="Times New Roman"/>
          <w:sz w:val="16"/>
          <w:szCs w:val="16"/>
          <w:color w:val="auto"/>
        </w:rPr>
      </w:pPr>
    </w:p>
    <w:p>
      <w:pPr>
        <w:ind w:left="760" w:right="40" w:hanging="378"/>
        <w:spacing w:after="0" w:line="282" w:lineRule="auto"/>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carry out our own contractual obligations to our licensors and other third parties;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improve our operational, financial, and management controls, reporting systems, and procedures.</w:t>
      </w:r>
    </w:p>
    <w:p>
      <w:pPr>
        <w:spacing w:after="0" w:line="225" w:lineRule="exact"/>
        <w:rPr>
          <w:sz w:val="20"/>
          <w:szCs w:val="20"/>
          <w:color w:val="auto"/>
        </w:rPr>
      </w:pPr>
    </w:p>
    <w:p>
      <w:pPr>
        <w:ind w:right="1060" w:firstLine="749"/>
        <w:spacing w:after="0" w:line="282" w:lineRule="auto"/>
        <w:rPr>
          <w:sz w:val="20"/>
          <w:szCs w:val="20"/>
          <w:color w:val="auto"/>
        </w:rPr>
      </w:pPr>
      <w:r>
        <w:rPr>
          <w:rFonts w:ascii="Times New Roman" w:cs="Times New Roman" w:eastAsia="Times New Roman" w:hAnsi="Times New Roman"/>
          <w:sz w:val="18"/>
          <w:szCs w:val="18"/>
          <w:color w:val="auto"/>
        </w:rPr>
        <w:t>We may be unable to successfully implement these tasks on a larger scale and, accordingly, may not achieve our development and commercialization goals.</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5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As we continue to complete our clinical trials and commercialize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products, or form strategic alliances in the future, and we may not realize the benefits of such acquisitions or alliances.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business effectively if we are unable to attract and retain key personnel.</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Stock Market LLC, or Nasdaq,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2"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Nasdaq,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ind w:right="260" w:firstLine="749"/>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83"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18"/>
          <w:szCs w:val="18"/>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8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impact our business and reputation.</w:t>
      </w:r>
    </w:p>
    <w:p>
      <w:pPr>
        <w:spacing w:after="0" w:line="229"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Governmental authorities, non-governmental organizations, customers, investors, external stakeholders and employees are increasingly sensitive to environmental, social, and governance, or ESG concerns, such as diversity and inclusion, climate change, water use, recyclability or recoverability of packaging, and plastic waste. This focus on ESG concerns may lead to new requirements that could result in increased costs associated with developing, manufacturing and distributing our products. Our ability to compete could also be affected by changing customer preferences and requirements, such as growing demand for more environmentally friendly products, packaging or supplier practices, or by failure to meet such customer expectations or demand. While we strive to improve our ESG performance, we risk negative stockholder reaction, including from proxy advisory services, as well as damage to our brand and reputation, if we do not act responsibly, or if we are perceived to not be acting responsibly in key ESG areas, including equitable access to medicines and vaccines, product quality and safety, diversity and inclusion, environmental stewardship, support for local communities, corporate governance and transparency, and addressing human capital factors in our operations. If we do not meet the ESG expectations of our investors, customers and other stakeholders, we could experience reduced demand for our products, loss of customers, and other negative impacts on our business and results of operations.</w:t>
      </w:r>
    </w:p>
    <w:p>
      <w:pPr>
        <w:spacing w:after="0" w:line="192"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For example, in 2019, we experienced an extraordinary level of appreciation in our stock price. Such levels of gain are unlikely to continue in the future. Since then,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0"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delays in the commencement, enrollment, and ultimate completion, of our planned and ongoing Phase 3 clinical trials for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delay or refusal on the part of the FDA in approving an NDA for any of our current and future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recommendations by securities analysts;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news relating to our industry as a whole and news relating to trends in our markets;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results of clinical trials of any of our current and future product candidates or those of our competitors;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actual or anticipated variations in quarterly or annual operating results;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to meet or exceed financial projections we provide to the public, if any;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failure to meet or exceed the estimates and projections of the investment community, including securities analysts;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introduction of competitive products or technologies;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or developments in laws or regulations applicable to our product candidates;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general economic and market conditions and overall fluctuations in U.S. equity markets;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data or security breaches;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developments concerning our sources of manufacturing supply, warehousing, and inventory control;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disputes or other developments relating to patents or other proprietary rights;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capital commitments;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investors’ general perception of our company and our business;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announcements and expectations of additional financing efforts, including the issuance of debt, equity or convertible securities;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sales of our common stock, including sales by our directors and officers or significant stockholders;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market valuations of companies similar to us;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general conditions or trends in our industry;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5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w:t>
      </w:r>
    </w:p>
    <w:p>
      <w:pPr>
        <w:spacing w:after="0" w:line="229"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commercial success of our products;</w:t>
      </w:r>
    </w:p>
    <w:p>
      <w:pPr>
        <w:spacing w:after="0" w:line="225" w:lineRule="exact"/>
        <w:rPr>
          <w:rFonts w:ascii="Times New Roman" w:cs="Times New Roman" w:eastAsia="Times New Roman" w:hAnsi="Times New Roman"/>
          <w:sz w:val="16"/>
          <w:szCs w:val="16"/>
          <w:color w:val="auto"/>
        </w:rPr>
      </w:pPr>
    </w:p>
    <w:p>
      <w:pPr>
        <w:ind w:left="760" w:right="360" w:hanging="378"/>
        <w:spacing w:after="0" w:line="282" w:lineRule="auto"/>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whether the FDA requires us to complete additional, unanticipated studies, tests, or other activities prior to approving any of our current and future product candidates, which may delay any such approval;</w:t>
      </w:r>
    </w:p>
    <w:p>
      <w:pPr>
        <w:spacing w:after="0" w:line="120" w:lineRule="exact"/>
        <w:rPr>
          <w:rFonts w:ascii="Times New Roman" w:cs="Times New Roman" w:eastAsia="Times New Roman" w:hAnsi="Times New Roman"/>
          <w:sz w:val="16"/>
          <w:szCs w:val="16"/>
          <w:color w:val="auto"/>
        </w:rPr>
      </w:pPr>
    </w:p>
    <w:p>
      <w:pPr>
        <w:ind w:left="760" w:right="460" w:hanging="378"/>
        <w:spacing w:after="0" w:line="245" w:lineRule="exact"/>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identify and enter into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manufacturing arrangements capable of manufacturing any of our current or future product candidates in commercial quantities;</w:t>
      </w:r>
    </w:p>
    <w:p>
      <w:pPr>
        <w:spacing w:after="0" w:line="198" w:lineRule="exact"/>
        <w:rPr>
          <w:rFonts w:ascii="Times New Roman" w:cs="Times New Roman" w:eastAsia="Times New Roman" w:hAnsi="Times New Roman"/>
          <w:sz w:val="16"/>
          <w:szCs w:val="16"/>
          <w:color w:val="auto"/>
        </w:rPr>
      </w:pPr>
    </w:p>
    <w:p>
      <w:pPr>
        <w:ind w:left="760" w:right="640" w:hanging="378"/>
        <w:spacing w:after="0" w:line="282" w:lineRule="auto"/>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execution of other collaborative, licensing, or similar arrangements and the timing of payments we may make or receive under these arrangements;</w:t>
      </w:r>
    </w:p>
    <w:p>
      <w:pPr>
        <w:spacing w:after="0" w:line="161"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variations in the level of expenses related to our future development programs;</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any product liability or intellectual property infringement lawsuit in which we may become involved;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regulatory developments affecting our current products, or the products of our competitors; and</w:t>
      </w:r>
    </w:p>
    <w:p>
      <w:pPr>
        <w:spacing w:after="0" w:line="22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level of underlying demand for our products.</w:t>
      </w:r>
    </w:p>
    <w:p>
      <w:pPr>
        <w:spacing w:after="0" w:line="225"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ind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5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may finance our cash needs through a combination of equity offerings, debt financings, grants, and license and development agreements in connection with any collaborations until such time, if ever, as our product sales are sufficient to meet our cash needs.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159" w:lineRule="exact"/>
        <w:rPr>
          <w:sz w:val="20"/>
          <w:szCs w:val="20"/>
          <w:color w:val="auto"/>
        </w:rPr>
      </w:pPr>
    </w:p>
    <w:p>
      <w:pPr>
        <w:ind w:right="200" w:firstLine="749"/>
        <w:spacing w:after="0" w:line="258" w:lineRule="auto"/>
        <w:rPr>
          <w:sz w:val="20"/>
          <w:szCs w:val="20"/>
          <w:color w:val="auto"/>
        </w:rPr>
      </w:pPr>
      <w:r>
        <w:rPr>
          <w:rFonts w:ascii="Times New Roman" w:cs="Times New Roman" w:eastAsia="Times New Roman" w:hAnsi="Times New Roman"/>
          <w:sz w:val="18"/>
          <w:szCs w:val="18"/>
          <w:color w:val="auto"/>
        </w:rPr>
        <w:t>As of February 16, 2026, our executive officers, directors, and 5% stockholders and their affiliates beneficially owned an aggregate of approximately 33%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83"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by our existing stockholders could cause our stock price to fall.</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76"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18"/>
          <w:szCs w:val="18"/>
          <w:color w:val="auto"/>
        </w:rPr>
        <w:t>As of February 16, 2026, we have outstanding 51,153,289 shares of common stock and 8,792,040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43,239,005 are freely tradable. The remainder of the outstanding shares of common stock are held by our affiliates and may be considered “control securities” for purposes of Rule 144 under the Securities Act.</w:t>
      </w:r>
    </w:p>
    <w:p>
      <w:pPr>
        <w:spacing w:after="0" w:line="143" w:lineRule="exact"/>
        <w:rPr>
          <w:sz w:val="20"/>
          <w:szCs w:val="20"/>
          <w:color w:val="auto"/>
        </w:rPr>
      </w:pPr>
    </w:p>
    <w:p>
      <w:pPr>
        <w:ind w:firstLine="749"/>
        <w:spacing w:after="0" w:line="228" w:lineRule="exact"/>
        <w:rPr>
          <w:sz w:val="20"/>
          <w:szCs w:val="20"/>
          <w:color w:val="auto"/>
        </w:rPr>
      </w:pPr>
      <w:r>
        <w:rPr>
          <w:rFonts w:ascii="Times New Roman" w:cs="Times New Roman" w:eastAsia="Times New Roman" w:hAnsi="Times New Roman"/>
          <w:sz w:val="18"/>
          <w:szCs w:val="18"/>
          <w:color w:val="auto"/>
        </w:rPr>
        <w:t>In addition, we have filed, or will soon file, one or more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registering the issuance of an aggregate of 17,546,713 shares of common stock subject to options or other equity awards issued or reserved for issuance under our 2025 Long-Term Incentive Plan and 1,100,000 shares of common stock reserved for issuance under our 2023 Employee Stock Purchase Plan. Shares registered under registration statements on Form S-8 will be available for sale in the public market subject to vesting arrangements and exercise of options, the lock-up agreements described above and the restrictions of Rule 144 in the case of our affiliates.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our capital raises, including the proceeds from sales pursuant to our Sales Agreement, and may not use them effectively.</w:t>
      </w:r>
    </w:p>
    <w:p>
      <w:pPr>
        <w:spacing w:after="0" w:line="15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our capital raises, which we refer to as our Capital Raises, including the proceeds from sales pursuant to the March 2022 Sales Agreement with Leerink Partners LLC (“Leerink”), which provides for the sale of up to $250.0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our net operating loss carryforwards and research tax credits may be limited.</w:t>
      </w:r>
    </w:p>
    <w:p>
      <w:pPr>
        <w:spacing w:after="0" w:line="229" w:lineRule="exact"/>
        <w:rPr>
          <w:sz w:val="20"/>
          <w:szCs w:val="20"/>
          <w:color w:val="auto"/>
        </w:rPr>
      </w:pPr>
    </w:p>
    <w:p>
      <w:pPr>
        <w:ind w:right="40" w:firstLine="749"/>
        <w:spacing w:after="0" w:line="252" w:lineRule="auto"/>
        <w:rPr>
          <w:sz w:val="20"/>
          <w:szCs w:val="20"/>
          <w:color w:val="auto"/>
        </w:rPr>
      </w:pPr>
      <w:r>
        <w:rPr>
          <w:rFonts w:ascii="Times New Roman" w:cs="Times New Roman" w:eastAsia="Times New Roman" w:hAnsi="Times New Roman"/>
          <w:sz w:val="18"/>
          <w:szCs w:val="18"/>
          <w:color w:val="auto"/>
        </w:rPr>
        <w:t>Our net operating loss carryforwards and any future research and development tax credits may expire and not be used. As of December 31, 2025, we had U.S. federal net operating loss, or NOL, carryforwards of approximately $577.9 million and foreign NOL carryforwards of $281.3 million. U.S. federal net operating loss carry forwards amounting to $59.8 million generated before the 2018 tax year will start expiring beginning 2032, if we have not used them prior to that time, and the U.S. federal net operating losses of approximately $518.1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In the event a change of ownership occurs,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on our common stock, returns for our stockholders will be limited to any increase in the value of our stock.</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In addition, the Blackstone Loan Agreement contains restrictive covenants that prohibit us from declaring or paying any dividends or making any other distributions on our common stock, except as may be expressly permitted under the facility.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8" w:lineRule="exact"/>
        <w:rPr>
          <w:sz w:val="20"/>
          <w:szCs w:val="20"/>
          <w:color w:val="auto"/>
        </w:rPr>
      </w:pPr>
    </w:p>
    <w:p>
      <w:pPr>
        <w:ind w:right="160" w:firstLine="749"/>
        <w:spacing w:after="0" w:line="228" w:lineRule="exact"/>
        <w:rPr>
          <w:sz w:val="20"/>
          <w:szCs w:val="20"/>
          <w:color w:val="auto"/>
        </w:rPr>
      </w:pPr>
      <w:r>
        <w:rPr>
          <w:rFonts w:ascii="Times New Roman" w:cs="Times New Roman" w:eastAsia="Times New Roman" w:hAnsi="Times New Roman"/>
          <w:sz w:val="18"/>
          <w:szCs w:val="18"/>
          <w:color w:val="auto"/>
        </w:rPr>
        <w:t>In addition, we are subject to the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9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alternate forum,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83"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 and Responsibilities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Board recognizes that cybersecurity represents an important component of the Company’s overall enterprise risk management, or ERM. The Company seeks to mitigate cybersecurity risks through a cross-functional approach, including its Cybersecurity Committee, focused on preserving the confidentiality, security, and availability of the information that the Company collects and stores by assessing, identifying, preventing, and managing risks from cybersecurity threats and effectively responding to cybersecurity incidents when they occur.</w:t>
      </w:r>
    </w:p>
    <w:p>
      <w:pPr>
        <w:spacing w:after="0" w:line="180"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Our Head of Information Technology (IT) oversees overall cybersecurity management, including appropriate risk mitigation strategies, systems, processes, and controls and provides periodic, but at least annually, reports to our Board or the Audit Committee of the Board of Directors, or the Audit Committee. The IT security team has over 40 years of combined technology experience, and over 20 years of experience in safeguarding and monitoring networks and systems, responding to incidents, and reducing the risk of business exposure. The Company’s Cybersecurity Committee is comprised of information technology, finance, legal, human resources, and data privacy employees, including the Head of IT. It meets regularly, but at least annually, to review and provide oversight of the Company’s cybersecurity risks and data security programs, policies, and strategies. Pursuant to internal policies, the Head of IT will notify the Cybersecurity Committee of significant cybersecurity incidents and breaches. The Cybersecurity Committee reviews, analyzes, and responds to cybersecurity incidents and breaches. Additional responsibilities and risk mitigation strategies relate to business continuity and business resiliency capabilities.</w:t>
      </w:r>
    </w:p>
    <w:p>
      <w:pPr>
        <w:spacing w:after="0" w:line="188"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The Company’s Audit Committee has the responsibility to review and discuss with management the Company’s guidelines, policies, and governance with respect to financial risk exposures and ERM, including with respect to cybersecurity, and to report to the Board annually. The Audit Committee is also responsible for overseeing the integrity and effectiveness of the Company’s disclosure controls and procedures, which are designed to ensure that information related to cybersecurity risks and incidents is recorded, processed, summarized, and reported accurately and on a timely basis, to allow for timely decisions regarding disclosure of any such incidents. Our Audit Committee receives regular presentations and reports on cybersecurity risks from the executive management leadership team, which address recent developments, evolving standards, vulnerability assessments, third-party and independent reviews, the threat environment, technological trends, and information security considerations arising with respect to the Company’s peers and third parties. The Audit Committee is also made aware of any potential material cybersecurity incident as well as ongoing updates regarding any such incident until it has been addressed by the executive management leadership team. On an annual basis, the Board discusses the Company’s approach to cybersecurity risk management with the Audit Committee members and management (including members of the Cybersecurity Committee). Throughout the year, the Board and its committees engage with management to discuss a wide range of enterprise risks related to the Company’s businesses, including cybersecurity, and they confirm the alignment of risk assessment and mitigation with business strategy.</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 regularly assesses and tests its cybersecurity policies, standards, processes, and practices, including, but not limited to, audits, tabletop exercises, threat modeling, and penetration and vulnerability testing. The Company regularly engages outside advisors and experts to anticipate future threats and trends and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Cybersecurity Committee, Audit Committee and the Board, and the Company adjusts its cybersecurity policies, standards, processes, and practices as necessary based on the information provided by these assessments, audits, and reviews.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Technical Safeguards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The Company invests in new information and cybersecurity services and technologies. Technical safeguards designed to protect the Company’s information systems from cybersecurity threats include firewalls, continuous threat detection and response system(s), data leak prevention, enhanced email protection, antimalware functionality, and access controls, which are evaluated and improved through periodic assessments and cybersecurity threat intelligence.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 Response and Recovery Planning</w:t>
      </w:r>
    </w:p>
    <w:p>
      <w:pPr>
        <w:spacing w:after="0" w:line="227"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Company has established and maintains incident response and data recovery plans that address the Company’s response to a cybersecurity incident, and plans are reviewed by the Cybersecurity Committee and members of the IT department.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Third-Party Risk Management</w:t>
      </w:r>
    </w:p>
    <w:p>
      <w:pPr>
        <w:spacing w:after="0" w:line="227"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maintains a risk-based approach to identifying and overseeing risks from cybersecurity threats presented by third parties, including vendors, service providers, and other external users of the Company’s systems as well as the systems of third parties that could adversely impact our business in the event of a cybersecurity incident affecting those third-party systems.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Education and Awareness</w:t>
      </w:r>
    </w:p>
    <w:p>
      <w:pPr>
        <w:spacing w:after="0" w:line="227" w:lineRule="exact"/>
        <w:rPr>
          <w:sz w:val="20"/>
          <w:szCs w:val="20"/>
          <w:color w:val="auto"/>
        </w:rPr>
      </w:pPr>
    </w:p>
    <w:p>
      <w:pPr>
        <w:jc w:val="both"/>
        <w:ind w:right="500" w:firstLine="749"/>
        <w:spacing w:after="0" w:line="266" w:lineRule="auto"/>
        <w:rPr>
          <w:sz w:val="20"/>
          <w:szCs w:val="20"/>
          <w:color w:val="auto"/>
        </w:rPr>
      </w:pPr>
      <w:r>
        <w:rPr>
          <w:rFonts w:ascii="Times New Roman" w:cs="Times New Roman" w:eastAsia="Times New Roman" w:hAnsi="Times New Roman"/>
          <w:sz w:val="18"/>
          <w:szCs w:val="18"/>
          <w:color w:val="auto"/>
        </w:rPr>
        <w:t>The Company provides regular training for personnel regarding cybersecurity threats as a means to equip the Company’s personnel with effective tools to address cybersecurity threats and to communicate the Company’s evolving information security policies, standards, processes, and practices.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Cybersecurity Risk Posture</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To date, cybersecurity threats, including as a result of any previous cybersecurity incidents, have not materially affected the Company, including its business strategy, results of operations, or financial condition. However, as discussed under “Risk Factors” in Part I, Item 1A of this Annual Report on Form 10-K, cybersecurity threats pose multiple risks to us, including potentially to our results of operations and financial condition. For additional information concerning risks related to cybersecurity, see “Item 1A. Risk Factors - </w:t>
      </w:r>
      <w:r>
        <w:rPr>
          <w:rFonts w:ascii="Times New Roman" w:cs="Times New Roman" w:eastAsia="Times New Roman" w:hAnsi="Times New Roman"/>
          <w:sz w:val="18"/>
          <w:szCs w:val="18"/>
          <w:i w:val="1"/>
          <w:iCs w:val="1"/>
          <w:color w:val="auto"/>
        </w:rPr>
        <w:t>Our business and operations would suffer in the event of system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World Trade Center in New York, NY (“Sublease”). This space is utilized by the Company for its corporate and executive offices. The Sublease commenced on April 7, 2023 and was for ten (10) years. The Company had a one-time option to terminate the Sublease on its fifth anniversary upon the payment of a fee to the sublandlord.</w:t>
      </w:r>
    </w:p>
    <w:p>
      <w:pPr>
        <w:spacing w:after="0" w:line="18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On January 17, 2025, we entered into an Amendment to our Sublease (the “First Amendment”), pursuant to which we will relinquish our existing space in One World Trade Center and commence occupancy of different space within the building. The First Amendment extends the Sublease expiration date to January 31, 2036. We now have a one-time option to terminate the Sublease effective March 30, 2031 upon the payment of a fee to the sublandlord. The Company is responsible for base rent under the Sublease and certain additional customary variable costs, such as an allocable portion of building taxes and operating expenses. In connection with the Sublease and First Amendment, the Company received certain rent and work concessions from the sublandlord.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160" w:firstLine="749"/>
        <w:spacing w:after="0" w:line="266" w:lineRule="auto"/>
        <w:rPr>
          <w:sz w:val="20"/>
          <w:szCs w:val="20"/>
          <w:color w:val="auto"/>
        </w:rPr>
      </w:pPr>
      <w:r>
        <w:rPr>
          <w:rFonts w:ascii="Times New Roman" w:cs="Times New Roman" w:eastAsia="Times New Roman" w:hAnsi="Times New Roman"/>
          <w:sz w:val="18"/>
          <w:szCs w:val="18"/>
          <w:color w:val="auto"/>
        </w:rPr>
        <w:t>Except as described in Note 10. Commitments and Contingencies, we, and our subsidiaries, are currently not a party to, and our property is not currently the subject of, any material pending legal proceedings; however, we may also become involved in various claims and legal actions arising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Our common stock has been listed on The Nasdaq Global Market since March 3, 2017, under the symbol “AXSM.” Prior to that, our common stock was listed on The Nasdaq Capital Market since November 19, 2015, under the symbol “AXSM.” Prior to our initial public offering, there was no public market for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Performance Graph</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graph below matches AXSOME Therapeutics, Inc.’s cumulative 5-Year total shareholder return on common stock with the cumulative total returns of the NASDAQ Composite index and the NASDAQ Biotechnology index. The graph tracks the performance of a $100 investment in our common stock and in each index (with the reinvestment of all dividends) from 12/31/2020 to 12/31/2025.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140335</wp:posOffset>
            </wp:positionV>
            <wp:extent cx="5349240" cy="44405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229"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number of record holders of our common stock as of February 16, 2026, was 5. This number of holders of record does not reflect the beneficial holders of our common stock who hold shares in street name through brokerage accounts or other nominees. This number of holders of record also does not include stockholders whose shares may be held in trust by other entities. The actual number of holders of our common stock is therefore greater than this number of record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do not anticipate paying any cash dividends in the foreseeable future. Any future determination to pay dividends will be at the discretion of our Board, subject to applicable laws, and will depend on a number of factors, including our financial condition, results of operations, capital requirements, contractual restrictions, general business conditions, and any other factors that our Board may deem relevant. In addition, the Blackstone Loan Agreement contains restrictive covenants that prohibit us from declaring or paying any dividends or making any other distributions on our common stock, except as may be expressly permitted under the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contain forward-looking statements about our plans and expectations of what may happen in the future. You should read the following discussion and analysis in conjunction with “Item 8. Financial Statements and Supplementary Data,” and our consolidated financial statements beginning on page F-1 of this report.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“Item 1A. Risk Factors.” See also the “Special Cautionary Notice Regarding Forward-Looking Statements” set forth at the beginning of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dedicated to the development and commercialization of innovative medicines for people impacted by central nervous system (CNS) conditions. We deliver scientific breakthroughs by identifying critical gaps in care and developing differentiated medicines with a focus on novel mechanisms of action that have the potential to transform patient outcomes.</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Our broad commercial portfolio is comprised of AUVELITY, SUNOSI, and SYMBRAVO. AUVELITY is the first and only oral NMDA receptor antagonist approved by the FDA for the treatment of MDD in adults, which we are further developing in additional psychiatric conditions, including Alzheimer’s disease agitation. SUNOSI is the first and only DNRI approved by the FDA for the treatment of excessive daytime sleepiness associated with obstructive sleep apnea and narcolepsy, for which we also receive royalty revenue associated with sales in out-licensed territories. SYMBRAVO is approved by the FDA for the acute treatment of migraine in adults with or without aura, which we recently launched in the U.S. We are also advancing a pipeline of novel product candidates addressing a broad range of serious neurological and psychiatric conditions, including narcolepsy, fibromyalgia, and ADHD. Refer to Part I, Item 1. “Business” for a summary of our marketed products and clinical development programs.</w:t>
      </w:r>
    </w:p>
    <w:p>
      <w:pPr>
        <w:spacing w:after="0" w:line="18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Since our incorporation in January 2012, our operations to date have included organizing and staffing our company, business planning, raising capital, developing our compounds, engaging in other discovery and preclinical activities, the commercial launches of AUVELITY and SUNOSI, and preparatory activities for the launch of SYMBRAVO. Subsequent to our IPO, we financed our operations primarily through proceeds from sales of our common stock to equity investors and debt borrowings. For a further discussion, see the section entitled “Liquidity and Capital Resources” below.</w:t>
      </w:r>
    </w:p>
    <w:p>
      <w:pPr>
        <w:spacing w:after="0" w:line="180"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Our ability to become profitable depends on our ability to generate revenue. We have recently begun commercial sales of AUVELITY and SUNOSI, and we launched SYMBRAVO, but we have limited experience with commercializing these, or any, products.</w:t>
      </w:r>
    </w:p>
    <w:p>
      <w:pPr>
        <w:spacing w:after="0" w:line="16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We have incurred significant operating and net losses since inception. We incurred net losses of $183.2 million and $287.2 million for the years ended December 31, 2025 and 2024, respectively. Our accumulated deficit as of December 31, 2025 was $1,306.0 million, and we expect to incur significant expenses and continuing operating losses. We expect our expenses to increase in connection with our ongoing activities, as we continue the commercialization of our on-market products and the development and clinical trials of, and seek regulatory approval for, our current product candidates and any other product candidates that we develop or in-license and advance to clinical development. Further, we have incurred and will continue to incur additional costs associated with operating as a public company. Accordingly, we may need additional financing to support our continuing operations. We may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4"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generated total revenues of $638.5 million and $385.7 million for the years ended December 31, 2025 and 2024, respectively.</w:t>
      </w:r>
    </w:p>
    <w:p>
      <w:pPr>
        <w:spacing w:after="0" w:line="225"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We expect that AUVELITY, SUNOSI, and SYMBRAVO revenues are likely to fluctuate based on demand quarter to quarter. We will not generate revenue from other products unless and until we successfully develop, obtain regulatory approval of, and commercialize one of our current or future product candidates. We have incurred significant operating losses since inception. If we fail to complete the development of our product candidates in a timely manner or obtain regulatory approval for them, our ability to generate future revenue from such product candidates, and our results of operations and financial position, would be materially and adversely affected. If we enter into licensing or collaboration arrangements, such agreements may or may not generate revenue in the future.</w:t>
      </w:r>
    </w:p>
    <w:p>
      <w:pPr>
        <w:spacing w:after="0" w:line="187"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Additionally, in the fourth quarter of 2024, we recorded a milestone revenue of $0.5 million related to an achievement of a regulatory milestone in China for SUNOSI from SK. In the first quarter of 2023, we recorded license revenue of $65.7 million related to the Pharmanovia License Agreement (as defined below). See below for more detail.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In February 2023, we entered into the Pharmanovia License Agreement with Pharmanovia to commercialize and further develop SUNOSI in the Territory. Pharmanovia is a UK-based global life cycle management healthcare company that focuses on four core therapeutic areas – Oncology, Endocrinology, Neurology and Cardiovascular.</w:t>
      </w:r>
    </w:p>
    <w:p>
      <w:pPr>
        <w:spacing w:after="0" w:line="176"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We received an upfront payment of €62.0 million ($65.7 million) during the first quarter of 2023 and are eligible to receive sales-based and other milestone payments totaling up to €94.5 million. We will receive a royalty percentage in the mid-twenties on net sales of the Licensed Products (as defined in the Pharmanovia License Agreement) in the Territory. We recognized royalty revenue of $4.7 million and $3.5 million for the years ended December 31, 2025 and 2024, respectively, related to Pharmanovia’s sales of SUNOSI.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Cost of revenue includes direct costs of formulating, manufacturing, and packaging drug product, overhead costs consisting of labor, customs, stock-based compensation, shipping, outside inventory management, royalty expense, and other miscellaneous operating costs. In the fourth quarter of 2024, we recorded a $2.5 million expense for the achievement of a sales-based milestone related to world-wide SUNOSI sales. In the first quarter of 2023, we recorded a $5.0 million license sharing expense related to the upfront license revenue received.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primarily include preclinical studies, clinical trials, manufacturing costs, employee-related expenses including salaries, benefits, travel, and stock based compensation expense, contract services, including external research and development expenses incurred under arrangements with third parties, such as contract research organizations, or CROs, facilities costs, overhead costs, depreciation, and other related costs. In addition, research and development costs also include costs related to asset acquisitions involving clinical development programs that have not yet received regulatory approval.</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have and will incur substantial costs beyond our present and planned clinical trials in order to file an NDA for any of our product candidates. It is difficult to determine with certainty the costs and duration of our current or future clinical trials and preclinical studies, or to what extent we will generate revenue from the commercialization and sale of AUVELITY, SUNOSI, and SYMBRAVO or our product candidates if we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consist of salaries and related costs for personnel in executive, commercial, finance, and operational functions, including stock-based compensation and travel expenses. Also included in selling, general and administrative expenses are marketing costs, other commercial costs, pre-commercialization costs, facility-related costs, insurance expense, professional fees for legal and accounting services, and patent filing and prosecution costs. Selling, general and administrative expenses are expensed when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Interest expense, net,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expense, net also includes interest income earned on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9"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life or that indicate the asset may be impaired.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in contingent consideration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our U.S. net sales of SUNOSI in the current indication and a mid single-digit royalty on our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We estimate the fair value of the contingent consideration as of the acquisition date and reporting periods thereafter using the estimated future cash outflows based on future sales.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280" w:firstLine="749"/>
        <w:spacing w:after="0" w:line="256"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consolidated financial statements, which have been prepared in accordance with generally accepted accounting principles in the United States of America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87"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our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8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to our audited consolidated financial statements appearing elsewhere in this report, we believe the following accounting policies are critical to the judgments and estimates we use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which includes estimates of variable consideration that result from: invoice discounts for prompt payment and distribution service fees, government rebates, PBMs and Managed Care Organization rebates, chargebacks, discounts and fees, product returns and costs of co-pay assistance programs for patients. Reserves are established for the estimates of variable consideration based on the amounts earned or to be claimed on the related sales. The reserves are classified as reductions to Accounts receivable, net or accrued expenses and other current liabilities. Our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our best estimate of the amount of consideration to which we are entitled to based on the terms of the contracts.</w:t>
      </w:r>
    </w:p>
    <w:p>
      <w:pPr>
        <w:spacing w:after="0" w:line="18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We make significant estimates and judgments that materially affect our recognition of net product revenue. Claims by third parties for rebates, chargebacks and discounts frequently are submitted to us significantly after the related sales, potentially resulting in adjustments in the period in which the new information becomes known. Rebates apply to: Medicaid, managed care, and supplemental rebates to all applicable states as defined by the statutory government 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PBMs and Managed Care Organizations. Rebates are paid to these entities upon receipt of an invoice from the contracted entity, which is based on the utilization of the product by the members of the contracted entity We estimate these rebates and records such estimates in the same period the related product sales is recognized, resulting in a reduction to product sales as well as a component of accrued expenses and other current liabilities. We will adjust our estimates based on new information, including information regarding actual rebates, chargebacks and discounts for our products, as it becomes available.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revenue</w:t>
      </w:r>
    </w:p>
    <w:p>
      <w:pPr>
        <w:spacing w:after="0" w:line="229"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generate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intellectual property is determined to be distinct from the other performance obligations identified in the arrangement, we recognize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included in the transaction price using the most likely amount method. Milestone payments that are not within our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we recognize revenue as or when the performance obligations under the contract are satisfied. At the end of each reporting period, we re-evaluate the probability of achieving development or sales-based milestone payments that a significant revenue reversal would not occur and, if necessary, adjust the estimate of the overall transaction price. Any such adjustments are recorded on a cumulative catch-up basis, which would affect license and other revenue, as well as earnings, in the period of adjustment.</w:t>
      </w:r>
    </w:p>
    <w:p>
      <w:pPr>
        <w:spacing w:after="0" w:line="189" w:lineRule="exact"/>
        <w:rPr>
          <w:sz w:val="20"/>
          <w:szCs w:val="20"/>
          <w:color w:val="auto"/>
        </w:rPr>
      </w:pPr>
    </w:p>
    <w:p>
      <w:pPr>
        <w:jc w:val="both"/>
        <w:ind w:right="50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To determine whether acquisitions should be accounted for as an acquisition of a business or as an acquisition of an asset, we make certain judgments, which include evaluating whether the acquired set of activities and assets would meet the definition of a business. If, based upon our evaluation, we determine that the inputs, processes, and outputs associated with the acquired set of activities and assets in a transaction include an input and a substantive process that together significantly contribute to the ability to create outputs, the transaction is treated as an acquisition of a business. If we determine that substantially all of the fair value of assets acquired in a transaction is concentrated in a single asset or a group of similar assets, the transaction is treated as an acquisition of assets.</w:t>
      </w:r>
    </w:p>
    <w:p>
      <w:pPr>
        <w:spacing w:after="0" w:line="187"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An acquisition of a business is accounted for under the acquisition method of accounting, which requires that assets acquired and liabilities assumed be recorded at their fair values as of the acquisition date. Significant judgments and estimates are used in determining the fair value of assets acquired and liabilities assumed. The fair values of identifiable intangible assets related to currently marketed products are determined by using an income approach, through which fair value is estimated based on each asset’s discounted projected net cash flows. Inputs used in the projected cash flows include historical and projected pricing, the underlying asset patent life, our ability to manufacture and commercialize the asset, the ability to obtain regulatory approvals and the extent and timing of potential new product introductions by competitors in the marketplace. An acquisition of a business also can include the potential for future payment of consideration that is contingent upon the achievement of certain milestones, including royalty payments on future product sales. The fair value of contingent consideration liabilities is determined at the acquisition date using unobservable inputs. Consideration in excess over the fair value of net assets acquired is recorded as goodwill.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If the acquired set of activities and assets does not meet the definition of a business, the acquisition is treated as an acquisition of an asset. In an acquisition of an asset, in-process research and development (IPR&amp;D) projects are recorded as research and development expense at the acquisition date unless there is an alternative future use, no goodwill is recorded, and contingent consideration relating to development, regulatory and commercial milestones are not recognized at the acquisition date and instead are recorded when it is probable they will occur and can be reasonably estimated.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personnel costs for our research and development employees,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reviewing contracts, vendor agreements,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We test the carrying amounts of goodwill for recoverability on an annual basis or more frequently if events or changes in circumstances indicate that the asset might be impaired. When reviewing goodwill for impairment, we first evaluate the qualitative factors to determine whether it is more likely than not that the fair value of a reporting unit is less than its carrying amount. The qualitative assessment involves consideration of factors including macroeconomic conditions, conditions specific to the industry, external cost factors that could have a significant effect on earnings or cash flows, all of which requires significant judgment.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our consolidated statements of operations. As of December 31, 2025, we determined that we have one reporting unit. We have not identified any events or changes in circumstances that indicate the existence of potential impairment of goodwill during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w:t>
      </w:r>
    </w:p>
    <w:p>
      <w:pPr>
        <w:spacing w:after="0" w:line="229" w:lineRule="exact"/>
        <w:rPr>
          <w:sz w:val="20"/>
          <w:szCs w:val="20"/>
          <w:color w:val="auto"/>
        </w:rPr>
      </w:pPr>
    </w:p>
    <w:p>
      <w:pPr>
        <w:jc w:val="both"/>
        <w:ind w:right="220" w:firstLine="749"/>
        <w:spacing w:after="0" w:line="255" w:lineRule="auto"/>
        <w:rPr>
          <w:sz w:val="20"/>
          <w:szCs w:val="20"/>
          <w:color w:val="auto"/>
        </w:rPr>
      </w:pPr>
      <w:r>
        <w:rPr>
          <w:rFonts w:ascii="Times New Roman" w:cs="Times New Roman" w:eastAsia="Times New Roman" w:hAnsi="Times New Roman"/>
          <w:sz w:val="18"/>
          <w:szCs w:val="18"/>
          <w:color w:val="auto"/>
        </w:rPr>
        <w:t>The intangible asset is amortized using the straight-line method over its estimated period of benefit of ten years. We evaluate recoverability of the intangible asset periodically by considering events or changes in circumstances that may warrant revised estimates of useful lives or that indicate the asset may be impaired. When impairment indicators are present, we assess the undiscounted projected cash flow for the asset and compare this estimated amount to carrying amount. If the carrying amount is greater, we record an impairment loss for the amount equal to the excess carrying amount over fair value. Due to the nature of estimating project cash flows for an asset, there is significant judgment involved in determining the fair value of an intangible asset. We have not identified any events or changes in circumstances that indicate the existence of potential impairment of the intangible asset during the year ended December 31,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contingent consideration. In connection with the Acquisition, we have obligations to make royalty payments to Jazz in the high single-digits on our U.S. net sales of SUNOSI in the current indication and a mid single-digit royalty on our U.S. net sales of SUNOSI for future indications. We estimate fair value of contingent consideration liabilities using the probability weighted income approach as of the date of acquisition, with subsequent changes in fair value recorded in the consolidated statements of operations during such period a change is recognized. During each reporting period, significant assumptions are required in determining fair value, including estimating the future sales of SUNOSI in current and future indications, timing of regulatory and commercial milestone achievements, probability of technical and regulatory success rates, and discount rates. Significant judgment is used in assessing the appropriateness of these assumptions as one or more may involve inputs that are not observable in the market. Accordingly, changes in the assumptions may have a material impact on the change in fair value of contingent consideration liabilities recorded in any given period.</w:t>
      </w:r>
    </w:p>
    <w:p>
      <w:pPr>
        <w:spacing w:after="0" w:line="188"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fair value measurement of the contingent consideration is sensitive to the change in discount rates. As of December 31, 2025, if the discount rate increases or decreases by approximately 1%, the fair value of the contingent consideration would range from $79.5 million to $89.5 million. As of December 31, 2025, if the revenue discount rate increases or decreases by approximately 1%, the fair value of the contingent consideration would range from $80.6 million to $88.3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to be sustained upon examination based on the technical merits of the position as well as consideration of the available facts and circumstances. When uncertain tax positions exist, we recognize the tax benefit of tax positions to the extent that the benefit will more likely than not be realized. As of December 31, 2025, we recognized gross uncertain tax positions which have been recognized as a reduction to deferred tax assets.</w:t>
      </w:r>
    </w:p>
    <w:p>
      <w:pPr>
        <w:spacing w:after="0" w:line="180"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As of December 31, 2025, we had U.S. federal net operating loss carryforwards of approximately $577.9 million and foreign NOL carryforwards of $281.3 million. U.S. federal NOLs amounting to $59.8 million generated before the 2018 tax year will start expiring beginning 2032, and the NOLs of approximately $518.1 million generated in 2018 and later have an indefinite carryforward period.</w:t>
      </w:r>
    </w:p>
    <w:p>
      <w:pPr>
        <w:spacing w:after="0" w:line="176"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Utilization of the NOLs may be subject to a substantial annual limitation due to ownership change limitations provided by the Internal Revenue Code of 1986, as amended. The annual limitation for net operating losses incurred before the 2018 tax year may result in expiration before we can use them. We have recorded a valuation allowance against substantially all of our deferred tax assets.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-43815</wp:posOffset>
            </wp:positionV>
            <wp:extent cx="64135" cy="393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46" w:lineRule="exact"/>
        <w:rPr>
          <w:sz w:val="20"/>
          <w:szCs w:val="20"/>
          <w:color w:val="auto"/>
        </w:rPr>
      </w:pPr>
    </w:p>
    <w:p>
      <w:pPr>
        <w:ind w:right="180" w:firstLine="749"/>
        <w:spacing w:after="0" w:line="258" w:lineRule="auto"/>
        <w:rPr>
          <w:sz w:val="20"/>
          <w:szCs w:val="20"/>
          <w:color w:val="auto"/>
        </w:rPr>
      </w:pPr>
      <w:r>
        <w:rPr>
          <w:rFonts w:ascii="Times New Roman" w:cs="Times New Roman" w:eastAsia="Times New Roman" w:hAnsi="Times New Roman"/>
          <w:sz w:val="18"/>
          <w:szCs w:val="18"/>
          <w:color w:val="auto"/>
        </w:rPr>
        <w:t>For issued stock options, we estimate the grant date fair value of each option using the Black-Scholes option pricing model. The Black-Scholes model requires management to make assumptions, including expected volatility of our common stock, the risk-free interest rate, the expected term of the option, the fair value of our common stock, expected dividend yield, and the exercise price. Certain assumptions utilized in the Black-Scholes calculation involve a number of variables, uncertainties, and application of management judgment that are inherently subjective. Significant changes in these assumptions can materially affect the fair value and ultimately the amount of stock-based compensation expense that is recognized.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(in thousands, except share and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40" w:type="dxa"/>
            <w:vAlign w:val="bottom"/>
            <w:gridSpan w:val="6"/>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 net</w:t>
            </w:r>
          </w:p>
        </w:tc>
        <w:tc>
          <w:tcPr>
            <w:tcW w:w="19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633,796</w:t>
            </w:r>
          </w:p>
        </w:tc>
        <w:tc>
          <w:tcPr>
            <w:tcW w:w="16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Royalty revenue and milestone revenue</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638,496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100" w:type="dxa"/>
            <w:vAlign w:val="bottom"/>
          </w:tcPr>
          <w:p>
            <w:pPr>
              <w:spacing w:after="0"/>
              <w:rPr>
                <w:sz w:val="18"/>
                <w:szCs w:val="18"/>
                <w:color w:val="auto"/>
              </w:rPr>
            </w:pP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183,279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187,077</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411,359</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(2,473)</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5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00" w:type="dxa"/>
            <w:vAlign w:val="bottom"/>
          </w:tcPr>
          <w:p>
            <w:pPr>
              <w:spacing w:after="0"/>
              <w:rPr>
                <w:sz w:val="18"/>
                <w:szCs w:val="18"/>
                <w:color w:val="auto"/>
              </w:rPr>
            </w:pPr>
          </w:p>
        </w:tc>
      </w:tr>
      <w:tr>
        <w:trPr>
          <w:trHeight w:val="209"/>
        </w:trPr>
        <w:tc>
          <w:tcPr>
            <w:tcW w:w="6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805,258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666,255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(280,562)</w:t>
            </w:r>
          </w:p>
        </w:tc>
      </w:tr>
      <w:tr>
        <w:trPr>
          <w:trHeight w:val="216"/>
        </w:trPr>
        <w:tc>
          <w:tcPr>
            <w:tcW w:w="6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(6,557)</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(6,569)</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(183,704)</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(287,131)</w:t>
            </w: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(183,174)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(287,216)</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6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5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(3.68)</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(5.99)</w:t>
            </w: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5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49,747,178</w:t>
            </w: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47,914,253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-2322195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-1199515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-350520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-333375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Product sales, net. </w:t>
      </w:r>
      <w:r>
        <w:rPr>
          <w:rFonts w:ascii="Times New Roman" w:cs="Times New Roman" w:eastAsia="Times New Roman" w:hAnsi="Times New Roman"/>
          <w:sz w:val="18"/>
          <w:szCs w:val="18"/>
          <w:color w:val="auto"/>
        </w:rPr>
        <w:t>AUVELITY U.S. net sales were $507.1 million and $291.4 million for the years ended December 31, 2025 and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SUNOSI net sales were $120.1 million and $90.3 million for the years ended December 31, 2025 and 2024, respectively. We began commercial sales of SYMBRAVO in June 2025 and had U.S. net sales of $6.6 million for the year ended December 31, 2025. There were no SYMBRAVO sales recorded in 2024, which reflects the timing of the SYMBRAVO approval and launch. The increases were primarily due to the increase in unit sales volume for both AUVELITY and SUNOSI, and commercial launch of SYMBRAVO in June 2025.</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activity of our sales allowance and reserves as of and for the year ended December 31, 2025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discounts and</w:t>
            </w:r>
          </w:p>
        </w:tc>
        <w:tc>
          <w:tcPr>
            <w:tcW w:w="80" w:type="dxa"/>
            <w:vAlign w:val="bottom"/>
          </w:tcPr>
          <w:p>
            <w:pPr>
              <w:spacing w:after="0"/>
              <w:rPr>
                <w:sz w:val="12"/>
                <w:szCs w:val="12"/>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Cash discounts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Medicaid and</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3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rebates, returns</w:t>
            </w:r>
          </w:p>
        </w:tc>
        <w:tc>
          <w:tcPr>
            <w:tcW w:w="8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chargebacks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Medicare rebates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55,412</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18,538</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Payments/credits</w:t>
            </w: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(322,535)</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(138,391)</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(71,533)</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(532,459)</w:t>
            </w:r>
          </w:p>
        </w:tc>
        <w:tc>
          <w:tcPr>
            <w:tcW w:w="0" w:type="dxa"/>
            <w:vAlign w:val="bottom"/>
          </w:tcPr>
          <w:p>
            <w:pPr>
              <w:spacing w:after="0"/>
              <w:rPr>
                <w:sz w:val="1"/>
                <w:szCs w:val="1"/>
                <w:color w:val="auto"/>
              </w:rPr>
            </w:pPr>
          </w:p>
        </w:tc>
      </w:tr>
      <w:tr>
        <w:trPr>
          <w:trHeight w:val="209"/>
        </w:trPr>
        <w:tc>
          <w:tcPr>
            <w:tcW w:w="5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105,003</w:t>
            </w:r>
          </w:p>
        </w:tc>
        <w:tc>
          <w:tcPr>
            <w:tcW w:w="16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45,242</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172,455</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Royalty and milestone revenue. </w:t>
      </w:r>
      <w:r>
        <w:rPr>
          <w:rFonts w:ascii="Times New Roman" w:cs="Times New Roman" w:eastAsia="Times New Roman" w:hAnsi="Times New Roman"/>
          <w:sz w:val="18"/>
          <w:szCs w:val="18"/>
          <w:color w:val="auto"/>
        </w:rPr>
        <w:t>Royalty revenue was $4.7 million for the year ended December 31, 2025, as compared to $3.5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2024 attributable to Pharmanovia sales of SUNOSI in the out-licensed markets. The increase was in line with the increase in unit sales volume of SUNOSI in certain ex-U.S. markets. Further, in the fourth quarter of 2024, we recognized milestone revenue of $0.5 million related to an achievement of a regulatory milestone in China for SUNOSI from SK.</w:t>
      </w:r>
    </w:p>
    <w:p>
      <w:pPr>
        <w:spacing w:after="0" w:line="180" w:lineRule="exact"/>
        <w:rPr>
          <w:sz w:val="20"/>
          <w:szCs w:val="20"/>
          <w:color w:val="auto"/>
        </w:rPr>
      </w:pPr>
    </w:p>
    <w:p>
      <w:pPr>
        <w:jc w:val="both"/>
        <w:ind w:right="3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was $47.5 million for the year ended December 31, 2025, as compared to $33.3 million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The increase was in line with the increase in sales of AUVELITY and SUNOSI. Cost of revenue for the year ended December 31, 2024 includes a $2.5 million expense for the achievement of a sales-based milestone related to world-wide SUNOSI sales.</w:t>
      </w:r>
    </w:p>
    <w:p>
      <w:pPr>
        <w:spacing w:after="0" w:line="173" w:lineRule="exact"/>
        <w:rPr>
          <w:sz w:val="20"/>
          <w:szCs w:val="20"/>
          <w:color w:val="auto"/>
        </w:rPr>
      </w:pPr>
    </w:p>
    <w:p>
      <w:pPr>
        <w:ind w:right="46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The following table summarizes our research and development expenses for our primary products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2025 and 2024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6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Solriamfetol</w:t>
            </w:r>
          </w:p>
        </w:tc>
        <w:tc>
          <w:tcPr>
            <w:tcW w:w="9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12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AXS-05</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55,312</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AXS-07</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AXS-12</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AXS-14</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research and development (*)</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26,828</w:t>
            </w: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9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183,279</w:t>
            </w:r>
          </w:p>
        </w:tc>
        <w:tc>
          <w:tcPr>
            <w:tcW w:w="12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187,077</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right="180" w:firstLine="8"/>
        <w:spacing w:after="0" w:line="261" w:lineRule="auto"/>
        <w:tabs>
          <w:tab w:leader="none" w:pos="204"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research and development expenses primarily consist of facilities charges, third party consultant costs, costs related to other product candidates, costs related to asset acquisitions, and other unallocated costs.</w:t>
      </w:r>
    </w:p>
    <w:p>
      <w:pPr>
        <w:spacing w:after="0" w:line="16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$3.8 million for the year ended December 31, 2025, as compared to the year ended December 31, 2024. The decrease was primarily due to the completion of trials for solriamfetol in ADHD and MDD, and trials for AXS-05 in AD agitation, partially offset by asset acquisition costs and higher CMC costs for AXS-07. We expect research and development costs to moderately increase in 2026 as new development programs commence while certain development programs near completion.</w:t>
      </w:r>
    </w:p>
    <w:p>
      <w:pPr>
        <w:spacing w:after="0" w:line="178"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Selling, general and administrative expenses were $570.6 million for the year ended December 31, 2025,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$411.4 million for the year ended December 31, 2024. The increase was primarily related to higher commercial activities for AUVELITY, including a national direct-to-consumer advertising campaign and sales force expansion, the commercial launch of SYMBRAVO, and higher personnel costs related to organizational growth, including non-cash stock-based compensation. We anticipate SG&amp;A expenses to increase in 2026 as we increase marketing and promotional spending for AUVELITY and continue launch support for SYMBRAVO.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Loss (Gain) in Fair Value of Contingent Consideration. </w:t>
      </w:r>
      <w:r>
        <w:rPr>
          <w:rFonts w:ascii="Times New Roman" w:cs="Times New Roman" w:eastAsia="Times New Roman" w:hAnsi="Times New Roman"/>
          <w:sz w:val="18"/>
          <w:szCs w:val="18"/>
          <w:color w:val="auto"/>
        </w:rPr>
        <w:t>The $2.5 million change for the year ended December 31, 2025, as compared to a $28.1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change for the year ended December 31, 2024 was primarily related to changes in significant unobservable inputs, including discount rates, and significant assumptions, including future sales estimates.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Intangible asset amortization</w:t>
      </w:r>
      <w:r>
        <w:rPr>
          <w:rFonts w:ascii="Times New Roman" w:cs="Times New Roman" w:eastAsia="Times New Roman" w:hAnsi="Times New Roman"/>
          <w:sz w:val="18"/>
          <w:szCs w:val="18"/>
          <w:color w:val="auto"/>
        </w:rPr>
        <w:t>. We amortize the intangible asset, which we recognized as part of the Acquisition, over its useful life of 10 years.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 amortization was $6.4 million for both the years ended December 31, 2025 and 2024.</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was $6.6 million for both the years ended December 31, 2025 and 2024.</w:t>
      </w:r>
    </w:p>
    <w:p>
      <w:pPr>
        <w:spacing w:after="0" w:line="225" w:lineRule="exact"/>
        <w:rPr>
          <w:sz w:val="20"/>
          <w:szCs w:val="20"/>
          <w:color w:val="auto"/>
        </w:rPr>
      </w:pPr>
    </w:p>
    <w:p>
      <w:pPr>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We recorded an income tax benefit of $0.5 million for the year ended December 31, 2025 due to favorable return-to-provision adjustments attributable to certain foreign tax returns filed during the year. We recorded an income tax expense of $0.1 million for the year ended December 31, 2024 due to state taxes that we expect to pay based on minimum tax requirements in various states.</w:t>
      </w:r>
    </w:p>
    <w:p>
      <w:pPr>
        <w:spacing w:after="0" w:line="173"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loss. </w:t>
      </w:r>
      <w:r>
        <w:rPr>
          <w:rFonts w:ascii="Times New Roman" w:cs="Times New Roman" w:eastAsia="Times New Roman" w:hAnsi="Times New Roman"/>
          <w:sz w:val="18"/>
          <w:szCs w:val="18"/>
          <w:color w:val="auto"/>
        </w:rPr>
        <w:t>Net loss for the year ended December 31, 2025 was $183.2 million as compared to $287.2 million for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The decrease was primarily due to higher net product revenues from AUVELITY and SUNOSI, which was partially offset by higher selling, general and administrative expenses from commercial activities for AUVELITY, including a national direct-to-consumer advertising campaign and sales force expansion, the commercial launch of SYMBRAVO, and higher personnel costs related to organizational growth, including non-cash stock-based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580" w:firstLine="749"/>
        <w:spacing w:after="0" w:line="282" w:lineRule="auto"/>
        <w:rPr>
          <w:sz w:val="20"/>
          <w:szCs w:val="20"/>
          <w:color w:val="auto"/>
        </w:rPr>
      </w:pPr>
      <w:r>
        <w:rPr>
          <w:rFonts w:ascii="Times New Roman" w:cs="Times New Roman" w:eastAsia="Times New Roman" w:hAnsi="Times New Roman"/>
          <w:sz w:val="18"/>
          <w:szCs w:val="18"/>
          <w:color w:val="auto"/>
        </w:rPr>
        <w:t>Since our inception through December 31, 2025, we have financed our operations primarily through proceeds from equity offerings, debt borrowings, and proceeds from product sales. See discussion below.</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In March 2022, we entered into a sales agreement with Leerink, or the March 2022 Sales Agreement with Leerink, and filed a prospectus supplement. The March 2022 Sales Agreement supersedes the sales agreement, dated December 5, 2019, by and between us and Leerink. We exhausted sales of shares of our common stock under our prior at-the-market offering program.</w:t>
      </w:r>
    </w:p>
    <w:p>
      <w:pPr>
        <w:spacing w:after="0" w:line="176"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received approximately $52.9 million in gross proceeds through the sale of 451,176 shares, of which net proceeds were approximately $51.9 million. For the year ended December 31, 2024, we received approximately $40.8 million in gross proceeds through the sale of 466,108 shares, of which net proceeds were approximately $40.0 million. We did not utilize the March 2022 Sales Agreement with Leerink during the year ended December 31, 2023.</w:t>
      </w:r>
    </w:p>
    <w:p>
      <w:pPr>
        <w:spacing w:after="0" w:line="180" w:lineRule="exact"/>
        <w:rPr>
          <w:sz w:val="20"/>
          <w:szCs w:val="20"/>
          <w:color w:val="auto"/>
        </w:rPr>
      </w:pPr>
    </w:p>
    <w:p>
      <w:pPr>
        <w:jc w:val="both"/>
        <w:ind w:right="140" w:firstLine="749"/>
        <w:spacing w:after="0" w:line="258" w:lineRule="auto"/>
        <w:rPr>
          <w:sz w:val="20"/>
          <w:szCs w:val="20"/>
          <w:color w:val="auto"/>
        </w:rPr>
      </w:pPr>
      <w:r>
        <w:rPr>
          <w:rFonts w:ascii="Times New Roman" w:cs="Times New Roman" w:eastAsia="Times New Roman" w:hAnsi="Times New Roman"/>
          <w:sz w:val="18"/>
          <w:szCs w:val="18"/>
          <w:color w:val="auto"/>
        </w:rPr>
        <w:t>In June 2023, we completed an underwritten public offering of our common stock and sold 3.0 million shares of our common stock at a public offering price of $75.00 per share.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our common stock, at a public offering price of $75.00 per share. The net proceeds were $31.7 million, net of underwriting discounts and commissions of $2.0 million and other minimal offering costs.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the future, we may conduct additional offerings of one or more of the securities covered by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On February 21, 2023, we entered into a Sublease with Advance Magazine Publishers d/b/a Conde Nast for the entirety of the twenty-second floor of One World Trade Center in New York, NY, or the Sublease.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On January 17, 2025, we entered into an Amendment to our Sublease, or the First Amendment, pursuant to which we relinquished our then existing space in One World Trade Center and commenced occupancy of different space within the building. This space is utilized as our corporate and executive offices. The First Amendment extends the Sublease expiration date to January 31, 2036. We now have a one-time option to terminate the Sublease effective March 30, 2031 upon the payment of a fee to the sublandlord. The Company is responsible for base rent under the Sublease and certain additional customary variable costs, such as an allocable portion of building taxes and operating expenses. In connection with the Sublease and First Amendment, we received certain rent and work concessions from the sublandlord.</w:t>
      </w:r>
    </w:p>
    <w:p>
      <w:pPr>
        <w:spacing w:after="0" w:line="187"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The Company entered into a fleet lease program in the first quarter of 2024. The lease agreement includes an initial 12-month noncancelable period with monthly renewal options thereafter. Lease terms range from approximately 40 to 50 months and are classified as finance leases. See Note 10. Commitments and Contingencies for further information on future contractual obligations.</w:t>
      </w:r>
    </w:p>
    <w:p>
      <w:pPr>
        <w:spacing w:after="0" w:line="176"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As described below in the “Loan Agreement with Blackstone” section, on May 8, 2025, we entered into the Blackstone Loan Agreement with Blackstone, certain subsidiaries of our party thereto as guarantors, Wilmington Trust, and the Lenders. The Blackstone Loan Agreement provides for Loans in an aggregate principal amount of up to $570.0 million. Further, we entered into a securities purchase agreement with Blackstone, and its affiliates, for the private placement (the “Private Placement”) of an aggregate of 140,000 shares of our common stock, at a purchase price of $107.14 per share. Gross proceeds from the Private Placement were approximately $15.0 million. The closing of the Private Placement occurred contemporaneously with the closing of the Blackstone Loan Agreement.</w:t>
      </w:r>
    </w:p>
    <w:p>
      <w:pPr>
        <w:spacing w:after="0" w:line="18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December 31, 2025, there are no outstanding obligations under the Hercules Loan Agreement.</w:t>
      </w:r>
    </w:p>
    <w:p>
      <w:pPr>
        <w:spacing w:after="0" w:line="162"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is sufficient to fund anticipated operations into cash flow positivity, based on the current operating plan.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our primary sources and uses of cash for the periods indicated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500" w:type="dxa"/>
            <w:vAlign w:val="bottom"/>
            <w:gridSpan w:val="7"/>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0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68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(93,405)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(128,410)</w:t>
            </w: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7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(480)</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7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100" w:type="dxa"/>
            <w:vAlign w:val="bottom"/>
          </w:tcPr>
          <w:p>
            <w:pPr>
              <w:spacing w:after="0"/>
              <w:rPr>
                <w:sz w:val="18"/>
                <w:szCs w:val="18"/>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7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7,580</w:t>
            </w:r>
          </w:p>
        </w:tc>
        <w:tc>
          <w:tcPr>
            <w:tcW w:w="16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(70,840)</w:t>
            </w: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7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22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used in operating activities for the year ended December 31, 2025 was $93.4 million as compared to $128.4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2024. The decrease of $35.0 million was mainly due to higher net product revenues from AUVELITY and SUNOSI, which was offset by the increase in cash used in commercial activities in 2025.</w:t>
      </w:r>
    </w:p>
    <w:p>
      <w:pPr>
        <w:spacing w:after="0" w:line="173" w:lineRule="exact"/>
        <w:rPr>
          <w:sz w:val="20"/>
          <w:szCs w:val="20"/>
          <w:color w:val="auto"/>
        </w:rPr>
      </w:pPr>
    </w:p>
    <w:p>
      <w:pPr>
        <w:ind w:right="18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for the year ended December 31, 2025 was $480 thousand, as compared to $270 thousand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 ended December 31, 2024. The increase was mainly due to additional equipment purchases to support our organizational growth.</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provided by financing activities was $101.5 million for the year ended December 31, 2025, which primarily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proceeds of $66.7 million from issuance of common stock for financing purposes as well as proceeds of $59.6 million from the issuance of common stock upon the exercise of employee stock options and under the 2023 Employee Stock Purchase Plan, or ESPP, which was partially offset by payments of contingent consideration and tax withholdings on stock awards, for a total of $17.1 million. Financing activities also include $330.0 million in gross proceeds from the Blackstone term loan and revolving credit facilities and $332.0 million in repayments for the Hercules term loan and Blackstone revolving credit facilities. Cash provided by financing activities was $57.8 million for the year ended December 31, 2024, which included net proceeds of $40.0 million from issuance of common stock for financing purposes as well as proceeds of $30.7 million from the issuance of common stock upon the exercise of employee stock options and under the ESPP, which was partially offset by payments of contingent consideration and tax withholdings on stock awards, for a total of $11.8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29" w:lineRule="exact"/>
        <w:rPr>
          <w:sz w:val="20"/>
          <w:szCs w:val="20"/>
          <w:color w:val="auto"/>
        </w:rPr>
      </w:pPr>
    </w:p>
    <w:p>
      <w:pPr>
        <w:ind w:right="240" w:firstLine="749"/>
        <w:spacing w:after="0" w:line="261" w:lineRule="auto"/>
        <w:rPr>
          <w:sz w:val="20"/>
          <w:szCs w:val="20"/>
          <w:color w:val="auto"/>
        </w:rPr>
      </w:pPr>
      <w:r>
        <w:rPr>
          <w:rFonts w:ascii="Times New Roman" w:cs="Times New Roman" w:eastAsia="Times New Roman" w:hAnsi="Times New Roman"/>
          <w:sz w:val="18"/>
          <w:szCs w:val="18"/>
          <w:color w:val="auto"/>
        </w:rPr>
        <w:t>We have not achieved profitability since our inception, and we expect to continue to have losses as we continue the development of, and seek regulatory approvals for, our product candidates, while further investing in AUVELITY, SUNOSI, and SYMBRAVO. We are subject to all of the risks pertinent to the development of new product candidates, and we may encounter unforeseen expenses, difficulties, complications, delays, and other unknown factors that may harm our business.</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83"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 of our clinical studies and other related activities;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collaborative agreements for the development and commercialization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any other product candidates that we pursue;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reviews of our product candidates;</w:t>
      </w:r>
    </w:p>
    <w:p>
      <w:pPr>
        <w:spacing w:after="0" w:line="225"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our commercialization activities, including product manufacturing, marketing, sales, and distribution, for any of our products and product candidates for which we receive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related to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needed to attract and retain skilled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and administrative expenses related to being a public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commercial sales of our products and product candidates for which we receive marketing approval; and</w:t>
      </w:r>
    </w:p>
    <w:p>
      <w:pPr>
        <w:spacing w:after="0" w:line="225" w:lineRule="exact"/>
        <w:rPr>
          <w:rFonts w:ascii="Times New Roman" w:cs="Times New Roman" w:eastAsia="Times New Roman" w:hAnsi="Times New Roman"/>
          <w:sz w:val="18"/>
          <w:szCs w:val="18"/>
          <w:color w:val="auto"/>
        </w:rPr>
      </w:pPr>
    </w:p>
    <w:p>
      <w:pPr>
        <w:ind w:left="760" w:right="520" w:hanging="378"/>
        <w:spacing w:after="0" w:line="239" w:lineRule="exact"/>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7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“Risk Factors” for additional risks associated with our substantial capital requirements.</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Pfizer</w:t>
      </w:r>
    </w:p>
    <w:p>
      <w:pPr>
        <w:spacing w:after="0" w:line="22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83"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upon the achievement of certain regulatory and sales milestones, and tiered mid-single to low double-digit royalties on future sales of any such approved clinical products containing compounds reboxetine and esreboxetine. Pfizer will also have a right of first negotiation on any potential future strategic transactions involving AXS-12 and AXS-14.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 with Antecip Bioventures</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Under three exclusive license agreements with Antecip, an entity owned by our Chief Executive Officer and Chairman of the Board, Herriot Tabuteau, M.D., we are obligated to make specified royalty payments ranging from 1.5% to 4.5%, subject to up to a 50% reduction depending on required payments to third parties, on net sales of our products containing the licensed technology of AXS-02, AXS-05, and AXS-04.</w:t>
      </w:r>
    </w:p>
    <w:p>
      <w:pPr>
        <w:spacing w:after="0" w:line="176"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(see below), Antecip consented to the collateral assignment of one of the license agreements, among other things, under a direct agreement among us, Antecip, a related party, and Blackstone. This new direct agreement superseded the prior direct agreement among us, Antecip, a related party, and Hercules Capital, Inc. (“Hercules”) that had been entered into in connection with the Hercules Loan Agreement, which terminated automatically upon repayment of our Hercules loan obligations in full on May 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Acquisitions</w:t>
      </w:r>
    </w:p>
    <w:p>
      <w:pPr>
        <w:spacing w:after="0" w:line="227"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In November 2025, we acquired all the outstanding shares of Baergic. The acquisition provided global rights to AZD7325 (AXS-17), an oral GABA</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8"/>
          <w:szCs w:val="18"/>
          <w:color w:val="auto"/>
        </w:rPr>
        <w:t xml:space="preserve"> receptor α2,3 subtype-selective PAM, originally licensed from AstraZeneca AB (AZ), for the potential treatment of epilepsy. We also assumed the AZD7325 license agreement between Baergic and AZ. The total upfront payment was $2.3 million, and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196"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In December 2025, we acquired the global rights to deuterium-stabilized S-bupropion from DeuteRx. DeuteRx is eligible to receive contingent development, regulatory and sales-based milestones of up to $523 million and a tiered low single-digit royalty on potential global net sales.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Agreement with Blackstone.</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On the Closing Date, we entered into the Blackstone Loan Agreement with Blackstone, certain subsidiaries of ours party thereto as guarantors, Wilmington Trust, and the Lenders, providing for loans in an aggregate principal amount of up to $570.0 million, consisting of (i) a first lien senior secured term loan in an aggregate principal amount of $120.0 million funded to us on the Closing Date, (ii) a $180.0 million senior secured term loan which is available to us at our option, of which $90.0 million is available to us until May 31, 2026, and of which the remaining $90.0 million is available until May 31, 2027 (the “Term Loans”) and (iii) a super senior revolving credit facility in an aggregate principal amount of up to $70.0 million available at our option (the “Revolver” and collectively with the Term Loans, the “Loans”). The Blackstone Loan Agreement also permits us,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our obligations under the Hercules Loan Agreement, which resulted in a recording of a loss on debt extinguishment of approximately $10.4 million in the Company’s consolidated statement of operations. The Term Loans bear interest at a variable SOFR plus 4.75%. The Revolver bears interest at SOFR plus 4.0%. The maturity date of the Loans is May 8, 2030. The Blackstone Loan Agreement provides for additional drawdowns at our option, subject to certain conditions, and includes customary covenants and a minimum liquidity covenant of $30.0 million. The obligations under the Blackstone Loan Agreement are secured by a first lien on certain assets of ours and our subsidiaries.</w:t>
      </w:r>
    </w:p>
    <w:p>
      <w:pPr>
        <w:spacing w:after="0" w:line="18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On May 8, 2025, we repaid in full our obligations under the Hercules Loan Agreement using proceeds from the Blackstone Loan Agreement. As of December 31, 2025, there are no outstanding obligations under the Hercules Loan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Agreements</w:t>
      </w:r>
    </w:p>
    <w:p>
      <w:pPr>
        <w:spacing w:after="0" w:line="227"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Pursuant to the Asset Purchase Agreement, dated as of March 25, 2022, or the Purchase Agreement, we agreed to make non-refundable, non-creditable royalty payments to Jazz equal to a (A) high-single digit royalty for any Current Indication or (B) mid-single digit royalty for any Future Indication, of net sales in the U.S. Territory made during the applicable Royalty Term (in each case, as those terms are defined in the Purchase Agreement). There are no royalty payments due to Jazz for net sales outside of the U.S. Territory.</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At the initial closing, we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our sales of SUNOSI, and we are committed to pay up to $162.5 million based on revenue milestones and $1.0 million based on development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On November 3, 2025, we filed an automatic shelf registration statement (File No. 333-291228) with the SEC for the issuance of common stock, preferred stock, warrants, rights, debt securities, and units up to an unlimited amount, which we refer to as the 2025 Shelf Registration Statement. In the future, we may conduct additional offerings of one or more of these securities utilizing the 2025 Shelf Registration Statement in such amounts, prices and terms to be announced when and if the securities are offered. At the time any of our securities covered by the 2025 Shelf Registration Statement are offered for sale, a prospectus supplement will be prepared and filed with the SEC containing specific information about the terms of any such offering.</w:t>
      </w:r>
    </w:p>
    <w:p>
      <w:pPr>
        <w:spacing w:after="0" w:line="18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Also in connection with the 2025 Shelf Registration Statement, we filed a new sales agreement prospectus to replace the prior prospectus supplement filed in December 2022, which would have expired in December 2025. The new sales agreement prospectus covered the issuance and sale by us of up to the same $250 million of our common stock that may be issued and sold from time to time through Leerink, as the sales agent, under the March 2022 Sales Agreement.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8" w:lineRule="exact"/>
        <w:rPr>
          <w:sz w:val="20"/>
          <w:szCs w:val="20"/>
          <w:color w:val="auto"/>
        </w:rPr>
      </w:pPr>
    </w:p>
    <w:p>
      <w:pPr>
        <w:ind w:right="140" w:firstLine="749"/>
        <w:spacing w:after="0" w:line="245" w:lineRule="exact"/>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by applicable SEC regulations.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Refer to Note 2. Summary of Significant Accounting Policies to our consolidated financial statements included in Part IV, Exhibits and Financial Statement Schedules, of this Annual Report on Form 10-K for a discussion of recently issued accounting pronouncements.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27" w:lineRule="exact"/>
        <w:rPr>
          <w:sz w:val="20"/>
          <w:szCs w:val="20"/>
          <w:color w:val="auto"/>
        </w:rPr>
      </w:pPr>
    </w:p>
    <w:p>
      <w:pPr>
        <w:ind w:firstLine="749"/>
        <w:spacing w:after="0" w:line="219" w:lineRule="exact"/>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market risks are principally limited to interest rate fluctuations. We had cash of $322.9 million as of December 31, 2025.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our investment portfolio and debt agreement, which use short-term interest rates and the SOFR, respectively,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Risk</w:t>
      </w:r>
    </w:p>
    <w:p>
      <w:pPr>
        <w:spacing w:after="0" w:line="227"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We contract with vendors and third-party manufacturers located in Europe and certain invoices are denominated in foreign currencies. Royalty revenues from Pharmanovia are derived from their sales of SUNOSI in ex-U.S markets and those sales are primarily denominated in Euros. We are therefore subject to fluctuations in foreign currency rates for the Euro, Swiss Franc, and British Pound, in connection with these agreements, and recognize foreign exchange gains or losses in our statement of operations. We have not historically hedged our foreign currency exchange rate risk. To date, we have not incurred any material effects from foreign currency changes on these transactions.</w:t>
      </w:r>
    </w:p>
    <w:p>
      <w:pPr>
        <w:spacing w:after="0" w:line="183" w:lineRule="exact"/>
        <w:rPr>
          <w:sz w:val="20"/>
          <w:szCs w:val="20"/>
          <w:color w:val="auto"/>
        </w:rPr>
      </w:pPr>
    </w:p>
    <w:p>
      <w:pPr>
        <w:ind w:right="440" w:firstLine="749"/>
        <w:spacing w:after="0" w:line="282" w:lineRule="auto"/>
        <w:rPr>
          <w:sz w:val="20"/>
          <w:szCs w:val="20"/>
          <w:color w:val="auto"/>
        </w:rPr>
      </w:pPr>
      <w:r>
        <w:rPr>
          <w:rFonts w:ascii="Times New Roman" w:cs="Times New Roman" w:eastAsia="Times New Roman" w:hAnsi="Times New Roman"/>
          <w:sz w:val="18"/>
          <w:szCs w:val="18"/>
          <w:color w:val="auto"/>
        </w:rPr>
        <w:t>We do not believe a 10% change in these currencies on December 31, 2025 would have had a material effect on our results of operations or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pricing of contracts. We do not believe that inflation has had a material effect on our business, financial condition, or results of operations during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consolidated financial statements and the notes thereto, included in Part IV, Item 15(a), part 1, are incorporated by reference into this Item 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DISCLOSURE.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Our management, with the participation of our principal executive officer and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evaluated the effectiveness of our disclosure controls and procedures as of December 31, 2025. The term “disclosure controls and procedures,” as defined in Rules 13a-15(e) and 15d-15(e) under the Exchange Act, mean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Disclosure controls include, without limitation, controls and procedures designed to ensure that information required to be disclosed by a company in the reports that it files or submits under the Exchange Act is accumulated and communicated to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2025, our principal executive officer and principal financial officer concluded that, as of such date, our disclosure controls and procedures were effective.</w:t>
      </w:r>
    </w:p>
    <w:p>
      <w:pPr>
        <w:spacing w:after="0" w:line="192"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Management’s Annual Report on Internal Controls over Financial Reporting. </w:t>
      </w:r>
      <w:r>
        <w:rPr>
          <w:rFonts w:ascii="Times New Roman" w:cs="Times New Roman" w:eastAsia="Times New Roman" w:hAnsi="Times New Roman"/>
          <w:sz w:val="18"/>
          <w:szCs w:val="18"/>
          <w:color w:val="auto"/>
        </w:rPr>
        <w:t>Our management is responsible for establishing and maintaining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adequate internal controls over financial reporting (as defined in Rule 13a-15(f) or Rule 15d-15(f) under the Exchange Act). Our management assessed the effectiveness of our internal controls over financial reporting as of December 31, 2025. In making this assessment, our management used the criteria established in Internal Control – Integrated Framework (2013) issued by the Committee of Sponsoring Organizations of the Treadway Commission, or COSO Framework. Our management has concluded that, as of December 31, 2025, our internal control over financial reporting was effective based on these criteria.</w:t>
      </w:r>
    </w:p>
    <w:p>
      <w:pPr>
        <w:spacing w:after="0" w:line="184"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Deloitte &amp; Touche LLP, has issued an attestation report on our internal control over financial reporting. The report on the audit of internal control over financial reporting is included in this Annual Report on Form 10-K.</w:t>
      </w:r>
    </w:p>
    <w:p>
      <w:pPr>
        <w:spacing w:after="0" w:line="160"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Inherent Limitations on Effectiveness of Controls. </w:t>
      </w:r>
      <w:r>
        <w:rPr>
          <w:rFonts w:ascii="Times New Roman" w:cs="Times New Roman" w:eastAsia="Times New Roman" w:hAnsi="Times New Roman"/>
          <w:sz w:val="18"/>
          <w:szCs w:val="18"/>
          <w:color w:val="auto"/>
        </w:rPr>
        <w:t>Our management, including our principal executive officer and principal financial officer, does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expect that our internal controls over financial reporting and procedures will prevent all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2" w:lineRule="exact"/>
        <w:rPr>
          <w:sz w:val="20"/>
          <w:szCs w:val="20"/>
          <w:color w:val="auto"/>
        </w:rPr>
      </w:pPr>
    </w:p>
    <w:p>
      <w:pPr>
        <w:ind w:right="8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Controls over Financial Reporting. </w:t>
      </w:r>
      <w:r>
        <w:rPr>
          <w:rFonts w:ascii="Times New Roman" w:cs="Times New Roman" w:eastAsia="Times New Roman" w:hAnsi="Times New Roman"/>
          <w:sz w:val="18"/>
          <w:szCs w:val="18"/>
          <w:color w:val="auto"/>
        </w:rPr>
        <w:t>There has been no change in our internal controls over financial reporting (as defined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13a-15(f) of the Exchange Act) that occurred during the period covered by this report, that materially affected, or are reasonably likely to materially affect, our internal control over financial reporting.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the Company did not adopt or terminate a Rule 10b5-1 trading arrangement (as defined in Item 408(a)(1)(i) of Regulation S-K) for the purchase or sale of securities of the Company, whether or not intended to satisfy the affirmative defense conditions of Rule 10b5-1(c) of the Exchange Act.</w:t>
      </w:r>
    </w:p>
    <w:p>
      <w:pPr>
        <w:spacing w:after="0" w:line="17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2025, the following Rule 10b5-1 trading arrangements (as defined in Item 408(a)(1)(i) of Regulation S-K) and non-Rule 10b5-1 trading arrangements (as defined in Item 408(c) of Regulation S-K) intended to satisfy the affirmative defense of Rule 10b5-1(c) of the Exchange Act were adopted or terminated by our directors and/or executive officers:</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 of Rule</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Scheduled Expiration</w:t>
            </w:r>
          </w:p>
        </w:tc>
        <w:tc>
          <w:tcPr>
            <w:tcW w:w="22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Aggregate Number of</w:t>
            </w:r>
          </w:p>
        </w:tc>
      </w:tr>
      <w:tr>
        <w:trPr>
          <w:trHeight w:val="196"/>
        </w:trPr>
        <w:tc>
          <w:tcPr>
            <w:tcW w:w="2280" w:type="dxa"/>
            <w:vAlign w:val="bottom"/>
            <w:tcBorders>
              <w:left w:val="single" w:sz="8" w:color="auto"/>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10b5-1 Trading</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Date of Rule 10b5-1</w:t>
            </w:r>
          </w:p>
        </w:tc>
        <w:tc>
          <w:tcPr>
            <w:tcW w:w="224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Securities to Be Sold</w:t>
            </w:r>
          </w:p>
        </w:tc>
      </w:tr>
      <w:tr>
        <w:trPr>
          <w:trHeight w:val="289"/>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spacing w:after="0"/>
              <w:rPr>
                <w:sz w:val="24"/>
                <w:szCs w:val="24"/>
                <w:color w:val="auto"/>
              </w:rPr>
            </w:pPr>
          </w:p>
        </w:tc>
        <w:tc>
          <w:tcPr>
            <w:tcW w:w="2240" w:type="dxa"/>
            <w:vAlign w:val="bottom"/>
            <w:tcBorders>
              <w:bottom w:val="single" w:sz="8" w:color="auto"/>
              <w:right w:val="single" w:sz="8" w:color="auto"/>
            </w:tcBorders>
          </w:tcPr>
          <w:p>
            <w:pPr>
              <w:ind w:left="100"/>
              <w:spacing w:after="0" w:line="268" w:lineRule="exact"/>
              <w:rPr>
                <w:sz w:val="20"/>
                <w:szCs w:val="20"/>
                <w:color w:val="auto"/>
              </w:rPr>
            </w:pPr>
            <w:r>
              <w:rPr>
                <w:rFonts w:ascii="Times New Roman" w:cs="Times New Roman" w:eastAsia="Times New Roman" w:hAnsi="Times New Roman"/>
                <w:sz w:val="18"/>
                <w:szCs w:val="18"/>
                <w:b w:val="1"/>
                <w:bCs w:val="1"/>
                <w:color w:val="auto"/>
              </w:rPr>
              <w:t>Arrangement</w:t>
            </w:r>
            <w:r>
              <w:rPr>
                <w:rFonts w:ascii="Times New Roman" w:cs="Times New Roman" w:eastAsia="Times New Roman" w:hAnsi="Times New Roman"/>
                <w:sz w:val="24"/>
                <w:szCs w:val="24"/>
                <w:b w:val="1"/>
                <w:bCs w:val="1"/>
                <w:color w:val="auto"/>
                <w:vertAlign w:val="superscript"/>
              </w:rPr>
              <w:t>(1)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Arrangement</w:t>
            </w:r>
          </w:p>
        </w:tc>
        <w:tc>
          <w:tcPr>
            <w:tcW w:w="2240" w:type="dxa"/>
            <w:vAlign w:val="bottom"/>
            <w:tcBorders>
              <w:bottom w:val="single" w:sz="8" w:color="auto"/>
              <w:right w:val="single" w:sz="8" w:color="auto"/>
            </w:tcBorders>
          </w:tcPr>
          <w:p>
            <w:pPr>
              <w:spacing w:after="0"/>
              <w:rPr>
                <w:sz w:val="24"/>
                <w:szCs w:val="24"/>
                <w:color w:val="auto"/>
              </w:rPr>
            </w:pPr>
          </w:p>
        </w:tc>
      </w:tr>
      <w:tr>
        <w:trPr>
          <w:trHeight w:val="293"/>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Coleman</w:t>
            </w:r>
          </w:p>
        </w:tc>
        <w:tc>
          <w:tcPr>
            <w:tcW w:w="2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November 11, 2025</w:t>
            </w:r>
            <w:r>
              <w:rPr>
                <w:rFonts w:ascii="Times New Roman" w:cs="Times New Roman" w:eastAsia="Times New Roman" w:hAnsi="Times New Roman"/>
                <w:sz w:val="24"/>
                <w:szCs w:val="24"/>
                <w:color w:val="auto"/>
                <w:vertAlign w:val="superscript"/>
              </w:rPr>
              <w:t>(2)</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August 14, 2026</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spacing w:after="0"/>
              <w:rPr>
                <w:sz w:val="19"/>
                <w:szCs w:val="19"/>
                <w:color w:val="auto"/>
              </w:rPr>
            </w:pPr>
          </w:p>
        </w:tc>
      </w:tr>
      <w:tr>
        <w:trPr>
          <w:trHeight w:val="210"/>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Mark Jacobson</w:t>
            </w:r>
          </w:p>
        </w:tc>
        <w:tc>
          <w:tcPr>
            <w:tcW w:w="22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November 10, 2025</w:t>
            </w:r>
            <w:r>
              <w:rPr>
                <w:rFonts w:ascii="Times New Roman" w:cs="Times New Roman" w:eastAsia="Times New Roman" w:hAnsi="Times New Roman"/>
                <w:sz w:val="24"/>
                <w:szCs w:val="24"/>
                <w:color w:val="auto"/>
                <w:vertAlign w:val="superscript"/>
              </w:rPr>
              <w:t>(2)</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July 31, 2026</w:t>
            </w:r>
          </w:p>
        </w:tc>
        <w:tc>
          <w:tcPr>
            <w:tcW w:w="2240" w:type="dxa"/>
            <w:vAlign w:val="bottom"/>
            <w:tcBorders>
              <w:bottom w:val="single" w:sz="8" w:color="auto"/>
              <w:right w:val="single" w:sz="8" w:color="auto"/>
            </w:tcBorders>
          </w:tcPr>
          <w:p>
            <w:pPr>
              <w:ind w:left="100"/>
              <w:spacing w:after="0" w:line="210" w:lineRule="exact"/>
              <w:rPr>
                <w:sz w:val="20"/>
                <w:szCs w:val="20"/>
                <w:color w:val="auto"/>
              </w:rPr>
            </w:pPr>
            <w:r>
              <w:rPr>
                <w:rFonts w:ascii="Times New Roman" w:cs="Times New Roman" w:eastAsia="Times New Roman" w:hAnsi="Times New Roman"/>
                <w:sz w:val="18"/>
                <w:szCs w:val="18"/>
                <w:color w:val="auto"/>
              </w:rPr>
              <w:t>45,378</w:t>
            </w:r>
            <w:r>
              <w:rPr>
                <w:rFonts w:ascii="Times New Roman" w:cs="Times New Roman" w:eastAsia="Times New Roman" w:hAnsi="Times New Roman"/>
                <w:sz w:val="24"/>
                <w:szCs w:val="24"/>
                <w:color w:val="auto"/>
                <w:vertAlign w:val="superscript"/>
              </w:rPr>
              <w:t>(3)</w:t>
            </w:r>
          </w:p>
        </w:tc>
      </w:tr>
    </w:tbl>
    <w:p>
      <w:pPr>
        <w:spacing w:after="0" w:line="45" w:lineRule="exact"/>
        <w:rPr>
          <w:sz w:val="20"/>
          <w:szCs w:val="20"/>
          <w:color w:val="auto"/>
        </w:rPr>
      </w:pP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of adoption of Rule 10b5-1 trading arrangements is in accordance with both the Company’s insider trading policy and applicable SEC rules and regulations.</w:t>
      </w:r>
    </w:p>
    <w:p>
      <w:pPr>
        <w:spacing w:after="0" w:line="3" w:lineRule="exact"/>
        <w:rPr>
          <w:rFonts w:ascii="Times New Roman" w:cs="Times New Roman" w:eastAsia="Times New Roman" w:hAnsi="Times New Roman"/>
          <w:sz w:val="14"/>
          <w:szCs w:val="14"/>
          <w:color w:val="auto"/>
        </w:rPr>
      </w:pPr>
    </w:p>
    <w:p>
      <w:pPr>
        <w:ind w:right="20" w:firstLine="8"/>
        <w:spacing w:after="0" w:line="221" w:lineRule="auto"/>
        <w:tabs>
          <w:tab w:leader="none" w:pos="20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first trade pursuant to the Rule 10b5-1 trading arrangement will be, in accordance with both the Company’s insider trading policy and applicable SEC rules and regulations, on a date after the date of adoption of the Rule 10b5-1 trading arrangement.</w:t>
      </w:r>
    </w:p>
    <w:p>
      <w:pPr>
        <w:ind w:left="220" w:hanging="212"/>
        <w:spacing w:after="0"/>
        <w:tabs>
          <w:tab w:leader="none" w:pos="2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sale of shares underlying stock options that will be exercised prior to expiration.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2026 Annual Meeting of Stockholders or will be included in an amendment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2026 Annual Meeting of Stockholders or will be included in an amendment to this Annual Report on Form 10-K.</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2026 Annual Meeting of Stockholders or will be included in an amendment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2026 Annual Meeting of Stockholders or will be included in an amendment to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our Proxy Statement for our 2026 Annual Meeting of Stockholders or will be included in an amendment to this Annual Report on Form 10-K.</w:t>
      </w:r>
    </w:p>
    <w:p>
      <w:pPr>
        <w:spacing w:after="0" w:line="37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4" w:right="8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 1.</w:t>
            </w:r>
          </w:p>
        </w:tc>
        <w:tc>
          <w:tcPr>
            <w:tcW w:w="972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540" w:type="dxa"/>
            <w:vAlign w:val="bottom"/>
            <w:gridSpan w:val="8"/>
          </w:tcPr>
          <w:p>
            <w:pPr>
              <w:ind w:left="640"/>
              <w:spacing w:after="0"/>
              <w:rPr>
                <w:sz w:val="20"/>
                <w:szCs w:val="20"/>
                <w:color w:val="auto"/>
              </w:rPr>
            </w:pPr>
            <w:r>
              <w:rPr>
                <w:rFonts w:ascii="Times New Roman" w:cs="Times New Roman" w:eastAsia="Times New Roman" w:hAnsi="Times New Roman"/>
                <w:sz w:val="18"/>
                <w:szCs w:val="18"/>
                <w:color w:val="auto"/>
              </w:rPr>
              <w:t>The following consolidated financial statements of Axsome Therapeutics, Inc. are filed as part of this report.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34"/>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100" w:type="dxa"/>
            <w:vAlign w:val="bottom"/>
          </w:tcPr>
          <w:p>
            <w:pPr>
              <w:spacing w:after="0"/>
              <w:rPr>
                <w:sz w:val="24"/>
                <w:szCs w:val="24"/>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 (PCAOB ID: 34)</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F-1</w:t>
            </w:r>
          </w:p>
        </w:tc>
      </w:tr>
      <w:tr>
        <w:trPr>
          <w:trHeight w:val="318"/>
        </w:trPr>
        <w:tc>
          <w:tcPr>
            <w:tcW w:w="55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5000" w:type="dxa"/>
            <w:vAlign w:val="bottom"/>
            <w:gridSpan w:val="4"/>
          </w:tcPr>
          <w:p>
            <w:pPr>
              <w:spacing w:after="0"/>
              <w:rPr>
                <w:sz w:val="24"/>
                <w:szCs w:val="24"/>
                <w:color w:val="auto"/>
              </w:rPr>
            </w:pP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F-4</w:t>
            </w:r>
          </w:p>
        </w:tc>
      </w:tr>
      <w:tr>
        <w:trPr>
          <w:trHeight w:val="20"/>
        </w:trPr>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F-5</w:t>
            </w:r>
          </w:p>
        </w:tc>
      </w:tr>
      <w:tr>
        <w:trPr>
          <w:trHeight w:val="20"/>
        </w:trPr>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35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F-6</w:t>
            </w:r>
          </w:p>
        </w:tc>
      </w:tr>
      <w:tr>
        <w:trPr>
          <w:trHeight w:val="20"/>
        </w:trPr>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F-7</w:t>
            </w:r>
          </w:p>
        </w:tc>
      </w:tr>
      <w:tr>
        <w:trPr>
          <w:trHeight w:val="20"/>
        </w:trPr>
        <w:tc>
          <w:tcPr>
            <w:tcW w:w="20" w:type="dxa"/>
            <w:vAlign w:val="bottom"/>
            <w:shd w:val="clear" w:color="auto" w:fill="0000EE"/>
          </w:tcPr>
          <w:p>
            <w:pPr>
              <w:spacing w:after="0" w:line="20" w:lineRule="exact"/>
              <w:rPr>
                <w:sz w:val="1"/>
                <w:szCs w:val="1"/>
                <w:color w:val="auto"/>
              </w:rPr>
            </w:pPr>
          </w:p>
        </w:tc>
        <w:tc>
          <w:tcPr>
            <w:tcW w:w="3440" w:type="dxa"/>
            <w:vAlign w:val="bottom"/>
            <w:tcBorders>
              <w:right w:val="single" w:sz="8" w:color="0000FF"/>
            </w:tcBorders>
            <w:gridSpan w:val="2"/>
            <w:shd w:val="clear" w:color="auto" w:fill="0000FF"/>
          </w:tcPr>
          <w:p>
            <w:pPr>
              <w:spacing w:after="0" w:line="20" w:lineRule="exact"/>
              <w:rPr>
                <w:sz w:val="1"/>
                <w:szCs w:val="1"/>
                <w:color w:val="auto"/>
              </w:rPr>
            </w:pPr>
          </w:p>
        </w:tc>
        <w:tc>
          <w:tcPr>
            <w:tcW w:w="3560" w:type="dxa"/>
            <w:vAlign w:val="bottom"/>
            <w:gridSpan w:val="4"/>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318"/>
        </w:trPr>
        <w:tc>
          <w:tcPr>
            <w:tcW w:w="10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4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7"/>
              </w:rPr>
              <w:t>F-8</w:t>
            </w: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71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2.</w:t>
            </w:r>
          </w:p>
        </w:tc>
        <w:tc>
          <w:tcPr>
            <w:tcW w:w="972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Consolidated Financial Statement Schedules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financial statement schedule entitled “Schedule II – Valuation and Qualifying Accounts” has been omitted since the information required is included in the consolidated financial statements and notes thereto. Other schedules are omitted because they are not applicable, or the required information is shown in the Financial Statements or notes thereto.</w:t>
      </w:r>
    </w:p>
    <w:p>
      <w:pPr>
        <w:spacing w:after="0" w:line="172" w:lineRule="exact"/>
        <w:rPr>
          <w:sz w:val="20"/>
          <w:szCs w:val="20"/>
          <w:color w:val="auto"/>
        </w:rPr>
      </w:pPr>
    </w:p>
    <w:p>
      <w:pPr>
        <w:ind w:left="1120" w:hanging="363"/>
        <w:spacing w:after="0"/>
        <w:tabs>
          <w:tab w:leader="none" w:pos="11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list of exhibits filed with this report is set forth in the Exhibit Index following the signature page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102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Reports of Independent Registered Public Accounting Firm</w:t>
            </w:r>
          </w:p>
        </w:tc>
        <w:tc>
          <w:tcPr>
            <w:tcW w:w="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220" w:type="dxa"/>
            <w:vAlign w:val="bottom"/>
            <w:gridSpan w:val="8"/>
            <w:vMerge w:val="continue"/>
          </w:tcPr>
          <w:p>
            <w:pPr>
              <w:spacing w:after="0"/>
              <w:rPr>
                <w:sz w:val="15"/>
                <w:szCs w:val="15"/>
                <w:color w:val="auto"/>
              </w:rPr>
            </w:pPr>
          </w:p>
        </w:tc>
        <w:tc>
          <w:tcPr>
            <w:tcW w:w="880" w:type="dxa"/>
            <w:vAlign w:val="bottom"/>
            <w:tcBorders>
              <w:top w:val="single" w:sz="8" w:color="auto"/>
            </w:tcBorders>
          </w:tcPr>
          <w:p>
            <w:pPr>
              <w:ind w:left="620"/>
              <w:spacing w:after="0" w:line="182" w:lineRule="exact"/>
              <w:rPr>
                <w:sz w:val="20"/>
                <w:szCs w:val="20"/>
                <w:color w:val="auto"/>
              </w:rPr>
            </w:pPr>
            <w:r>
              <w:rPr>
                <w:rFonts w:ascii="Times New Roman" w:cs="Times New Roman" w:eastAsia="Times New Roman" w:hAnsi="Times New Roman"/>
                <w:sz w:val="18"/>
                <w:szCs w:val="18"/>
                <w:color w:val="auto"/>
                <w:w w:val="95"/>
              </w:rPr>
              <w:t>F-1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464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Balance Sheets as of December 31, 2025 and 2024</w:t>
            </w:r>
          </w:p>
        </w:tc>
        <w:tc>
          <w:tcPr>
            <w:tcW w:w="20" w:type="dxa"/>
            <w:vAlign w:val="bottom"/>
            <w:tcBorders>
              <w:bottom w:val="single" w:sz="8" w:color="0000EE"/>
            </w:tcBorders>
          </w:tcPr>
          <w:p>
            <w:pPr>
              <w:spacing w:after="0"/>
              <w:rPr>
                <w:sz w:val="17"/>
                <w:szCs w:val="17"/>
                <w:color w:val="auto"/>
              </w:rPr>
            </w:pPr>
          </w:p>
        </w:tc>
        <w:tc>
          <w:tcPr>
            <w:tcW w:w="5560" w:type="dxa"/>
            <w:vAlign w:val="bottom"/>
            <w:gridSpan w:val="4"/>
          </w:tcPr>
          <w:p>
            <w:pPr>
              <w:spacing w:after="0"/>
              <w:rPr>
                <w:sz w:val="17"/>
                <w:szCs w:val="17"/>
                <w:color w:val="auto"/>
              </w:rPr>
            </w:pP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10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31, 2025, 2024, and 2023</w:t>
            </w: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76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102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2025, 2024, and 2023</w:t>
            </w: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62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600" w:type="dxa"/>
            <w:vAlign w:val="bottom"/>
          </w:tcPr>
          <w:p>
            <w:pPr>
              <w:spacing w:after="0"/>
              <w:rPr>
                <w:sz w:val="17"/>
                <w:szCs w:val="17"/>
                <w:color w:val="auto"/>
              </w:rPr>
            </w:pP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694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3280" w:type="dxa"/>
            <w:vAlign w:val="bottom"/>
            <w:gridSpan w:val="2"/>
          </w:tcPr>
          <w:p>
            <w:pPr>
              <w:spacing w:after="0"/>
              <w:rPr>
                <w:sz w:val="17"/>
                <w:szCs w:val="17"/>
                <w:color w:val="auto"/>
              </w:rPr>
            </w:pPr>
          </w:p>
        </w:tc>
        <w:tc>
          <w:tcPr>
            <w:tcW w:w="940" w:type="dxa"/>
            <w:vAlign w:val="bottom"/>
            <w:gridSpan w:val="2"/>
          </w:tcPr>
          <w:p>
            <w:pPr>
              <w:ind w:left="6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884"/>
        </w:trPr>
        <w:tc>
          <w:tcPr>
            <w:tcW w:w="8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760" w:type="dxa"/>
            <w:vAlign w:val="bottom"/>
            <w:gridSpan w:val="4"/>
          </w:tcPr>
          <w:p>
            <w:pPr>
              <w:jc w:val="right"/>
              <w:ind w:right="122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960"/>
        <w:spacing w:after="0" w:line="472" w:lineRule="auto"/>
        <w:rPr>
          <w:sz w:val="20"/>
          <w:szCs w:val="20"/>
          <w:color w:val="auto"/>
        </w:rPr>
      </w:pPr>
      <w:r>
        <w:rPr>
          <w:rFonts w:ascii="Verdana" w:cs="Verdana" w:eastAsia="Verdana" w:hAnsi="Verdana"/>
          <w:sz w:val="16"/>
          <w:szCs w:val="16"/>
          <w:b w:val="1"/>
          <w:bCs w:val="1"/>
          <w:color w:val="auto"/>
        </w:rPr>
        <w:t xml:space="preserve">REPORT OF INDEPENDENT REGISTERED PUBLIC ACCOUNTING FIRM </w:t>
      </w:r>
      <w:r>
        <w:rPr>
          <w:rFonts w:ascii="Verdana" w:cs="Verdana" w:eastAsia="Verdana" w:hAnsi="Verdana"/>
          <w:sz w:val="16"/>
          <w:szCs w:val="16"/>
          <w:color w:val="auto"/>
        </w:rPr>
        <w:t xml:space="preserve">To the shareholders and the Board of Directors of Axsome Therapeutics, Inc. </w:t>
      </w:r>
      <w:r>
        <w:rPr>
          <w:rFonts w:ascii="Verdana" w:cs="Verdana" w:eastAsia="Verdana" w:hAnsi="Verdana"/>
          <w:sz w:val="16"/>
          <w:szCs w:val="16"/>
          <w:b w:val="1"/>
          <w:bCs w:val="1"/>
          <w:color w:val="auto"/>
        </w:rPr>
        <w:t>Opinion on the Financial Statements</w:t>
      </w:r>
    </w:p>
    <w:p>
      <w:pPr>
        <w:ind w:right="60"/>
        <w:spacing w:after="0" w:line="253" w:lineRule="auto"/>
        <w:rPr>
          <w:sz w:val="20"/>
          <w:szCs w:val="20"/>
          <w:color w:val="auto"/>
        </w:rPr>
      </w:pPr>
      <w:r>
        <w:rPr>
          <w:rFonts w:ascii="Verdana" w:cs="Verdana" w:eastAsia="Verdana" w:hAnsi="Verdana"/>
          <w:sz w:val="16"/>
          <w:szCs w:val="16"/>
          <w:color w:val="auto"/>
        </w:rPr>
        <w:t>We have audited the accompanying consolidated balance sheets of Axsome Therapeutics, Inc. and subsidiaries (the "Company") as of December 31, 2025 and 2024, the related consolidated statements of operations,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61" w:lineRule="exact"/>
        <w:rPr>
          <w:sz w:val="20"/>
          <w:szCs w:val="20"/>
          <w:color w:val="auto"/>
        </w:rPr>
      </w:pPr>
    </w:p>
    <w:p>
      <w:pPr>
        <w:spacing w:after="0" w:line="256" w:lineRule="auto"/>
        <w:rPr>
          <w:sz w:val="20"/>
          <w:szCs w:val="20"/>
          <w:color w:val="auto"/>
        </w:rPr>
      </w:pPr>
      <w:r>
        <w:rPr>
          <w:rFonts w:ascii="Verdana" w:cs="Verdana" w:eastAsia="Verdana" w:hAnsi="Verdana"/>
          <w:sz w:val="16"/>
          <w:szCs w:val="16"/>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Verdana" w:cs="Verdana" w:eastAsia="Verdana" w:hAnsi="Verdana"/>
          <w:sz w:val="16"/>
          <w:szCs w:val="16"/>
          <w:i w:val="1"/>
          <w:iCs w:val="1"/>
          <w:color w:val="auto"/>
        </w:rPr>
        <w:t>Internal Control —</w:t>
      </w:r>
      <w:r>
        <w:rPr>
          <w:rFonts w:ascii="Verdana" w:cs="Verdana" w:eastAsia="Verdana" w:hAnsi="Verdana"/>
          <w:sz w:val="16"/>
          <w:szCs w:val="16"/>
          <w:color w:val="auto"/>
        </w:rPr>
        <w:t xml:space="preserve"> </w:t>
      </w:r>
      <w:r>
        <w:rPr>
          <w:rFonts w:ascii="Verdana" w:cs="Verdana" w:eastAsia="Verdana" w:hAnsi="Verdana"/>
          <w:sz w:val="16"/>
          <w:szCs w:val="16"/>
          <w:i w:val="1"/>
          <w:iCs w:val="1"/>
          <w:color w:val="auto"/>
        </w:rPr>
        <w:t xml:space="preserve">Integrated Framework (2013) </w:t>
      </w:r>
      <w:r>
        <w:rPr>
          <w:rFonts w:ascii="Verdana" w:cs="Verdana" w:eastAsia="Verdana" w:hAnsi="Verdana"/>
          <w:sz w:val="16"/>
          <w:szCs w:val="16"/>
          <w:color w:val="auto"/>
        </w:rPr>
        <w:t>issued by the Committee of Sponsoring Organizations of the Treadway Commission and our report dated</w:t>
      </w:r>
      <w:r>
        <w:rPr>
          <w:rFonts w:ascii="Verdana" w:cs="Verdana" w:eastAsia="Verdana" w:hAnsi="Verdana"/>
          <w:sz w:val="16"/>
          <w:szCs w:val="16"/>
          <w:i w:val="1"/>
          <w:iCs w:val="1"/>
          <w:color w:val="auto"/>
        </w:rPr>
        <w:t xml:space="preserve"> </w:t>
      </w:r>
      <w:r>
        <w:rPr>
          <w:rFonts w:ascii="Verdana" w:cs="Verdana" w:eastAsia="Verdana" w:hAnsi="Verdana"/>
          <w:sz w:val="16"/>
          <w:szCs w:val="16"/>
          <w:color w:val="auto"/>
        </w:rPr>
        <w:t>February 23, 2026, expressed an unqualified opinion on the Company's internal control over financial reporting.</w:t>
      </w:r>
    </w:p>
    <w:p>
      <w:pPr>
        <w:spacing w:after="0" w:line="169"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Basis for Opinion</w:t>
      </w:r>
    </w:p>
    <w:p>
      <w:pPr>
        <w:spacing w:after="0" w:line="184" w:lineRule="exact"/>
        <w:rPr>
          <w:sz w:val="20"/>
          <w:szCs w:val="20"/>
          <w:color w:val="auto"/>
        </w:rPr>
      </w:pPr>
    </w:p>
    <w:p>
      <w:pPr>
        <w:ind w:right="120"/>
        <w:spacing w:after="0" w:line="256" w:lineRule="auto"/>
        <w:rPr>
          <w:sz w:val="20"/>
          <w:szCs w:val="20"/>
          <w:color w:val="auto"/>
        </w:rPr>
      </w:pPr>
      <w:r>
        <w:rPr>
          <w:rFonts w:ascii="Verdana" w:cs="Verdana" w:eastAsia="Verdana" w:hAnsi="Verdana"/>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6" w:lineRule="exact"/>
        <w:rPr>
          <w:sz w:val="20"/>
          <w:szCs w:val="20"/>
          <w:color w:val="auto"/>
        </w:rPr>
      </w:pPr>
    </w:p>
    <w:p>
      <w:pPr>
        <w:ind w:right="20"/>
        <w:spacing w:after="0" w:line="253" w:lineRule="auto"/>
        <w:rPr>
          <w:sz w:val="20"/>
          <w:szCs w:val="20"/>
          <w:color w:val="auto"/>
        </w:rPr>
      </w:pPr>
      <w:r>
        <w:rPr>
          <w:rFonts w:ascii="Verdana" w:cs="Verdana" w:eastAsia="Verdana" w:hAnsi="Verdana"/>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Critical Audit Matter</w:t>
      </w:r>
    </w:p>
    <w:p>
      <w:pPr>
        <w:spacing w:after="0" w:line="184" w:lineRule="exact"/>
        <w:rPr>
          <w:sz w:val="20"/>
          <w:szCs w:val="20"/>
          <w:color w:val="auto"/>
        </w:rPr>
      </w:pPr>
    </w:p>
    <w:p>
      <w:pPr>
        <w:ind w:right="100"/>
        <w:spacing w:after="0" w:line="254" w:lineRule="auto"/>
        <w:rPr>
          <w:sz w:val="20"/>
          <w:szCs w:val="20"/>
          <w:color w:val="auto"/>
        </w:rPr>
      </w:pPr>
      <w:r>
        <w:rPr>
          <w:rFonts w:ascii="Verdana" w:cs="Verdana" w:eastAsia="Verdana" w:hAnsi="Verdana"/>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62" w:lineRule="exact"/>
        <w:rPr>
          <w:sz w:val="20"/>
          <w:szCs w:val="20"/>
          <w:color w:val="auto"/>
        </w:rPr>
      </w:pPr>
    </w:p>
    <w:p>
      <w:pPr>
        <w:ind w:right="1200"/>
        <w:spacing w:after="0" w:line="474" w:lineRule="auto"/>
        <w:rPr>
          <w:sz w:val="20"/>
          <w:szCs w:val="20"/>
          <w:color w:val="auto"/>
        </w:rPr>
      </w:pPr>
      <w:r>
        <w:rPr>
          <w:rFonts w:ascii="Verdana" w:cs="Verdana" w:eastAsia="Verdana" w:hAnsi="Verdana"/>
          <w:sz w:val="16"/>
          <w:szCs w:val="16"/>
          <w:b w:val="1"/>
          <w:bCs w:val="1"/>
          <w:color w:val="auto"/>
        </w:rPr>
        <w:t xml:space="preserve">Reserves for Variable Consideration - Commercial Managed Care — </w:t>
      </w:r>
      <w:r>
        <w:rPr>
          <w:rFonts w:ascii="Verdana" w:cs="Verdana" w:eastAsia="Verdana" w:hAnsi="Verdana"/>
          <w:sz w:val="16"/>
          <w:szCs w:val="16"/>
          <w:b w:val="1"/>
          <w:bCs w:val="1"/>
          <w:i w:val="1"/>
          <w:iCs w:val="1"/>
          <w:color w:val="auto"/>
        </w:rPr>
        <w:t>Refer to Note 2 to the financial statements</w:t>
      </w:r>
      <w:r>
        <w:rPr>
          <w:rFonts w:ascii="Verdana" w:cs="Verdana" w:eastAsia="Verdana" w:hAnsi="Verdana"/>
          <w:sz w:val="16"/>
          <w:szCs w:val="16"/>
          <w:b w:val="1"/>
          <w:bCs w:val="1"/>
          <w:color w:val="auto"/>
        </w:rPr>
        <w:t xml:space="preserve"> </w:t>
      </w:r>
      <w:r>
        <w:rPr>
          <w:rFonts w:ascii="Verdana" w:cs="Verdana" w:eastAsia="Verdana" w:hAnsi="Verdana"/>
          <w:sz w:val="16"/>
          <w:szCs w:val="16"/>
          <w:i w:val="1"/>
          <w:iCs w:val="1"/>
          <w:color w:val="auto"/>
        </w:rPr>
        <w:t>Critical Audit Matter Description</w:t>
      </w:r>
    </w:p>
    <w:p>
      <w:pPr>
        <w:spacing w:after="0" w:line="1" w:lineRule="exact"/>
        <w:rPr>
          <w:sz w:val="20"/>
          <w:szCs w:val="20"/>
          <w:color w:val="auto"/>
        </w:rPr>
      </w:pPr>
    </w:p>
    <w:p>
      <w:pPr>
        <w:spacing w:after="0" w:line="254" w:lineRule="auto"/>
        <w:rPr>
          <w:sz w:val="20"/>
          <w:szCs w:val="20"/>
          <w:color w:val="auto"/>
        </w:rPr>
      </w:pPr>
      <w:r>
        <w:rPr>
          <w:rFonts w:ascii="Verdana" w:cs="Verdana" w:eastAsia="Verdana" w:hAnsi="Verdana"/>
          <w:sz w:val="16"/>
          <w:szCs w:val="16"/>
          <w:color w:val="auto"/>
        </w:rPr>
        <w:t>As more fully disclosed in Note 2 to the financial statements, the Company records revenues net of provisions for rebates, discounts, and other incentives and returns, which are established at the time of sale. These reductions are attributed to various commercial arrangements, managed healthcare organizations, and government programs that mandate various reductions from list price. Chargebacks and cash discounts are reflected as a reduction to receivables and settled through the issuance of credits to the customer. All other rebates, discounts and adjustments, are reflected as a liability and settled through cash payments.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0" w:lineRule="auto"/>
        <w:rPr>
          <w:sz w:val="20"/>
          <w:szCs w:val="20"/>
          <w:color w:val="auto"/>
        </w:rPr>
      </w:pPr>
      <w:r>
        <w:rPr>
          <w:rFonts w:ascii="Verdana" w:cs="Verdana" w:eastAsia="Verdana" w:hAnsi="Verdana"/>
          <w:sz w:val="16"/>
          <w:szCs w:val="16"/>
          <w:color w:val="auto"/>
        </w:rPr>
        <w:t>The provision related to Commercial Managed Care rebate programs (the “Commercial rebate accruals”) involves the use of assumptions and judgments in its calculation. These include consideration of prior payment history, customer utilization mix data, changes to product price, expected patient usage, claims timing lags, and inventory levels in the distribution channel.</w:t>
      </w:r>
    </w:p>
    <w:p>
      <w:pPr>
        <w:spacing w:after="0" w:line="165" w:lineRule="exact"/>
        <w:rPr>
          <w:sz w:val="20"/>
          <w:szCs w:val="20"/>
          <w:color w:val="auto"/>
        </w:rPr>
      </w:pPr>
    </w:p>
    <w:p>
      <w:pPr>
        <w:ind w:right="620"/>
        <w:spacing w:after="0" w:line="270" w:lineRule="auto"/>
        <w:rPr>
          <w:sz w:val="20"/>
          <w:szCs w:val="20"/>
          <w:color w:val="auto"/>
        </w:rPr>
      </w:pPr>
      <w:r>
        <w:rPr>
          <w:rFonts w:ascii="Verdana" w:cs="Verdana" w:eastAsia="Verdana" w:hAnsi="Verdana"/>
          <w:sz w:val="16"/>
          <w:szCs w:val="16"/>
          <w:color w:val="auto"/>
        </w:rPr>
        <w:t>Given the complexity involved in determining the assumptions used in calculating the Commercial rebate accruals, auditing these estimates involved especially subjective judgment.</w:t>
      </w:r>
    </w:p>
    <w:p>
      <w:pPr>
        <w:spacing w:after="0" w:line="143" w:lineRule="exact"/>
        <w:rPr>
          <w:sz w:val="20"/>
          <w:szCs w:val="20"/>
          <w:color w:val="auto"/>
        </w:rPr>
      </w:pPr>
    </w:p>
    <w:p>
      <w:pPr>
        <w:spacing w:after="0"/>
        <w:rPr>
          <w:sz w:val="20"/>
          <w:szCs w:val="20"/>
          <w:color w:val="auto"/>
        </w:rPr>
      </w:pPr>
      <w:r>
        <w:rPr>
          <w:rFonts w:ascii="Verdana" w:cs="Verdana" w:eastAsia="Verdana" w:hAnsi="Verdana"/>
          <w:sz w:val="16"/>
          <w:szCs w:val="16"/>
          <w:i w:val="1"/>
          <w:iCs w:val="1"/>
          <w:color w:val="auto"/>
        </w:rPr>
        <w:t>How the Critical Audit Matter Was Addressed in the Audit</w:t>
      </w:r>
    </w:p>
    <w:p>
      <w:pPr>
        <w:spacing w:after="0" w:line="184" w:lineRule="exact"/>
        <w:rPr>
          <w:sz w:val="20"/>
          <w:szCs w:val="20"/>
          <w:color w:val="auto"/>
        </w:rPr>
      </w:pPr>
    </w:p>
    <w:p>
      <w:pPr>
        <w:spacing w:after="0"/>
        <w:rPr>
          <w:sz w:val="20"/>
          <w:szCs w:val="20"/>
          <w:color w:val="auto"/>
        </w:rPr>
      </w:pPr>
      <w:r>
        <w:rPr>
          <w:rFonts w:ascii="Verdana" w:cs="Verdana" w:eastAsia="Verdana" w:hAnsi="Verdana"/>
          <w:sz w:val="16"/>
          <w:szCs w:val="16"/>
          <w:color w:val="auto"/>
        </w:rPr>
        <w:t>Our audit procedures related to Commercial rebate accruals included the following, among others:</w:t>
      </w:r>
    </w:p>
    <w:p>
      <w:pPr>
        <w:spacing w:after="0" w:line="197" w:lineRule="exact"/>
        <w:rPr>
          <w:sz w:val="20"/>
          <w:szCs w:val="20"/>
          <w:color w:val="auto"/>
        </w:rPr>
      </w:pPr>
    </w:p>
    <w:p>
      <w:pPr>
        <w:ind w:left="760" w:right="180" w:hanging="378"/>
        <w:spacing w:after="0" w:line="268" w:lineRule="auto"/>
        <w:tabs>
          <w:tab w:leader="none" w:pos="760" w:val="left"/>
        </w:tabs>
        <w:numPr>
          <w:ilvl w:val="0"/>
          <w:numId w:val="48"/>
        </w:numPr>
        <w:rPr>
          <w:rFonts w:ascii="Times New Roman" w:cs="Times New Roman" w:eastAsia="Times New Roman" w:hAnsi="Times New Roman"/>
          <w:sz w:val="16"/>
          <w:szCs w:val="16"/>
          <w:color w:val="auto"/>
        </w:rPr>
      </w:pPr>
      <w:r>
        <w:rPr>
          <w:rFonts w:ascii="Verdana" w:cs="Verdana" w:eastAsia="Verdana" w:hAnsi="Verdana"/>
          <w:sz w:val="16"/>
          <w:szCs w:val="16"/>
          <w:color w:val="auto"/>
        </w:rPr>
        <w:t>We evaluated the appropriateness and consistency of the Company’s methods and assumptions used to calculate Commercial rebate accruals.</w:t>
      </w:r>
    </w:p>
    <w:p>
      <w:pPr>
        <w:spacing w:after="0" w:line="145" w:lineRule="exact"/>
        <w:rPr>
          <w:rFonts w:ascii="Times New Roman" w:cs="Times New Roman" w:eastAsia="Times New Roman" w:hAnsi="Times New Roman"/>
          <w:sz w:val="16"/>
          <w:szCs w:val="16"/>
          <w:color w:val="auto"/>
        </w:rPr>
      </w:pPr>
    </w:p>
    <w:p>
      <w:pPr>
        <w:ind w:left="760" w:right="580" w:hanging="378"/>
        <w:spacing w:after="0" w:line="268" w:lineRule="auto"/>
        <w:tabs>
          <w:tab w:leader="none" w:pos="760" w:val="left"/>
        </w:tabs>
        <w:numPr>
          <w:ilvl w:val="0"/>
          <w:numId w:val="48"/>
        </w:numPr>
        <w:rPr>
          <w:rFonts w:ascii="Times New Roman" w:cs="Times New Roman" w:eastAsia="Times New Roman" w:hAnsi="Times New Roman"/>
          <w:sz w:val="16"/>
          <w:szCs w:val="16"/>
          <w:color w:val="auto"/>
        </w:rPr>
      </w:pPr>
      <w:r>
        <w:rPr>
          <w:rFonts w:ascii="Verdana" w:cs="Verdana" w:eastAsia="Verdana" w:hAnsi="Verdana"/>
          <w:sz w:val="16"/>
          <w:szCs w:val="16"/>
          <w:color w:val="auto"/>
        </w:rPr>
        <w:t>We tested the effectiveness of internal controls over the review of the Company’s estimation model, including underlying assumptions and key inputs into the Company’s process to calculate Commercial rebate accruals.</w:t>
      </w:r>
    </w:p>
    <w:p>
      <w:pPr>
        <w:spacing w:after="0" w:line="145"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Verdana" w:cs="Verdana" w:eastAsia="Verdana" w:hAnsi="Verdana"/>
          <w:sz w:val="16"/>
          <w:szCs w:val="16"/>
          <w:color w:val="auto"/>
        </w:rPr>
        <w:t>We tested the mathematical accuracy of Commercial rebate accruals.</w:t>
      </w:r>
    </w:p>
    <w:p>
      <w:pPr>
        <w:spacing w:after="0" w:line="209" w:lineRule="exact"/>
        <w:rPr>
          <w:rFonts w:ascii="Times New Roman" w:cs="Times New Roman" w:eastAsia="Times New Roman" w:hAnsi="Times New Roman"/>
          <w:sz w:val="16"/>
          <w:szCs w:val="16"/>
          <w:color w:val="auto"/>
        </w:rPr>
      </w:pPr>
    </w:p>
    <w:p>
      <w:pPr>
        <w:ind w:left="760" w:hanging="378"/>
        <w:spacing w:after="0"/>
        <w:tabs>
          <w:tab w:leader="none" w:pos="760" w:val="left"/>
        </w:tabs>
        <w:numPr>
          <w:ilvl w:val="0"/>
          <w:numId w:val="48"/>
        </w:numPr>
        <w:rPr>
          <w:rFonts w:ascii="Times New Roman" w:cs="Times New Roman" w:eastAsia="Times New Roman" w:hAnsi="Times New Roman"/>
          <w:sz w:val="16"/>
          <w:szCs w:val="16"/>
          <w:color w:val="auto"/>
        </w:rPr>
      </w:pPr>
      <w:r>
        <w:rPr>
          <w:rFonts w:ascii="Verdana" w:cs="Verdana" w:eastAsia="Verdana" w:hAnsi="Verdana"/>
          <w:sz w:val="16"/>
          <w:szCs w:val="16"/>
          <w:color w:val="auto"/>
        </w:rPr>
        <w:t>We tested the assumptions and key inputs used to calculate Commercial rebate accruals.</w:t>
      </w:r>
    </w:p>
    <w:p>
      <w:pPr>
        <w:spacing w:after="0" w:line="196" w:lineRule="exact"/>
        <w:rPr>
          <w:rFonts w:ascii="Times New Roman" w:cs="Times New Roman" w:eastAsia="Times New Roman" w:hAnsi="Times New Roman"/>
          <w:sz w:val="16"/>
          <w:szCs w:val="16"/>
          <w:color w:val="auto"/>
        </w:rPr>
      </w:pPr>
    </w:p>
    <w:p>
      <w:pPr>
        <w:ind w:left="760" w:right="140" w:hanging="378"/>
        <w:spacing w:after="0" w:line="268" w:lineRule="auto"/>
        <w:tabs>
          <w:tab w:leader="none" w:pos="760" w:val="left"/>
        </w:tabs>
        <w:numPr>
          <w:ilvl w:val="0"/>
          <w:numId w:val="48"/>
        </w:numPr>
        <w:rPr>
          <w:rFonts w:ascii="Times New Roman" w:cs="Times New Roman" w:eastAsia="Times New Roman" w:hAnsi="Times New Roman"/>
          <w:sz w:val="16"/>
          <w:szCs w:val="16"/>
          <w:color w:val="auto"/>
        </w:rPr>
      </w:pPr>
      <w:r>
        <w:rPr>
          <w:rFonts w:ascii="Verdana" w:cs="Verdana" w:eastAsia="Verdana" w:hAnsi="Verdana"/>
          <w:sz w:val="16"/>
          <w:szCs w:val="16"/>
          <w:color w:val="auto"/>
        </w:rPr>
        <w:t>We evaluated the Company’s ability to estimate Commercial rebate accruals accurately by comparing actual amounts incurred for Commercial rebate accruals</w:t>
      </w:r>
    </w:p>
    <w:p>
      <w:pPr>
        <w:spacing w:after="0" w:line="145" w:lineRule="exact"/>
        <w:rPr>
          <w:rFonts w:ascii="Times New Roman" w:cs="Times New Roman" w:eastAsia="Times New Roman" w:hAnsi="Times New Roman"/>
          <w:sz w:val="16"/>
          <w:szCs w:val="16"/>
          <w:color w:val="auto"/>
        </w:rPr>
      </w:pPr>
    </w:p>
    <w:p>
      <w:pPr>
        <w:ind w:left="760" w:right="180" w:hanging="378"/>
        <w:spacing w:after="0" w:line="268" w:lineRule="auto"/>
        <w:tabs>
          <w:tab w:leader="none" w:pos="760" w:val="left"/>
        </w:tabs>
        <w:numPr>
          <w:ilvl w:val="0"/>
          <w:numId w:val="48"/>
        </w:numPr>
        <w:rPr>
          <w:rFonts w:ascii="Times New Roman" w:cs="Times New Roman" w:eastAsia="Times New Roman" w:hAnsi="Times New Roman"/>
          <w:sz w:val="16"/>
          <w:szCs w:val="16"/>
          <w:color w:val="auto"/>
        </w:rPr>
      </w:pPr>
      <w:r>
        <w:rPr>
          <w:rFonts w:ascii="Verdana" w:cs="Verdana" w:eastAsia="Verdana" w:hAnsi="Verdana"/>
          <w:sz w:val="16"/>
          <w:szCs w:val="16"/>
          <w:color w:val="auto"/>
        </w:rPr>
        <w:t>We tested the overall reasonableness of the Commercial rebate accruals recorded at period end by developing an expectation for comparison to actual recorded balances.</w:t>
      </w:r>
    </w:p>
    <w:p>
      <w:pPr>
        <w:spacing w:after="0" w:line="158" w:lineRule="exact"/>
        <w:rPr>
          <w:rFonts w:ascii="Times New Roman" w:cs="Times New Roman" w:eastAsia="Times New Roman" w:hAnsi="Times New Roman"/>
          <w:sz w:val="16"/>
          <w:szCs w:val="16"/>
          <w:color w:val="auto"/>
        </w:rPr>
      </w:pPr>
    </w:p>
    <w:p>
      <w:pPr>
        <w:ind w:left="760" w:right="480" w:hanging="378"/>
        <w:spacing w:after="0" w:line="268" w:lineRule="auto"/>
        <w:tabs>
          <w:tab w:leader="none" w:pos="760" w:val="left"/>
        </w:tabs>
        <w:numPr>
          <w:ilvl w:val="0"/>
          <w:numId w:val="48"/>
        </w:numPr>
        <w:rPr>
          <w:rFonts w:ascii="Times New Roman" w:cs="Times New Roman" w:eastAsia="Times New Roman" w:hAnsi="Times New Roman"/>
          <w:sz w:val="16"/>
          <w:szCs w:val="16"/>
          <w:color w:val="auto"/>
        </w:rPr>
      </w:pPr>
      <w:r>
        <w:rPr>
          <w:rFonts w:ascii="Verdana" w:cs="Verdana" w:eastAsia="Verdana" w:hAnsi="Verdana"/>
          <w:sz w:val="16"/>
          <w:szCs w:val="16"/>
          <w:color w:val="auto"/>
        </w:rPr>
        <w:t>We involved audit professionals with industry and quantitative analytics experience to assist us in performing our auditing procedures.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197" w:lineRule="exact"/>
        <w:rPr>
          <w:sz w:val="20"/>
          <w:szCs w:val="20"/>
          <w:color w:val="auto"/>
        </w:rPr>
      </w:pPr>
    </w:p>
    <w:p>
      <w:pPr>
        <w:spacing w:after="0"/>
        <w:rPr>
          <w:sz w:val="20"/>
          <w:szCs w:val="20"/>
          <w:color w:val="auto"/>
        </w:rPr>
      </w:pPr>
      <w:r>
        <w:rPr>
          <w:rFonts w:ascii="Verdana" w:cs="Verdana" w:eastAsia="Verdana" w:hAnsi="Verdana"/>
          <w:sz w:val="16"/>
          <w:szCs w:val="16"/>
          <w:color w:val="auto"/>
        </w:rPr>
        <w:t>Morristown, New Jersey</w:t>
      </w:r>
    </w:p>
    <w:p>
      <w:pPr>
        <w:spacing w:after="0" w:line="184" w:lineRule="exact"/>
        <w:rPr>
          <w:sz w:val="20"/>
          <w:szCs w:val="20"/>
          <w:color w:val="auto"/>
        </w:rPr>
      </w:pPr>
    </w:p>
    <w:p>
      <w:pPr>
        <w:spacing w:after="0"/>
        <w:rPr>
          <w:sz w:val="20"/>
          <w:szCs w:val="20"/>
          <w:color w:val="auto"/>
        </w:rPr>
      </w:pPr>
      <w:r>
        <w:rPr>
          <w:rFonts w:ascii="Verdana" w:cs="Verdana" w:eastAsia="Verdana" w:hAnsi="Verdana"/>
          <w:sz w:val="16"/>
          <w:szCs w:val="16"/>
          <w:color w:val="auto"/>
        </w:rPr>
        <w:t>February 23, 2026</w:t>
      </w:r>
    </w:p>
    <w:p>
      <w:pPr>
        <w:spacing w:after="0" w:line="184" w:lineRule="exact"/>
        <w:rPr>
          <w:sz w:val="20"/>
          <w:szCs w:val="20"/>
          <w:color w:val="auto"/>
        </w:rPr>
      </w:pPr>
    </w:p>
    <w:p>
      <w:pPr>
        <w:spacing w:after="0"/>
        <w:rPr>
          <w:sz w:val="20"/>
          <w:szCs w:val="20"/>
          <w:color w:val="auto"/>
        </w:rPr>
      </w:pPr>
      <w:r>
        <w:rPr>
          <w:rFonts w:ascii="Verdana" w:cs="Verdana" w:eastAsia="Verdana" w:hAnsi="Verdana"/>
          <w:sz w:val="16"/>
          <w:szCs w:val="16"/>
          <w:color w:val="auto"/>
        </w:rPr>
        <w:t>We have served as the Company's auditor since 2023.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960"/>
        <w:spacing w:after="0" w:line="472" w:lineRule="auto"/>
        <w:rPr>
          <w:sz w:val="20"/>
          <w:szCs w:val="20"/>
          <w:color w:val="auto"/>
        </w:rPr>
      </w:pPr>
      <w:r>
        <w:rPr>
          <w:rFonts w:ascii="Verdana" w:cs="Verdana" w:eastAsia="Verdana" w:hAnsi="Verdana"/>
          <w:sz w:val="16"/>
          <w:szCs w:val="16"/>
          <w:b w:val="1"/>
          <w:bCs w:val="1"/>
          <w:color w:val="auto"/>
        </w:rPr>
        <w:t xml:space="preserve">REPORT OF INDEPENDENT REGISTERED PUBLIC ACCOUNTING FIRM </w:t>
      </w:r>
      <w:r>
        <w:rPr>
          <w:rFonts w:ascii="Verdana" w:cs="Verdana" w:eastAsia="Verdana" w:hAnsi="Verdana"/>
          <w:sz w:val="16"/>
          <w:szCs w:val="16"/>
          <w:color w:val="auto"/>
        </w:rPr>
        <w:t xml:space="preserve">To the shareholders and the Board of Directors of Axsome Therapeutics, Inc. </w:t>
      </w:r>
      <w:r>
        <w:rPr>
          <w:rFonts w:ascii="Verdana" w:cs="Verdana" w:eastAsia="Verdana" w:hAnsi="Verdana"/>
          <w:sz w:val="16"/>
          <w:szCs w:val="16"/>
          <w:b w:val="1"/>
          <w:bCs w:val="1"/>
          <w:color w:val="auto"/>
        </w:rPr>
        <w:t>Opinion on Internal Control over Financial Reporting</w:t>
      </w:r>
    </w:p>
    <w:p>
      <w:pPr>
        <w:ind w:right="20"/>
        <w:spacing w:after="0" w:line="254" w:lineRule="auto"/>
        <w:rPr>
          <w:sz w:val="20"/>
          <w:szCs w:val="20"/>
          <w:color w:val="auto"/>
        </w:rPr>
      </w:pPr>
      <w:r>
        <w:rPr>
          <w:rFonts w:ascii="Verdana" w:cs="Verdana" w:eastAsia="Verdana" w:hAnsi="Verdana"/>
          <w:sz w:val="16"/>
          <w:szCs w:val="16"/>
          <w:color w:val="auto"/>
        </w:rPr>
        <w:t xml:space="preserve">We have audited the internal control over financial reporting of Axsome Therapeutics, Inc. and subsidiaries (the “Company”) as of December 31, 2025, based on criteria established in </w:t>
      </w:r>
      <w:r>
        <w:rPr>
          <w:rFonts w:ascii="Verdana" w:cs="Verdana" w:eastAsia="Verdana" w:hAnsi="Verdana"/>
          <w:sz w:val="16"/>
          <w:szCs w:val="16"/>
          <w:i w:val="1"/>
          <w:iCs w:val="1"/>
          <w:color w:val="auto"/>
        </w:rPr>
        <w:t>Internal Control — Integrated Framework (2013)</w:t>
      </w:r>
      <w:r>
        <w:rPr>
          <w:rFonts w:ascii="Verdana" w:cs="Verdana" w:eastAsia="Verdana" w:hAnsi="Verdana"/>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Verdana" w:cs="Verdana" w:eastAsia="Verdana" w:hAnsi="Verdana"/>
          <w:sz w:val="16"/>
          <w:szCs w:val="16"/>
          <w:i w:val="1"/>
          <w:iCs w:val="1"/>
          <w:color w:val="auto"/>
        </w:rPr>
        <w:t>Internal Control — Integrated</w:t>
      </w:r>
      <w:r>
        <w:rPr>
          <w:rFonts w:ascii="Verdana" w:cs="Verdana" w:eastAsia="Verdana" w:hAnsi="Verdana"/>
          <w:sz w:val="16"/>
          <w:szCs w:val="16"/>
          <w:color w:val="auto"/>
        </w:rPr>
        <w:t xml:space="preserve"> </w:t>
      </w:r>
      <w:r>
        <w:rPr>
          <w:rFonts w:ascii="Verdana" w:cs="Verdana" w:eastAsia="Verdana" w:hAnsi="Verdana"/>
          <w:sz w:val="16"/>
          <w:szCs w:val="16"/>
          <w:i w:val="1"/>
          <w:iCs w:val="1"/>
          <w:color w:val="auto"/>
        </w:rPr>
        <w:t xml:space="preserve">Framework (2013) </w:t>
      </w:r>
      <w:r>
        <w:rPr>
          <w:rFonts w:ascii="Verdana" w:cs="Verdana" w:eastAsia="Verdana" w:hAnsi="Verdana"/>
          <w:sz w:val="16"/>
          <w:szCs w:val="16"/>
          <w:color w:val="auto"/>
        </w:rPr>
        <w:t>issued by COSO.</w:t>
      </w:r>
    </w:p>
    <w:p>
      <w:pPr>
        <w:spacing w:after="0" w:line="173" w:lineRule="exact"/>
        <w:rPr>
          <w:sz w:val="20"/>
          <w:szCs w:val="20"/>
          <w:color w:val="auto"/>
        </w:rPr>
      </w:pPr>
    </w:p>
    <w:p>
      <w:pPr>
        <w:spacing w:after="0" w:line="260" w:lineRule="auto"/>
        <w:rPr>
          <w:sz w:val="20"/>
          <w:szCs w:val="20"/>
          <w:color w:val="auto"/>
        </w:rPr>
      </w:pPr>
      <w:r>
        <w:rPr>
          <w:rFonts w:ascii="Verdana" w:cs="Verdana" w:eastAsia="Verdana" w:hAnsi="Verdana"/>
          <w:sz w:val="16"/>
          <w:szCs w:val="16"/>
          <w:color w:val="auto"/>
        </w:rPr>
        <w:t>We have also audited, in accordance with the standards of the Public Company Accounting Oversight Board (United States) (PCAOB), the consolidated financial statements as of and for the year ended December 31, 2025, of the Company and our report dated February 23, 2026, expressed an unqualified opinion on those financial statements.</w:t>
      </w:r>
    </w:p>
    <w:p>
      <w:pPr>
        <w:spacing w:after="0" w:line="151"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Basis for Opinion</w:t>
      </w:r>
    </w:p>
    <w:p>
      <w:pPr>
        <w:spacing w:after="0" w:line="184" w:lineRule="exact"/>
        <w:rPr>
          <w:sz w:val="20"/>
          <w:szCs w:val="20"/>
          <w:color w:val="auto"/>
        </w:rPr>
      </w:pPr>
    </w:p>
    <w:p>
      <w:pPr>
        <w:ind w:right="200"/>
        <w:spacing w:after="0" w:line="253" w:lineRule="auto"/>
        <w:rPr>
          <w:sz w:val="20"/>
          <w:szCs w:val="20"/>
          <w:color w:val="auto"/>
        </w:rPr>
      </w:pPr>
      <w:r>
        <w:rPr>
          <w:rFonts w:ascii="Verdana" w:cs="Verdana" w:eastAsia="Verdana" w:hAnsi="Verdana"/>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Controls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4" w:lineRule="exact"/>
        <w:rPr>
          <w:sz w:val="20"/>
          <w:szCs w:val="20"/>
          <w:color w:val="auto"/>
        </w:rPr>
      </w:pPr>
    </w:p>
    <w:p>
      <w:pPr>
        <w:spacing w:after="0" w:line="254" w:lineRule="auto"/>
        <w:rPr>
          <w:sz w:val="20"/>
          <w:szCs w:val="20"/>
          <w:color w:val="auto"/>
        </w:rPr>
      </w:pPr>
      <w:r>
        <w:rPr>
          <w:rFonts w:ascii="Verdana" w:cs="Verdana" w:eastAsia="Verdana" w:hAnsi="Verdana"/>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Definition and Limitations of Internal Control over Financial Reporting</w:t>
      </w:r>
    </w:p>
    <w:p>
      <w:pPr>
        <w:spacing w:after="0" w:line="184" w:lineRule="exact"/>
        <w:rPr>
          <w:sz w:val="20"/>
          <w:szCs w:val="20"/>
          <w:color w:val="auto"/>
        </w:rPr>
      </w:pPr>
    </w:p>
    <w:p>
      <w:pPr>
        <w:ind w:right="80"/>
        <w:spacing w:after="0" w:line="252" w:lineRule="auto"/>
        <w:rPr>
          <w:sz w:val="20"/>
          <w:szCs w:val="20"/>
          <w:color w:val="auto"/>
        </w:rPr>
      </w:pPr>
      <w:r>
        <w:rPr>
          <w:rFonts w:ascii="Verdana" w:cs="Verdana" w:eastAsia="Verdana" w:hAnsi="Verdana"/>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20"/>
        <w:spacing w:after="0" w:line="260" w:lineRule="auto"/>
        <w:rPr>
          <w:sz w:val="20"/>
          <w:szCs w:val="20"/>
          <w:color w:val="auto"/>
        </w:rPr>
      </w:pPr>
      <w:r>
        <w:rPr>
          <w:rFonts w:ascii="Verdana" w:cs="Verdana" w:eastAsia="Verdana" w:hAnsi="Verdana"/>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spacing w:after="0"/>
        <w:rPr>
          <w:sz w:val="20"/>
          <w:szCs w:val="20"/>
          <w:color w:val="auto"/>
        </w:rPr>
      </w:pPr>
      <w:r>
        <w:rPr>
          <w:rFonts w:ascii="Verdana" w:cs="Verdana" w:eastAsia="Verdana" w:hAnsi="Verdana"/>
          <w:sz w:val="16"/>
          <w:szCs w:val="16"/>
          <w:color w:val="auto"/>
        </w:rPr>
        <w:t>/s/ Deloitte &amp; Touche LLP</w:t>
      </w:r>
    </w:p>
    <w:p>
      <w:pPr>
        <w:spacing w:after="0" w:line="184" w:lineRule="exact"/>
        <w:rPr>
          <w:sz w:val="20"/>
          <w:szCs w:val="20"/>
          <w:color w:val="auto"/>
        </w:rPr>
      </w:pPr>
    </w:p>
    <w:p>
      <w:pPr>
        <w:spacing w:after="0"/>
        <w:rPr>
          <w:sz w:val="20"/>
          <w:szCs w:val="20"/>
          <w:color w:val="auto"/>
        </w:rPr>
      </w:pPr>
      <w:r>
        <w:rPr>
          <w:rFonts w:ascii="Verdana" w:cs="Verdana" w:eastAsia="Verdana" w:hAnsi="Verdana"/>
          <w:sz w:val="16"/>
          <w:szCs w:val="16"/>
          <w:color w:val="auto"/>
        </w:rPr>
        <w:t>Morristown, New Jersey</w:t>
      </w:r>
    </w:p>
    <w:p>
      <w:pPr>
        <w:spacing w:after="0" w:line="197" w:lineRule="exact"/>
        <w:rPr>
          <w:sz w:val="20"/>
          <w:szCs w:val="20"/>
          <w:color w:val="auto"/>
        </w:rPr>
      </w:pPr>
    </w:p>
    <w:p>
      <w:pPr>
        <w:spacing w:after="0"/>
        <w:rPr>
          <w:sz w:val="20"/>
          <w:szCs w:val="20"/>
          <w:color w:val="auto"/>
        </w:rPr>
      </w:pPr>
      <w:r>
        <w:rPr>
          <w:rFonts w:ascii="Verdana" w:cs="Verdana" w:eastAsia="Verdana" w:hAnsi="Verdana"/>
          <w:sz w:val="16"/>
          <w:szCs w:val="16"/>
          <w:color w:val="auto"/>
        </w:rPr>
        <w:t>February 23, 2026</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322,933</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315,353</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224,464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142,001</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27,938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15,732</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13,651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11,978</w:t>
            </w:r>
          </w:p>
        </w:tc>
      </w:tr>
      <w:tr>
        <w:trPr>
          <w:trHeight w:val="20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588,986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485,064</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584</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 - operating lease</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20,858</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5,383</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12,042</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 net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40,519</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46,894</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26,838</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18,531</w:t>
            </w:r>
          </w:p>
        </w:tc>
      </w:tr>
      <w:tr>
        <w:trPr>
          <w:trHeight w:val="25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689,805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568,498</w:t>
            </w:r>
          </w:p>
        </w:tc>
      </w:tr>
      <w:tr>
        <w:trPr>
          <w:trHeight w:val="196"/>
        </w:trPr>
        <w:tc>
          <w:tcPr>
            <w:tcW w:w="76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65,537</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71,997</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232,853</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147,987</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1,835</w:t>
            </w: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Contingent consideration, current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10,012</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8,285</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70,000</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378,836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230,104</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non-current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77,540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91,680</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117,746</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180,710</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23,182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6,046</w:t>
            </w: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liability, long-term</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4,206</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2,943</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601,510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511,483</w:t>
            </w: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198"/>
        </w:trPr>
        <w:tc>
          <w:tcPr>
            <w:tcW w:w="7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none issued and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(150,000,000 shares authorized, 50,882,766 and</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4"/>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48,667,587 shares issued and outstanding at December 31, 2025 and December 31, 2024, respectively)</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1,394,251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1,179,797</w:t>
            </w:r>
          </w:p>
        </w:tc>
      </w:tr>
      <w:tr>
        <w:trPr>
          <w:trHeight w:val="216"/>
        </w:trPr>
        <w:tc>
          <w:tcPr>
            <w:tcW w:w="76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(1,305,961)</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(1,122,787)</w:t>
            </w:r>
          </w:p>
        </w:tc>
      </w:tr>
      <w:tr>
        <w:trPr>
          <w:trHeight w:val="21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88,295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57,015</w:t>
            </w: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689,805</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568,498</w:t>
            </w:r>
          </w:p>
        </w:tc>
      </w:tr>
      <w:tr>
        <w:trPr>
          <w:trHeight w:val="20"/>
        </w:trPr>
        <w:tc>
          <w:tcPr>
            <w:tcW w:w="7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-3102610</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-3085465</wp:posOffset>
            </wp:positionV>
            <wp:extent cx="11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-1422400</wp:posOffset>
            </wp:positionV>
            <wp:extent cx="1111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-316865</wp:posOffset>
            </wp:positionV>
            <wp:extent cx="1111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633,796</w:t>
            </w:r>
          </w:p>
        </w:tc>
        <w:tc>
          <w:tcPr>
            <w:tcW w:w="8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18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License revenue</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Royalty revenue and milestone revenue</w:t>
            </w: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8"/>
                <w:szCs w:val="18"/>
                <w:color w:val="auto"/>
              </w:rPr>
            </w:pPr>
          </w:p>
        </w:tc>
      </w:tr>
      <w:tr>
        <w:trPr>
          <w:trHeight w:val="209"/>
        </w:trPr>
        <w:tc>
          <w:tcPr>
            <w:tcW w:w="5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9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638,496</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97,944</w:t>
            </w: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570,599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411,359</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323,123</w:t>
            </w: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9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502,425</w:t>
            </w:r>
          </w:p>
        </w:tc>
        <w:tc>
          <w:tcPr>
            <w:tcW w:w="100" w:type="dxa"/>
            <w:vAlign w:val="bottom"/>
          </w:tcPr>
          <w:p>
            <w:pPr>
              <w:spacing w:after="0"/>
              <w:rPr>
                <w:sz w:val="18"/>
                <w:szCs w:val="18"/>
                <w:color w:val="auto"/>
              </w:rPr>
            </w:pPr>
          </w:p>
        </w:tc>
      </w:tr>
      <w:tr>
        <w:trPr>
          <w:trHeight w:val="209"/>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(166,762)</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(280,562)</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(231,825)</w:t>
            </w:r>
          </w:p>
        </w:tc>
      </w:tr>
      <w:tr>
        <w:trPr>
          <w:trHeight w:val="216"/>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(6,453)</w:t>
            </w: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(10,385)</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6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(183,704)</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(287,131)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(238,278)</w:t>
            </w:r>
          </w:p>
        </w:tc>
      </w:tr>
      <w:tr>
        <w:trPr>
          <w:trHeight w:val="216"/>
        </w:trPr>
        <w:tc>
          <w:tcPr>
            <w:tcW w:w="5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(960)</w:t>
            </w:r>
          </w:p>
        </w:tc>
      </w:tr>
      <w:tr>
        <w:trPr>
          <w:trHeight w:val="20"/>
        </w:trPr>
        <w:tc>
          <w:tcPr>
            <w:tcW w:w="566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(183,174)</w:t>
            </w: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(287,216)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(239,238)</w:t>
            </w:r>
          </w:p>
        </w:tc>
      </w:tr>
      <w:tr>
        <w:trPr>
          <w:trHeight w:val="20"/>
        </w:trPr>
        <w:tc>
          <w:tcPr>
            <w:tcW w:w="5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128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(3.68)</w:t>
            </w:r>
          </w:p>
        </w:tc>
        <w:tc>
          <w:tcPr>
            <w:tcW w:w="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(5.99)</w:t>
            </w:r>
          </w:p>
        </w:tc>
        <w:tc>
          <w:tcPr>
            <w:tcW w:w="3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(5.27)</w:t>
            </w:r>
          </w:p>
        </w:tc>
      </w:tr>
      <w:tr>
        <w:trPr>
          <w:trHeight w:val="196"/>
        </w:trPr>
        <w:tc>
          <w:tcPr>
            <w:tcW w:w="5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9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49,747,178</w:t>
            </w:r>
          </w:p>
        </w:tc>
        <w:tc>
          <w:tcPr>
            <w:tcW w:w="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47,914,253</w:t>
            </w:r>
          </w:p>
        </w:tc>
        <w:tc>
          <w:tcPr>
            <w:tcW w:w="1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45,425,212</w:t>
            </w:r>
          </w:p>
        </w:tc>
        <w:tc>
          <w:tcPr>
            <w:tcW w:w="100" w:type="dxa"/>
            <w:vAlign w:val="bottom"/>
            <w:tcBorders>
              <w:top w:val="single" w:sz="8" w:color="CFF0FC"/>
            </w:tcBorders>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-2176780</wp:posOffset>
            </wp:positionV>
            <wp:extent cx="768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-2176780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-1345565</wp:posOffset>
            </wp:positionV>
            <wp:extent cx="768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-1345565</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-1345565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-779145</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-779145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-496570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-496570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2060" w:type="dxa"/>
            <w:vAlign w:val="bottom"/>
            <w:gridSpan w:val="3"/>
            <w:vMerge w:val="restart"/>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20" w:type="dxa"/>
            <w:vAlign w:val="bottom"/>
            <w:gridSpan w:val="2"/>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20" w:type="dxa"/>
            <w:vAlign w:val="bottom"/>
          </w:tcPr>
          <w:p>
            <w:pPr>
              <w:spacing w:after="0"/>
              <w:rPr>
                <w:sz w:val="13"/>
                <w:szCs w:val="13"/>
                <w:color w:val="auto"/>
              </w:rPr>
            </w:pPr>
          </w:p>
        </w:tc>
        <w:tc>
          <w:tcPr>
            <w:tcW w:w="2060" w:type="dxa"/>
            <w:vAlign w:val="bottom"/>
            <w:tcBorders>
              <w:bottom w:val="single" w:sz="8" w:color="auto"/>
            </w:tcBorders>
            <w:gridSpan w:val="3"/>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152"/>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132"/>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43,498,617</w:t>
            </w:r>
          </w:p>
        </w:tc>
        <w:tc>
          <w:tcPr>
            <w:tcW w:w="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705,885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(596,333)</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109,556</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65,357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65,357</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exercise of options</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358,760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43,986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3,450,000</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243,082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243,083</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warrants</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1,635</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(239,238)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(239,238)</w:t>
            </w: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47,351,363</w:t>
            </w:r>
          </w:p>
        </w:tc>
        <w:tc>
          <w:tcPr>
            <w:tcW w:w="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1,026,543</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(835,571)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190,977</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86,558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86,558</w:t>
            </w:r>
          </w:p>
        </w:tc>
        <w:tc>
          <w:tcPr>
            <w:tcW w:w="0" w:type="dxa"/>
            <w:vAlign w:val="bottom"/>
          </w:tcPr>
          <w:p>
            <w:pPr>
              <w:spacing w:after="0"/>
              <w:rPr>
                <w:sz w:val="1"/>
                <w:szCs w:val="1"/>
                <w:color w:val="auto"/>
              </w:rPr>
            </w:pPr>
          </w:p>
        </w:tc>
      </w:tr>
      <w:tr>
        <w:trPr>
          <w:trHeight w:val="198"/>
        </w:trPr>
        <w:tc>
          <w:tcPr>
            <w:tcW w:w="512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options and under</w:t>
            </w: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770,531</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30,680</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30,680</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79,585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466,108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39,968</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39,968</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(287,216)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(287,216)</w:t>
            </w:r>
          </w:p>
        </w:tc>
        <w:tc>
          <w:tcPr>
            <w:tcW w:w="0" w:type="dxa"/>
            <w:vAlign w:val="bottom"/>
          </w:tcPr>
          <w:p>
            <w:pPr>
              <w:spacing w:after="0"/>
              <w:rPr>
                <w:sz w:val="1"/>
                <w:szCs w:val="1"/>
                <w:color w:val="auto"/>
              </w:rPr>
            </w:pPr>
          </w:p>
        </w:tc>
      </w:tr>
      <w:tr>
        <w:trPr>
          <w:trHeight w:val="21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48,667,587</w:t>
            </w:r>
          </w:p>
        </w:tc>
        <w:tc>
          <w:tcPr>
            <w:tcW w:w="9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1,179,797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(1,122,787)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57,015</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95,299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95,299</w:t>
            </w:r>
          </w:p>
        </w:tc>
        <w:tc>
          <w:tcPr>
            <w:tcW w:w="0" w:type="dxa"/>
            <w:vAlign w:val="bottom"/>
          </w:tcPr>
          <w:p>
            <w:pPr>
              <w:spacing w:after="0"/>
              <w:rPr>
                <w:sz w:val="1"/>
                <w:szCs w:val="1"/>
                <w:color w:val="auto"/>
              </w:rPr>
            </w:pPr>
          </w:p>
        </w:tc>
      </w:tr>
      <w:tr>
        <w:trPr>
          <w:trHeight w:val="198"/>
        </w:trPr>
        <w:tc>
          <w:tcPr>
            <w:tcW w:w="51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options and under</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1,520,390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59,558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59,558</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103,613</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of common stock upon financing</w:t>
            </w:r>
          </w:p>
        </w:tc>
        <w:tc>
          <w:tcPr>
            <w:tcW w:w="11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591,176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66,707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66,707</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tendered for withholding taxes</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(183,174)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(183,174)</w:t>
            </w:r>
          </w:p>
        </w:tc>
        <w:tc>
          <w:tcPr>
            <w:tcW w:w="0" w:type="dxa"/>
            <w:vAlign w:val="bottom"/>
          </w:tcPr>
          <w:p>
            <w:pPr>
              <w:spacing w:after="0"/>
              <w:rPr>
                <w:sz w:val="1"/>
                <w:szCs w:val="1"/>
                <w:color w:val="auto"/>
              </w:rPr>
            </w:pPr>
          </w:p>
        </w:tc>
      </w:tr>
      <w:tr>
        <w:trPr>
          <w:trHeight w:val="20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50,882,766</w:t>
            </w:r>
          </w:p>
        </w:tc>
        <w:tc>
          <w:tcPr>
            <w:tcW w:w="9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1,394,251</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(1,305,961)</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88,295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-1250950</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-1250950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-1250950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-1250950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r>
      <w:tr>
        <w:trPr>
          <w:trHeight w:val="19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(183,174)</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(287,216)</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(239,238)</w:t>
            </w: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93,752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85,218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62,620</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 asset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6,375</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2,640</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in fair value of contingent consideration</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(2,473)</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28,124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48,918</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Gain from lease modification</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(2,250)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amortization for finance lease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(82,463)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(47,181)</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(57,121)</w:t>
            </w: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Inventories, net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(10,660)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(8,156)</w:t>
            </w: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(3,863)</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(5,335)</w:t>
            </w: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Non-current inventory and other assets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(5,010)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(3,183)</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(6,460)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31,318</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83,743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56,065</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36,452</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(535)</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(422)</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(93,405)</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(128,410)</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(145,080)</w:t>
            </w:r>
          </w:p>
        </w:tc>
      </w:tr>
      <w:tr>
        <w:trPr>
          <w:trHeight w:val="196"/>
        </w:trPr>
        <w:tc>
          <w:tcPr>
            <w:tcW w:w="6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of equipment</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(270)</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(582)</w:t>
            </w: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7"/>
                <w:szCs w:val="17"/>
                <w:color w:val="auto"/>
              </w:rPr>
            </w:pPr>
          </w:p>
        </w:tc>
      </w:tr>
      <w:tr>
        <w:trPr>
          <w:trHeight w:val="19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draw down of debt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(3,638)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(1,442)</w:t>
            </w: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Repayment of debt</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(331,988)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Payments on principal portion of finance lease obligation</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(2,124)</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(990)</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financing</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258,750</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common stock issuance costs</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(1,197)</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(816)</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(15,668)</w:t>
            </w:r>
          </w:p>
        </w:tc>
      </w:tr>
      <w:tr>
        <w:trPr>
          <w:trHeight w:val="18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options and under employee stock</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12,419</w:t>
            </w:r>
          </w:p>
        </w:tc>
        <w:tc>
          <w:tcPr>
            <w:tcW w:w="120" w:type="dxa"/>
            <w:vAlign w:val="bottom"/>
          </w:tcPr>
          <w:p>
            <w:pPr>
              <w:spacing w:after="0"/>
              <w:rPr>
                <w:sz w:val="18"/>
                <w:szCs w:val="18"/>
                <w:color w:val="auto"/>
              </w:rPr>
            </w:pPr>
          </w:p>
        </w:tc>
      </w:tr>
      <w:tr>
        <w:trPr>
          <w:trHeight w:val="205"/>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(9,940)</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(7,866)</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(6,211)</w:t>
            </w: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Payments of tax withholdings on stock awards</w:t>
            </w: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(7,110)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(3,952)</w:t>
            </w:r>
          </w:p>
        </w:tc>
        <w:tc>
          <w:tcPr>
            <w:tcW w:w="3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(1,835)</w:t>
            </w:r>
          </w:p>
        </w:tc>
      </w:tr>
      <w:tr>
        <w:trPr>
          <w:trHeight w:val="196"/>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101,465</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57,840</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331,013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(70,840)</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185,351</w:t>
            </w:r>
          </w:p>
        </w:tc>
        <w:tc>
          <w:tcPr>
            <w:tcW w:w="120" w:type="dxa"/>
            <w:vAlign w:val="bottom"/>
          </w:tcPr>
          <w:p>
            <w:pPr>
              <w:spacing w:after="0"/>
              <w:rPr>
                <w:sz w:val="17"/>
                <w:szCs w:val="17"/>
                <w:color w:val="auto"/>
              </w:rPr>
            </w:pPr>
          </w:p>
        </w:tc>
      </w:tr>
      <w:tr>
        <w:trPr>
          <w:trHeight w:val="203"/>
        </w:trPr>
        <w:tc>
          <w:tcPr>
            <w:tcW w:w="6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315,353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386,193</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200,842</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Cash at end of period</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322,933</w:t>
            </w:r>
          </w:p>
        </w:tc>
        <w:tc>
          <w:tcPr>
            <w:tcW w:w="1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315,353</w:t>
            </w:r>
          </w:p>
        </w:tc>
        <w:tc>
          <w:tcPr>
            <w:tcW w:w="2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386,193</w:t>
            </w:r>
          </w:p>
        </w:tc>
        <w:tc>
          <w:tcPr>
            <w:tcW w:w="120" w:type="dxa"/>
            <w:vAlign w:val="bottom"/>
          </w:tcPr>
          <w:p>
            <w:pPr>
              <w:spacing w:after="0"/>
              <w:rPr>
                <w:sz w:val="17"/>
                <w:szCs w:val="17"/>
                <w:color w:val="auto"/>
              </w:rPr>
            </w:pPr>
          </w:p>
        </w:tc>
      </w:tr>
      <w:tr>
        <w:trPr>
          <w:trHeight w:val="20"/>
        </w:trPr>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14,626</w:t>
            </w:r>
          </w:p>
        </w:tc>
        <w:tc>
          <w:tcPr>
            <w:tcW w:w="100" w:type="dxa"/>
            <w:vAlign w:val="bottom"/>
          </w:tcPr>
          <w:p>
            <w:pPr>
              <w:spacing w:after="0"/>
              <w:rPr>
                <w:sz w:val="17"/>
                <w:szCs w:val="17"/>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19,690</w:t>
            </w:r>
          </w:p>
        </w:tc>
        <w:tc>
          <w:tcPr>
            <w:tcW w:w="26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16,730</w:t>
            </w:r>
          </w:p>
        </w:tc>
        <w:tc>
          <w:tcPr>
            <w:tcW w:w="120" w:type="dxa"/>
            <w:vAlign w:val="bottom"/>
          </w:tcPr>
          <w:p>
            <w:pPr>
              <w:spacing w:after="0"/>
              <w:rPr>
                <w:sz w:val="17"/>
                <w:szCs w:val="17"/>
                <w:color w:val="auto"/>
              </w:rPr>
            </w:pP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7,802</w:t>
            </w:r>
          </w:p>
        </w:tc>
        <w:tc>
          <w:tcPr>
            <w:tcW w:w="120" w:type="dxa"/>
            <w:vAlign w:val="bottom"/>
            <w:shd w:val="clear" w:color="auto" w:fill="CFF0FC"/>
          </w:tcPr>
          <w:p>
            <w:pPr>
              <w:spacing w:after="0"/>
              <w:rPr>
                <w:sz w:val="17"/>
                <w:szCs w:val="17"/>
                <w:color w:val="auto"/>
              </w:rPr>
            </w:pPr>
          </w:p>
        </w:tc>
      </w:tr>
      <w:tr>
        <w:trPr>
          <w:trHeight w:val="203"/>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Finance lease right-of-use asset obtained in exchange for finance lease liability</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5,355</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Decrease in operating lease right-of-use asset due to lease modification</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5,349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Decrease in operating lease liability due to lease modification</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financing activity:</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0"/>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warrants in connection with debt financing</w:t>
            </w: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-3424555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-3424555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-3424555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-3171825</wp:posOffset>
            </wp:positionV>
            <wp:extent cx="93980"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6035675</wp:posOffset>
            </wp:positionH>
            <wp:positionV relativeFrom="paragraph">
              <wp:posOffset>-3171825</wp:posOffset>
            </wp:positionV>
            <wp:extent cx="9398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-3171825</wp:posOffset>
            </wp:positionV>
            <wp:extent cx="10287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-1461770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-1461770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-1461770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-1195705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-1195705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-1195705</wp:posOffset>
            </wp:positionV>
            <wp:extent cx="774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Basis of Presentation</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Axsome Therapeutics, Inc. (“Axsome” or the “Company”), based in New York, New York, is a biopharmaceutical company dedicated to the development and commercialization of innovative medicines for people living with central nervous system (“CNS”) conditions. Axsome has a diverse portfolio of U.S. Food and Drug Administration (“FDA”) approved treatments for major depressive disorder, excessive daytime sleepiness associated with narcolepsy or obstructive sleep apnea, and migraine, and an expansive pipeline comprised of multiple late-stage development programs addressing a broad range of serious neurological and psychiatric conditions that collectively impact over 150 million people in the United States.</w:t>
      </w:r>
    </w:p>
    <w:p>
      <w:pPr>
        <w:spacing w:after="0" w:line="190" w:lineRule="exact"/>
        <w:rPr>
          <w:sz w:val="20"/>
          <w:szCs w:val="20"/>
          <w:color w:val="auto"/>
        </w:rPr>
      </w:pPr>
    </w:p>
    <w:p>
      <w:pPr>
        <w:ind w:right="80" w:firstLine="749"/>
        <w:spacing w:after="0"/>
        <w:rPr>
          <w:sz w:val="20"/>
          <w:szCs w:val="20"/>
          <w:color w:val="auto"/>
        </w:rPr>
      </w:pPr>
      <w:r>
        <w:rPr>
          <w:rFonts w:ascii="Times New Roman" w:cs="Times New Roman" w:eastAsia="Times New Roman" w:hAnsi="Times New Roman"/>
          <w:sz w:val="18"/>
          <w:szCs w:val="18"/>
          <w:color w:val="auto"/>
        </w:rPr>
        <w:t>In May 2022, the Company acquired the U.S. rights to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(solriamfetol) from Jazz Pharmaceuticals plc (“Jazz”), and in November 2022, the Company acquired worldwide ex-U.S. rights (excluding certain Asian markets) from Jazz (collectively, the “Acquisition”). SUNOSI was approved for the treatment of excessive daytime sleepiness (EDS) in adult patients with narcolepsy or obstructive sleep apnea by the FDA in March 2019 and by the European Commission in January 2020. In February 2023, the Company announced a licensing transaction with Atnahs Pharma UK Limited (“Pharmanovia”) to market SUNOSI in Europe and certain countries in the Middle East / North Africa.</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In August 2022, AUVELITY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(dextromethorphan-bupropion) was approved by the FDA for the treatment of major depressive disorder in adults.</w:t>
      </w:r>
    </w:p>
    <w:p>
      <w:pPr>
        <w:spacing w:after="0"/>
        <w:rPr>
          <w:sz w:val="20"/>
          <w:szCs w:val="20"/>
          <w:color w:val="auto"/>
        </w:rPr>
      </w:pPr>
      <w:r>
        <w:rPr>
          <w:rFonts w:ascii="Times New Roman" w:cs="Times New Roman" w:eastAsia="Times New Roman" w:hAnsi="Times New Roman"/>
          <w:sz w:val="18"/>
          <w:szCs w:val="18"/>
          <w:color w:val="auto"/>
        </w:rPr>
        <w:t>The Company announced the commercial availability of AUVELITY in the U.S. in October 2022.</w:t>
      </w:r>
    </w:p>
    <w:p>
      <w:pPr>
        <w:spacing w:after="0" w:line="212" w:lineRule="exact"/>
        <w:rPr>
          <w:sz w:val="20"/>
          <w:szCs w:val="20"/>
          <w:color w:val="auto"/>
        </w:rPr>
      </w:pPr>
    </w:p>
    <w:p>
      <w:pPr>
        <w:ind w:right="460" w:firstLine="749"/>
        <w:spacing w:after="0" w:line="227" w:lineRule="auto"/>
        <w:rPr>
          <w:sz w:val="20"/>
          <w:szCs w:val="20"/>
          <w:color w:val="auto"/>
        </w:rPr>
      </w:pPr>
      <w:r>
        <w:rPr>
          <w:rFonts w:ascii="Times New Roman" w:cs="Times New Roman" w:eastAsia="Times New Roman" w:hAnsi="Times New Roman"/>
          <w:sz w:val="18"/>
          <w:szCs w:val="18"/>
          <w:color w:val="auto"/>
        </w:rPr>
        <w:t>In January 2025, SYMBRAVO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(MoSEIC</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meloxicam-rizatriptan) was approved by the FDA for the acute treatment of migraine with or without aura in adults. The Company announced the commercial availability of SYMBRAVO in the U.S. in June 2025.</w:t>
      </w:r>
    </w:p>
    <w:p>
      <w:pPr>
        <w:spacing w:after="0" w:line="198" w:lineRule="exact"/>
        <w:rPr>
          <w:sz w:val="20"/>
          <w:szCs w:val="20"/>
          <w:color w:val="auto"/>
        </w:rPr>
      </w:pPr>
    </w:p>
    <w:p>
      <w:pPr>
        <w:ind w:right="540" w:firstLine="749"/>
        <w:spacing w:after="0" w:line="261" w:lineRule="auto"/>
        <w:rPr>
          <w:sz w:val="20"/>
          <w:szCs w:val="20"/>
          <w:color w:val="auto"/>
        </w:rPr>
      </w:pPr>
      <w:r>
        <w:rPr>
          <w:rFonts w:ascii="Times New Roman" w:cs="Times New Roman" w:eastAsia="Times New Roman" w:hAnsi="Times New Roman"/>
          <w:sz w:val="18"/>
          <w:szCs w:val="18"/>
          <w:color w:val="auto"/>
        </w:rPr>
        <w:t>In November 2025, the Company acquired the global rights to AZD7325 (AXS-17), a novel oral GABAA receptor α2,3 subtype-selective positive allosteric modulator (PAM), effectuated through the acquisition of all of the outstanding shares of Baergic Bio, Inc., a clinical-stage biopharmaceutical company and subsidiary of Avenue Therapeutics (Baergic). AZD7325 was originally licensed by Baergic from AstraZeneca AB. Axsome intends to evaluate AZD7325 as a potential treatment for epilepsy and plans to begin Phase 2 trial-enabling activities in 2026.</w:t>
      </w:r>
    </w:p>
    <w:p>
      <w:pPr>
        <w:spacing w:after="0" w:line="180" w:lineRule="exact"/>
        <w:rPr>
          <w:sz w:val="20"/>
          <w:szCs w:val="20"/>
          <w:color w:val="auto"/>
        </w:rPr>
      </w:pPr>
    </w:p>
    <w:p>
      <w:pPr>
        <w:ind w:right="840" w:firstLine="749"/>
        <w:spacing w:after="0" w:line="282" w:lineRule="auto"/>
        <w:rPr>
          <w:sz w:val="20"/>
          <w:szCs w:val="20"/>
          <w:color w:val="auto"/>
        </w:rPr>
      </w:pPr>
      <w:r>
        <w:rPr>
          <w:rFonts w:ascii="Times New Roman" w:cs="Times New Roman" w:eastAsia="Times New Roman" w:hAnsi="Times New Roman"/>
          <w:sz w:val="18"/>
          <w:szCs w:val="18"/>
          <w:color w:val="auto"/>
        </w:rPr>
        <w:t>In December 2025, the Company acquired the global rights to deuterium-stabilized S-bupropion from DeuteRx, LLC, a privately held biopharmaceutical company (DeuteRx).</w:t>
      </w:r>
    </w:p>
    <w:p>
      <w:pPr>
        <w:spacing w:after="0" w:line="162"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The Company refers herein to AUVELITY, SUNOSI, SYMBRAVO (also referred to as “AXS-07”), AXS-12, AXS-14, and its programs to develop additional indications for AXS-05 and solriamfetol as the Company’s products.</w:t>
      </w:r>
    </w:p>
    <w:p>
      <w:pPr>
        <w:spacing w:after="0" w:line="162"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United States of America (“GAAP”). The consolidated financial statements include the accounts of the Company and its wholly owned subsidiaries. All material intercompany accounts and transactions have been eliminated during the consolidation process.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40" w:firstLine="749"/>
        <w:spacing w:after="0" w:line="282"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expects to continue to incur operating losses and may never become profitable. As of December 31, 2025, the Company had an accumulated deficit of $1,306.0 million.</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Company’s primary sources of cash have been proceeds from the sales of AUVELITY, SUNOSI, and SYMBRAVO, the issuance and sale of its common stock in public offerings, and the issuance of debt.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with third parties. The Company may continue to incur substantial operating losses even as it continues to generate revenues from its products.</w:t>
      </w:r>
    </w:p>
    <w:p>
      <w:pPr>
        <w:spacing w:after="0" w:line="18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believes its existing cash will be sufficient to fund its anticipated operating cash requirements for at least twelve months following the date of this filing. During that time, the Company expects that its expenses will increase primarily due to the commercialization of AUVELITY, SUNOSI, and SYMBRAVO while continuing to further develop the Company’s pipeline assets.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and trades under the symbol “AXSM.”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Risks and Uncertainties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competition from products manufactured and sold or being developed by other companies; the price of, and demand for, the Company’s products; the Company’s ability to negotiate favorable licensing or other manufacturing and marketing agreements for its products; and the Company’s ability to raise additional capital. If the Company’s commercialization of its products is not financially successful, it will be unable to generate sufficient recurring product revenue to achieve and maintain profitability.</w:t>
      </w:r>
    </w:p>
    <w:p>
      <w:pPr>
        <w:spacing w:after="0" w:line="18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The Company currently has three commercial products, AUVELITY, SUNOSI, and SYMBRAVO. There can be no assurance that the Company’s research and development efforts will result in additional successfully commercialized products.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60" w:firstLine="749"/>
        <w:spacing w:after="0" w:line="253" w:lineRule="auto"/>
        <w:rPr>
          <w:sz w:val="20"/>
          <w:szCs w:val="20"/>
          <w:color w:val="auto"/>
        </w:rPr>
      </w:pPr>
      <w:r>
        <w:rPr>
          <w:rFonts w:ascii="Times New Roman" w:cs="Times New Roman" w:eastAsia="Times New Roman" w:hAnsi="Times New Roman"/>
          <w:sz w:val="18"/>
          <w:szCs w:val="18"/>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stock-based compensation expense; determination of fair value of warrants; accounting for research and development costs; accounting for acquisitions; impairments of goodwill and the intangible asset; determination of fair value of contingent consideration; chargebacks, cash discounts, sales rebates, returns and other adjustments; and the recoverability of the Company’s net deferred tax assets and related valuation allowance.</w:t>
      </w: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Codification (“ASC”) Topic 606, Revenue from Contracts with Customers (“ASC 606”) the Company recognizes revenue when the customer obtains control of a promised good or service, in an amount that reflects the consideration that the Company expects to receive in exchange for the good or service. Transfer of control is based on contractual performance obligations, which occurs upon transfer of the title along with the physical transfer of the Company’s goods to the customer, as that is when the customer has obtained control of significantly all of the economic benefits and the Company obtains a right of payment.</w:t>
      </w:r>
    </w:p>
    <w:p>
      <w:pPr>
        <w:spacing w:after="0" w:line="183"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ASC 606, including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product sales, see Product Sales, net and Note 14. Revenues.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227"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Company generates revenue from license or similar agreements with pharmaceutical companies for the development and commercialization of certain products. Such agreements may include the transfer of intellectual property rights in the form of licenses. Payments made by the customer may include non-refundable upfront fees, payments based upon the achievement of defined milestones and royalties on sales of products.</w:t>
      </w:r>
    </w:p>
    <w:p>
      <w:pPr>
        <w:spacing w:after="0" w:line="176"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If a license to the Company’s intellectual property is determined to be distinct from the other performance obligations identified in the arrangement, the Company recognizes the transaction price allocated to the license as revenue upon 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the Company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spacing w:after="0" w:line="189"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Contingent milestones at contract inception are estimated to the extent that it is probable that a significant revenue reversal would not occur and are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a significant revenue reversal would not occur and, if necessary, adjusts the estimate of the overall transaction price. Any such adjustments are recorded on a cumulative catch-up basis, which would affect license and other revenue, as well as earnings, in the period of adjustment.</w:t>
      </w:r>
    </w:p>
    <w:p>
      <w:pPr>
        <w:spacing w:after="0" w:line="192" w:lineRule="exact"/>
        <w:rPr>
          <w:sz w:val="20"/>
          <w:szCs w:val="20"/>
          <w:color w:val="auto"/>
        </w:rPr>
      </w:pPr>
    </w:p>
    <w:p>
      <w:pPr>
        <w:jc w:val="both"/>
        <w:ind w:right="480" w:firstLine="749"/>
        <w:spacing w:after="0" w:line="266" w:lineRule="auto"/>
        <w:rPr>
          <w:sz w:val="20"/>
          <w:szCs w:val="20"/>
          <w:color w:val="auto"/>
        </w:rPr>
      </w:pPr>
      <w:r>
        <w:rPr>
          <w:rFonts w:ascii="Times New Roman" w:cs="Times New Roman" w:eastAsia="Times New Roman" w:hAnsi="Times New Roman"/>
          <w:sz w:val="18"/>
          <w:szCs w:val="18"/>
          <w:color w:val="auto"/>
        </w:rPr>
        <w:t>For arrangements that include sales-based royalties, including sales-based milestone payments, and a license of intellectual property that is deemed to be the predominant item to which the royalties relate, revenue is recognized at the later of (i) when the related sales occur, or (ii) when the performance obligation to which some or all of the royalties have been allocated has been satisfied (or partially satisfied).</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227"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for variable consideration. These reserves reflect the Company’s best estimate of the amount of consideration to which the Company is entitled based on the terms of the contracts. The Company sells AUVELITY, SUNOSI, and SYMBRAVO in the United States to wholesale distributors with whom the Company has entered into formal agreements (collectively, the “Distributors”). These Distributors subsequently resell the Company’s products to retail pharmacies. The Company also sells SUNOSI to Distributors in Canada and on a product supply basis to Pharmanovia. SUNOSI is subsequently sold by Pharmanovia in certain ex-U.S. markets. The Company does not sell products under consignment arrangements, and the collection of proceeds from product sales is not contingent upon customers’ sale of the goods to third parties. The Company received FDA approval for SYMBRAVO in January 2025. See Note 14. Revenues for a further breakout of product sales, net.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Reserves for Variable Consideration</w:t>
      </w:r>
    </w:p>
    <w:p>
      <w:pPr>
        <w:spacing w:after="0" w:line="22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These reserves reflect the Company’s best estimate of the amount of consideration to which the Company is entitled based on the terms of the contracts and are classified as reductions to accounts receivable, net if payable to a customer or accrued expenses and other current liabilities if payable to a third-party. The amount of variable consideration that is included in the transaction price may be constrained and is included in the net sales price only to the extent that is considered probable that a significant reversal in the amount of the cumulative revenue recognized will not occur in a future period. Actual amounts of consideration ultimately received may differ from the estimates. If actual results in the future vary from our estimates, the Company will adjust these estimates, which would affect net product revenue and earnings in the period such variances become known.</w:t>
      </w:r>
    </w:p>
    <w:p>
      <w:pPr>
        <w:spacing w:after="0" w:line="192" w:lineRule="exact"/>
        <w:rPr>
          <w:sz w:val="20"/>
          <w:szCs w:val="20"/>
          <w:color w:val="auto"/>
        </w:rPr>
      </w:pPr>
    </w:p>
    <w:p>
      <w:pPr>
        <w:ind w:right="160" w:firstLine="749"/>
        <w:spacing w:after="0" w:line="256" w:lineRule="auto"/>
        <w:rPr>
          <w:sz w:val="20"/>
          <w:szCs w:val="20"/>
          <w:color w:val="auto"/>
        </w:rPr>
      </w:pPr>
      <w:r>
        <w:rPr>
          <w:rFonts w:ascii="Times New Roman" w:cs="Times New Roman" w:eastAsia="Times New Roman" w:hAnsi="Times New Roman"/>
          <w:sz w:val="18"/>
          <w:szCs w:val="18"/>
          <w:color w:val="auto"/>
        </w:rPr>
        <w:t>The provision for rebates, discounts, and other incentives is based on expected patient usage, as well as inventory levels in the distribution channel to determine the contractual obligation to the benefit providers. Additionally, sales are generally made with a limited right of return under certain conditions. Revenues are recorded net of provisions for rebates, discounts, and other incentives and returns, which are established at the time of sale. The Company uses customer segment utilization mix data, changes to product price, government pricing calculations and prior payment history in order to estimate the variable consideration. Amounts accrued for rebates, discounts, and other incentives are adjusted when trends indicate that adjustment is appropriate and to reflect actual experience.</w:t>
      </w:r>
    </w:p>
    <w:p>
      <w:pPr>
        <w:spacing w:after="0" w:line="18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 The Company generally provides discounts which include incentive fees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contracts and are recorded as a reduction of revenue in the period the related product revenue is recognized. In addition, the Company compensates (through trade discounts and allowances) its distributors for distribution services and data. These payments have been recorded as a reduction to product sales as well as a reduction to accounts receivable, net on the consolidated balance sheets.</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Returns - </w:t>
      </w:r>
      <w:r>
        <w:rPr>
          <w:rFonts w:ascii="Times New Roman" w:cs="Times New Roman" w:eastAsia="Times New Roman" w:hAnsi="Times New Roman"/>
          <w:sz w:val="18"/>
          <w:szCs w:val="18"/>
          <w:color w:val="auto"/>
        </w:rPr>
        <w:t>The Company generally offers a limited right of return for product that has been purchased from the Company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expiration date. The Company estimates the amount of its product sales that may be returned and records this estimate as a reduction of revenue in the period the related product sale is recognized, as well as a component of accrued expense and other current liabilities. The Company currently estimates product return liabilities using available industry data, historical product sales information, and actual returns experience.</w:t>
      </w:r>
    </w:p>
    <w:p>
      <w:pPr>
        <w:spacing w:after="0" w:line="180"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Chargebacks and Discounts - </w:t>
      </w:r>
      <w:r>
        <w:rPr>
          <w:rFonts w:ascii="Times New Roman" w:cs="Times New Roman" w:eastAsia="Times New Roman" w:hAnsi="Times New Roman"/>
          <w:sz w:val="18"/>
          <w:szCs w:val="18"/>
          <w:color w:val="auto"/>
        </w:rPr>
        <w:t>Chargebacks for fees and discounts to providers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products at prices lower than the list prices charged to distributors. Distributors charge the Company for the difference between what they pay for the product and the ultimate selling price. These reserves are established in the same period that the related product sales are recognized, resulting in a reduction to product sales and accounts receivable, net.</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Rebates - </w:t>
      </w:r>
      <w:r>
        <w:rPr>
          <w:rFonts w:ascii="Times New Roman" w:cs="Times New Roman" w:eastAsia="Times New Roman" w:hAnsi="Times New Roman"/>
          <w:sz w:val="18"/>
          <w:szCs w:val="18"/>
          <w:color w:val="auto"/>
        </w:rPr>
        <w:t>Rebates apply to: Medicaid, managed care, and supplemental rebates to all applicable states as defined by the statutory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calculation requirements under the Medicaid Drug Rebate Program. Tricare rebates to the TRICARE third-party administrator are based on the statutory calculation defined in the agreement with the Defense Health Agency. Part D and Commercial Managed Care rebates are paid based on the contracts with Pharmacy Benefit Managers (“PBMs”) and Managed Care Organizations. Rebates are paid to these entities upon receipt of an invoice from the contracted entity which is based on the utilization of the product by the members of the contracted entity. Allowances for rebates also include amounts due for Medicare Inflation Based Rebates resulting from the Inflation Reduction Act of 2022, which includes measures requiring manufacturers to pay rebates where price increases exceed the rate of inflation. The Company estimates these rebates and records such estimates in the same period the related product sales are recognized, resulting in a reduction to product sales as well as a component of accrued expenses and other current liabilities.</w:t>
      </w:r>
    </w:p>
    <w:p>
      <w:pPr>
        <w:spacing w:after="0" w:line="18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Coverage Gap - </w:t>
      </w:r>
      <w:r>
        <w:rPr>
          <w:rFonts w:ascii="Times New Roman" w:cs="Times New Roman" w:eastAsia="Times New Roman" w:hAnsi="Times New Roman"/>
          <w:sz w:val="18"/>
          <w:szCs w:val="18"/>
          <w:color w:val="auto"/>
        </w:rPr>
        <w:t>The Medicare Part D coverage gap is a period of consumer payment for prescription medication costs which lies between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coverage limit and the catastrophic-coverage threshold, when the patient is a member of a Medicare Part D prescription-drug program administered by the Centers for Medicare &amp; Medicaid Services. The Company estimates the percentage of goods sold to patients in the Coverage Gap and adjusts the transaction price for such discount at the time of sale resulting in a reduction to product sales as well as a component of accrued expenses and other current liabilities.</w:t>
      </w:r>
    </w:p>
    <w:p>
      <w:pPr>
        <w:spacing w:after="0" w:line="183" w:lineRule="exact"/>
        <w:rPr>
          <w:sz w:val="20"/>
          <w:szCs w:val="20"/>
          <w:color w:val="auto"/>
        </w:rPr>
      </w:pPr>
    </w:p>
    <w:p>
      <w:pPr>
        <w:ind w:right="140" w:firstLine="74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Medicare Part D Program Redesign </w:t>
      </w:r>
      <w:r>
        <w:rPr>
          <w:rFonts w:ascii="Times New Roman" w:cs="Times New Roman" w:eastAsia="Times New Roman" w:hAnsi="Times New Roman"/>
          <w:sz w:val="18"/>
          <w:szCs w:val="18"/>
          <w:color w:val="auto"/>
        </w:rPr>
        <w:t>- Effective January 1, 2025, the Medicare Part D coverage gap program was replaced with a redesigned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under the Inflation Reduction Act of 2022. The standard Part D benefit now comprises three phases: the deductible phase, the initial coverage phase and the catastrophic coverage phase. Applicable dispensed drugs will be subject to manufacturer discounts of 10% during the initial coverage phase and 20% during the catastrophic coverage phase. The Company estimates the percentage of goods sold to patients in the initial coverage and catastrophic coverage phases and adjusts the transaction price for such discount at the time of sale resulting in a reduction to product sales as well as a component of accrued expenses and other current liabilities.</w:t>
      </w:r>
    </w:p>
    <w:p>
      <w:pPr>
        <w:spacing w:after="0" w:line="182"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Incentives - </w:t>
      </w:r>
      <w:r>
        <w:rPr>
          <w:rFonts w:ascii="Times New Roman" w:cs="Times New Roman" w:eastAsia="Times New Roman" w:hAnsi="Times New Roman"/>
          <w:sz w:val="18"/>
          <w:szCs w:val="18"/>
          <w:color w:val="auto"/>
        </w:rPr>
        <w:t>Other incentives which the Company offers include voluntary patient assistance programs, such as the co-pay assistance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which are intended to provide financial assistance to qualified commercially-insured patients with prescription drug co-payments required by payers. The calculation of the accrual for co-pay assistance is based on an estimate of claims and the cost per claim that the Company expects to receive associated with product that has been recognized as revenue. The reserves are recorded in the same period the related revenue is recognized, resulting in a reduction of product sales as well as a component of accrued expenses and other current liabilities.</w:t>
      </w:r>
    </w:p>
    <w:p>
      <w:pPr>
        <w:spacing w:after="0" w:line="185" w:lineRule="exact"/>
        <w:rPr>
          <w:sz w:val="20"/>
          <w:szCs w:val="20"/>
          <w:color w:val="auto"/>
        </w:rPr>
      </w:pPr>
    </w:p>
    <w:p>
      <w:pPr>
        <w:ind w:right="400" w:firstLine="749"/>
        <w:spacing w:after="0" w:line="261" w:lineRule="auto"/>
        <w:rPr>
          <w:sz w:val="20"/>
          <w:szCs w:val="20"/>
          <w:color w:val="auto"/>
        </w:rPr>
      </w:pPr>
      <w:r>
        <w:rPr>
          <w:rFonts w:ascii="Times New Roman" w:cs="Times New Roman" w:eastAsia="Times New Roman" w:hAnsi="Times New Roman"/>
          <w:sz w:val="18"/>
          <w:szCs w:val="18"/>
          <w:color w:val="auto"/>
        </w:rPr>
        <w:t>The Company makes significant estimates and judgments that materially affect its recognition of net product revenue. Claims by third-party payors for rebates, chargebacks and discounts frequently are submitted to the Company significantly after the related sales, potentially resulting in adjustments in the period in which the new information becomes known. The Company will adjust its estimates based on new information, including information regarding actual rebates, chargebacks and discounts for its products, as it becomes available.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Company’s cost of revenue consists of cost of product sales, fee sharing expense related to the upfront license revenue received, and expense related to a sales-based milestone. Cost of product sales primarily include direct costs (inclusive of material, shipping, handling, and manufacturing costs), overhead and product royalties. Cost of product sales excludes depreciation and amortization. In the fourth quarter of 2024, the Company recorded a $2.5 million expense for the achievement of a sales-based milestone related to world-wide SUNOSI sales. In the first quarter of 2023, the Company recorded a $5.0 million fee sharing expense related to the upfront license revenue received.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60" w:firstLine="749"/>
        <w:spacing w:after="0" w:line="255" w:lineRule="auto"/>
        <w:rPr>
          <w:sz w:val="20"/>
          <w:szCs w:val="20"/>
          <w:color w:val="auto"/>
        </w:rPr>
      </w:pPr>
      <w:r>
        <w:rPr>
          <w:rFonts w:ascii="Times New Roman" w:cs="Times New Roman" w:eastAsia="Times New Roman" w:hAnsi="Times New Roman"/>
          <w:sz w:val="18"/>
          <w:szCs w:val="18"/>
          <w:color w:val="auto"/>
        </w:rPr>
        <w:t>The Company assumed royalty and sales-based milestone commitments of Jazz to SK Biopharmaceuticals Co. Ltd. (“SK”) and Aerial Biopharma, LLC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the Company is committed to pay up to $162.5 million based on revenue milestones and $1.0 million based on development milestones. Additionally, the Company pays a royalty to Antecip Bioventures II LLC (“Antecip”), an entity owned by Axsome’s Chief Executive Officer and Chairman of the Board of Directors (the “Board”), Herriot Tabuteau, M.D., equal to 3.0% of AUVELITY net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Revenues and expenses denominated in foreign currency are translated into U.S. dollars at the exchange rate on the date they are incurred. Assets and liabilities of foreign operations are translated at period-end exchange rates. The effect of exchange rate fluctuations on translating foreign currency into U.S. dollars is included in the statements of operations and is not 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and reporting segment, which is the business of developing and delivering novel therapies for the management of CNS disorders. See Note 20. Segment Information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The Company’s cash and cash equivalents include holdings in checking and overnight sweep accounts. The Company’s cash equivalents, which are money market funds held in a sweep account, are measured at fair value on a recurring basis. As of December 31, 2025, the balance of cash and cash equivalents was $322.9 million, which approximates fair value and was determined based upon Level 1 inputs. The sweep account is valued using quoted market prices with no valuation adjustments applied. Accordingly, these securities are categorized as Level 1 on the fair value hierarchy.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7"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 </w:t>
      </w:r>
      <w:r>
        <w:rPr>
          <w:rFonts w:ascii="Times New Roman" w:cs="Times New Roman" w:eastAsia="Times New Roman" w:hAnsi="Times New Roman"/>
          <w:sz w:val="18"/>
          <w:szCs w:val="18"/>
          <w:color w:val="auto"/>
        </w:rPr>
        <w:t>Financial instruments that potentially subject the Company to a concentration of credit risk consist of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The Company maintains its cash deposits at financial institutions, which cash deposits exceed insured limits. At December 31, 2025, the majority of the Company’s cash was held by two financial institutions, and amounts on deposit were in excess of government-provided insurance limits. The Company places its cash and cash equivalents in what it believes to be high credit quality banks and money market funds and has not recognized any losses from credit risks on such accounts since inception. See Accounts Receivable, net below for further information.</w:t>
      </w:r>
    </w:p>
    <w:p>
      <w:pPr>
        <w:spacing w:after="0" w:line="183" w:lineRule="exact"/>
        <w:rPr>
          <w:sz w:val="20"/>
          <w:szCs w:val="20"/>
          <w:color w:val="auto"/>
        </w:rPr>
      </w:pPr>
    </w:p>
    <w:p>
      <w:pPr>
        <w:ind w:right="140" w:firstLine="74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Concentration of Risk, Other - </w:t>
      </w:r>
      <w:r>
        <w:rPr>
          <w:rFonts w:ascii="Times New Roman" w:cs="Times New Roman" w:eastAsia="Times New Roman" w:hAnsi="Times New Roman"/>
          <w:sz w:val="18"/>
          <w:szCs w:val="18"/>
          <w:color w:val="auto"/>
        </w:rPr>
        <w:t>The Company has a limited number of contract manufacturers for its products. At times, the Company may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one manufacturer or supplier for its products.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accounted for the acquisition of SUNOSI (the “Acquisition”) as a business combination using the acquisition method of accounting, which requires that all identifiable assets acquired, and liabilities assumed be recorded at their estimated fair values. The excess of the fair value of purchase consideration over the fair values of identifiable assets and liabilities is recorded as goodwill. When determining the fair values of assets acquired and liabilities assumed, management makes significant estimates and assumptions. Critical estimates in valuing the intangible asset include but are not limited to future expected cash flows from acquired patented technology. Management’s estimates of fair value are based upon assumptions believed to be reasonable, but are inherently uncertain and unpredictable and, as a result, actual results may differ from estimates.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Acquisition, the Company recorded goodwill and an intangible asset.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Goodwill is deemed to have an indefinite life and therefore not amortized. The Company tests the carrying amounts of goodwill for recoverability on an annual basis or more frequently if events or changes in circumstances indicate that the asset might be impaired. When reviewing goodwill for impairment, the Company first evaluates the qualitative factors to determine whether it is more likely than not that the fair value of a reporting unit is less than its carrying amount. If the qualitative factors determine it is necessary to complete a goodwill impairment test, the fair value of the relevant reporting unit is determined and compared to its carrying value. If the fair value is greater than the carrying value, then the carrying value is deemed to be recoverable, and no further action is required. If the fair value estimate is less than the carrying value, goodwill is considered impaired for the amount by which the carrying amount exceeds the reporting unit’s fair value, and a charge is reported in impairment of goodwill in the Company’s consolidated statements of operations. The Company completes its annual goodwill assessment as of December 31. As of December 31, 2025, the Company has determined that it has one reporting unit. The Company has not identified any events or changes in circumstances that indicate the existence of potential impairment of goodwill during the fiscal year ended December 31, 2025. The balance of goodwill was $12.0 million at both December 31, 2025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w:t>
      </w:r>
    </w:p>
    <w:p>
      <w:pPr>
        <w:spacing w:after="0" w:line="227"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Company’s intangible asset is amortized using the straight-line method over its estimated period of benefit of ten years. The Company evaluates recoverability of the intangible asset periodically by considering events or changes in circumstances that may warrant revised estimates of useful lives or that indicate the asset may be impaired. The Company has not identified any events or changes in circumstances that indicate the existence of potential impairment of the intangible asset during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Acquisition</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Acquisitions that do not qualify as a business combination are accounted for as an acquisition of an asset. The cost of the acquisition is allocated to the assets acquired and liabilities assumed. At acquisition, in process research and development projects with no alternative future use are recorded as research and development expense. Direct and incremental transaction costs are included in the cost of the acquisition. Contingent consideration obligations relating to development, regulatory and commercial milestones are not recognized at the acquisition date and instead are recorded when it is probable they will occur and can be reasonably estimated.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Consideration paid in a business combination may include potential future payments that are contingent upon the acquired business achieving certain milestones in the future (“contingent consideration”). The royalty payments due to Jazz are a high single-digit royalty on the Company’s U.S. net sales of SUNOSI in the current indication and a mid-single-digit royalty on the Company’s U.S. net sales of SUNOSI for future indications. Contingent consideration liabilities are measured at their estimated fair value as of the date of acquisition, with subsequent changes in fair value recorded in the consolidated statements of operations during such period a change is recognized. The Company estimates the fair value of the contingent consideration as of the acquisition date and reporting periods thereafter using the probability weighted income approach and makes significant assumptions, including estimated future sales of SUNOSI in current and future indications, timing of regulatory and commercial milestone achievements, probability of technical and regulatory success rates, and discount rates. Contingent consideration liabilities expected to be settled within 12 months after the balance sheet date are presented in current liabilities, with the non-current portion recorded within total liabilities in the consolidated balance sheets.</w:t>
      </w: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20" w:firstLine="749"/>
        <w:spacing w:after="0" w:line="220" w:lineRule="exact"/>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0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 that the Company has the ability to access at the measurement date.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2—Inputs other than quoted prices in active markets that are observable for the asset or liability, either directly or indirectly.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3—Unobservable inputs for which there is little or no market data, which require the reporting entity to develop its own assumptions.</w:t>
      </w:r>
    </w:p>
    <w:p>
      <w:pPr>
        <w:spacing w:after="0" w:line="225"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An asset’s or liability’s level within the fair value hierarchy is based on the lowest level of any input that is significant to the fair value measurement.</w:t>
      </w:r>
    </w:p>
    <w:p>
      <w:pPr>
        <w:spacing w:after="0" w:line="180" w:lineRule="exact"/>
        <w:rPr>
          <w:sz w:val="20"/>
          <w:szCs w:val="20"/>
          <w:color w:val="auto"/>
        </w:rPr>
      </w:pPr>
    </w:p>
    <w:p>
      <w:pPr>
        <w:ind w:right="140" w:firstLine="749"/>
        <w:spacing w:after="0" w:line="255" w:lineRule="auto"/>
        <w:rPr>
          <w:sz w:val="20"/>
          <w:szCs w:val="20"/>
          <w:color w:val="auto"/>
        </w:rPr>
      </w:pPr>
      <w:r>
        <w:rPr>
          <w:rFonts w:ascii="Times New Roman" w:cs="Times New Roman" w:eastAsia="Times New Roman" w:hAnsi="Times New Roman"/>
          <w:sz w:val="18"/>
          <w:szCs w:val="18"/>
          <w:color w:val="auto"/>
        </w:rPr>
        <w:t>The Company’s financial instruments are cash and cash equivalents, accounts receivable, accounts payable, accrued expenses and other liabilities, contingent warrant liability, short-term and long-term debt, and current and non-current contingent consideration. The Company’s Level 1 financial instruments include cash and cash equivalents, accounts receivable, accounts payable, and accrued expenses and other liabilities. They are considered Level 1 as the carrying values reported in the accompanying consolidated financial statements approximate their respective fair values due to their short-term maturities. The carrying value of debt on the Company’s balance sheet is estimated to approximate its fair value. The Company’s Level 3 financial instruments include contingent warrant liability and current and non-current contingent consideration due to the significant unobservable inputs required in determining their respective fair values.</w:t>
      </w:r>
    </w:p>
    <w:p>
      <w:pPr>
        <w:spacing w:after="0" w:line="18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categorized the fair value of contingent consideration liabilities as Level 3 within the fair value hierarchy as the estimate is based on significant unobservable inputs requiring management judgment.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and discount rates. Contingent consideration liabilities are subject to remeasurement at each prospective balance sheet date, with any changes in the fair value recorded in the consolidated statements of operations. See Note 7. Fair Value of Financial Instruments for further detail.</w:t>
      </w:r>
    </w:p>
    <w:p>
      <w:pPr>
        <w:spacing w:after="0" w:line="187"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The Company estimated the fair value of contingent warrant liability using the Black-Scholes model based on key assumption and inputs. The Company utilized a probability assessment to estimate the likelihood of vesting for the remaining Hercules Loan Agreement (as defined below) warrants and allocated the probability of occurrence percentage to the fair values calculated, and, therefore, was considered Level 3 within the fair value hierarchy. The Company accounted for warrants anticipated to be issued in the future under the Hercules Loan Agreement as liabilities and measured them at fair value using the Black-Scholes valuation model. In the second quarter of 2025, the Company derecognized the fair value of contingent warrant liability upon extinguishment of the Hercules Loan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net, arise from product sales and represent amounts due from its customers. They are generally stated at the gross sales amount, less reserves resulting from trade discounts and allowances and chargebacks. Accounts receivable typically has a standard payment term of 60 days or less and does not bear interest.</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 monitors the financial performance and creditworthiness of its customers so that it can properly assess and respond to changes in the customers’ credit profiles. The Company estimates expected credit losses of its accounts receivable by assessing the risk of loss and available relevant information about collectability, including historical credit losses, existing contractual payment terms, actual payment patterns of its customers, individual customer circumstances, and reasonable and supportable forecast of economic conditions expected to exist throughout the contractual life of the receivable. The Company has not historically experienced significant credit losses. As of December 31, 2025, the Company did not have an allowance for doubtful accounts balance and did not experience any significant credit losses. For further information about accounts receivable, see Note 3. Accounts Receivable, net.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Debt issuance costs consist of costs incurred in obtaining long-term financing. These costs are classified on the consolidated balance sheet as a direct deduction from the carrying amount of the related debt liability and subsequently amortized as interest expense in the consolidated statement of operations using the effective interest rate method. Costs that are directly attributable to the issuance of revolving credit facilities are capitalized and ratably amortized over the term of the revolving credit facility.</w:t>
      </w:r>
    </w:p>
    <w:p>
      <w:pPr>
        <w:spacing w:after="0" w:line="178" w:lineRule="exact"/>
        <w:rPr>
          <w:sz w:val="20"/>
          <w:szCs w:val="20"/>
          <w:color w:val="auto"/>
        </w:rPr>
      </w:pPr>
    </w:p>
    <w:p>
      <w:pPr>
        <w:ind w:right="100" w:firstLine="749"/>
        <w:spacing w:after="0" w:line="257" w:lineRule="auto"/>
        <w:rPr>
          <w:sz w:val="20"/>
          <w:szCs w:val="20"/>
          <w:color w:val="auto"/>
        </w:rPr>
      </w:pPr>
      <w:r>
        <w:rPr>
          <w:rFonts w:ascii="Times New Roman" w:cs="Times New Roman" w:eastAsia="Times New Roman" w:hAnsi="Times New Roman"/>
          <w:sz w:val="18"/>
          <w:szCs w:val="18"/>
          <w:color w:val="auto"/>
        </w:rPr>
        <w:t xml:space="preserve">The Company evaluates amendments to its debt instruments in accordance with ASC 470-50, </w:t>
      </w:r>
      <w:r>
        <w:rPr>
          <w:rFonts w:ascii="Times New Roman" w:cs="Times New Roman" w:eastAsia="Times New Roman" w:hAnsi="Times New Roman"/>
          <w:sz w:val="18"/>
          <w:szCs w:val="18"/>
          <w:i w:val="1"/>
          <w:iCs w:val="1"/>
          <w:color w:val="auto"/>
        </w:rPr>
        <w:t>Debt – Modifications and Extinguishments</w:t>
      </w:r>
      <w:r>
        <w:rPr>
          <w:rFonts w:ascii="Times New Roman" w:cs="Times New Roman" w:eastAsia="Times New Roman" w:hAnsi="Times New Roman"/>
          <w:sz w:val="18"/>
          <w:szCs w:val="18"/>
          <w:color w:val="auto"/>
        </w:rPr>
        <w:t xml:space="preserve"> (“ASC 470”) to determine whether the amendment should be accounted for as a modification or an extinguishment. An amendment may be considered modified when the terms of the new debt and original instrument are not “substantially different” (as defined in the debt modification guidance in ASC 470). Amendments that are considered modifications are accounted for prospectively as yield adjustments, based on the revised terms, and lender fees and costs directly incurred with third parties, to the extent material, are recorded as debt discount and amortized to interest expense using the effective interest rate method.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Inventory</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 values its inventories at the lower of cost or estimated net realizable value. The remaining inventory associated with the Acquisition is stated at fair value due to purchase accounting. The Company performs an assessment of the recoverability of capitalized inventory during each reporting period, and it writes down any excess and obsolete inventories to their estimated net realizable value in the period in which the impairment is first identified. Such impairment charges, if they occur, are recorded within the cost of revenue.</w:t>
      </w:r>
    </w:p>
    <w:p>
      <w:pPr>
        <w:spacing w:after="0" w:line="180"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Company capitalizes inventory costs associated with the Company’s products after regulatory approval when, based on management’s judgment, future commercialization is considered probable and the future economic benefit is expected to be realized. Inventory acquired and manufactured prior to receipt of regulatory approval of a product candidate is expensed as research and development expense as incurred. Inventory that can be used in either the production of clinical or commercial product is expensed as research and development expense when selected for use in a clinical manufacturing campaign.</w:t>
      </w:r>
    </w:p>
    <w:p>
      <w:pPr>
        <w:spacing w:after="0" w:line="183"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Inventory levels are evaluated for amounts that would be sold within one year. If the level of inventory exceeds the estimated amount that would be sold after the next 12 months, the Company classifies the estimate of such inventory as non-current.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 net</w:t>
      </w:r>
    </w:p>
    <w:p>
      <w:pPr>
        <w:spacing w:after="0" w:line="188"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employee-related expenses, including salaries, benefits, travel and stock-based compensation expense, contract services, costs incurred to third-party service providers for conducting research, preclinical and clinical studies, laboratory supplies, product license fees, consulting and other related expenses. In addition, research and development costs also include costs related to asset acquisitions involving clinical development programs that have not yet received regulatory approval. Research, preclinical and clinical study expenses are estimated based on services performed, pursuant to contracts with third-party research and development organizations that conduct and manage research, preclinical and clinical activities on the Company’s behalf, including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accruals are adjusted accordingly. Payments associated with licensing agreements to acquire licenses to develop, use, manufacture and commercialize products that have not reached technological feasibility and do not have alternative future use are expensed as incurred.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Advertising costs are included in selling, general and administrative expenses and are expensed as incurred. The Company considers advertising costs as expenses related to the promotion of the Company’s commercial products. For the years ended December 31, 2025, 2024, and 2023, advertising costs were $167.1 million, $101.2 million, and $100.3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December 31, 2025, the Company recognized gross uncertain tax positions which have been recognized as a reduction to deferred tax assets. In the event the Company determines that accrual of interest or penalties are necessary in the future, the amount will be presented as a component of income tax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88" w:lineRule="exact"/>
        <w:rPr>
          <w:sz w:val="20"/>
          <w:szCs w:val="20"/>
          <w:color w:val="auto"/>
        </w:rPr>
      </w:pPr>
    </w:p>
    <w:p>
      <w:pPr>
        <w:ind w:firstLine="749"/>
        <w:spacing w:after="0" w:line="231" w:lineRule="exact"/>
        <w:rPr>
          <w:sz w:val="20"/>
          <w:szCs w:val="20"/>
          <w:color w:val="auto"/>
        </w:rPr>
      </w:pPr>
      <w:r>
        <w:rPr>
          <w:rFonts w:ascii="Times New Roman" w:cs="Times New Roman" w:eastAsia="Times New Roman" w:hAnsi="Times New Roman"/>
          <w:sz w:val="18"/>
          <w:szCs w:val="18"/>
          <w:color w:val="auto"/>
        </w:rPr>
        <w:t>For stock options issued, the Company estimates the grant date fair value of each option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w:t>
      </w:r>
    </w:p>
    <w:p>
      <w:pPr>
        <w:spacing w:after="0" w:line="200"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For restricted stock units (“RSUs”) and performance stock units (“PSUs”), the Company issues them in the form of Company common stock. The fair market value of these awards is based on the market closing price per share on the grant date and for certain awards that are subject to a post-vesting holding period, an illiquidity discount is also applied.</w:t>
      </w:r>
    </w:p>
    <w:p>
      <w:pPr>
        <w:spacing w:after="0" w:line="2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80" w:firstLine="749"/>
        <w:spacing w:after="0" w:line="272" w:lineRule="auto"/>
        <w:rPr>
          <w:sz w:val="20"/>
          <w:szCs w:val="20"/>
          <w:color w:val="auto"/>
        </w:rPr>
      </w:pPr>
      <w:r>
        <w:rPr>
          <w:rFonts w:ascii="Times New Roman" w:cs="Times New Roman" w:eastAsia="Times New Roman" w:hAnsi="Times New Roman"/>
          <w:sz w:val="17"/>
          <w:szCs w:val="17"/>
          <w:color w:val="auto"/>
        </w:rPr>
        <w:t>The Company recognizes the grant date fair value of the stock options and RSUs over the requisite service period, which is generally the vesting term. For awards only subject to service-based vesting conditions, the Company elected to recognize stock-based compensation expense on a straight-line basis. For PSUs, the Company recognizes stock-based compensation expense when the achievement of the performance condition becomes probable.</w:t>
      </w:r>
    </w:p>
    <w:p>
      <w:pPr>
        <w:spacing w:after="0" w:line="2"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Stock-based compensation expense for PSUs with cliff-vesting terms is recognized on a straight-line basis. At the end of each reporting period, the Company reassesses the probability of achieving the performance condition and adjusts the stock-based compensation expense accordingly.</w:t>
      </w:r>
    </w:p>
    <w:p>
      <w:pPr>
        <w:spacing w:after="0" w:line="181"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expense related to the stock-based compensation is recorded within the same financial statement line item as the grantee’s cash compensation. The Company’s policy upon exercise of stock options, vesting of RSUs and PSUs is that the Company will issue shares as new shares drawing on the Company’s 2025 Long-Term Incentive Plan share pool that the Board adopted in April 2025 and the stockholders approved in June 2025. In addition, the Company accounts for equity award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Net Loss per Common Share</w:t>
      </w:r>
    </w:p>
    <w:p>
      <w:pPr>
        <w:spacing w:after="0" w:line="22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RSUs, PSUs, and/or common stock pursuant to the 2023 Employee Stock Purchase Plan (the “ESPP”), which would result in the issuance of incremental shares of common stock. As the impact of these items is anti-dilutive during periods of net loss, there was no difference between basic and diluted net loss per share of common stock for the years ended December 31, 2025 and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Right-of-use assets represent the Company’s right to use an underlying asset for the lease term and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83" w:lineRule="exact"/>
        <w:rPr>
          <w:sz w:val="20"/>
          <w:szCs w:val="20"/>
          <w:color w:val="auto"/>
        </w:rPr>
      </w:pPr>
    </w:p>
    <w:p>
      <w:pPr>
        <w:jc w:val="both"/>
        <w:ind w:right="160" w:firstLine="749"/>
        <w:spacing w:after="0" w:line="261" w:lineRule="auto"/>
        <w:rPr>
          <w:sz w:val="20"/>
          <w:szCs w:val="20"/>
          <w:color w:val="auto"/>
        </w:rPr>
      </w:pPr>
      <w:r>
        <w:rPr>
          <w:rFonts w:ascii="Times New Roman" w:cs="Times New Roman" w:eastAsia="Times New Roman" w:hAnsi="Times New Roman"/>
          <w:sz w:val="18"/>
          <w:szCs w:val="18"/>
          <w:color w:val="auto"/>
        </w:rPr>
        <w:t>The Company’s lease agreements contain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arrangements are primarily fixed, however, variable payments are expensed as incurred and not included in the operating lease asset and liability.</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interest rate implicit in the contract when such rate is readily determinable and uses the Company’s incremental borrowing rate when the rate implicit in the contract is not readily determinable based upon the information available at the commencement date in determining the present value of the lease payments.</w:t>
      </w:r>
    </w:p>
    <w:p>
      <w:pPr>
        <w:spacing w:after="0" w:line="183" w:lineRule="exact"/>
        <w:rPr>
          <w:sz w:val="20"/>
          <w:szCs w:val="20"/>
          <w:color w:val="auto"/>
        </w:rPr>
      </w:pPr>
    </w:p>
    <w:p>
      <w:pPr>
        <w:ind w:right="220" w:firstLine="749"/>
        <w:spacing w:after="0" w:line="255" w:lineRule="auto"/>
        <w:rPr>
          <w:sz w:val="20"/>
          <w:szCs w:val="20"/>
          <w:color w:val="auto"/>
        </w:rPr>
      </w:pPr>
      <w:r>
        <w:rPr>
          <w:rFonts w:ascii="Times New Roman" w:cs="Times New Roman" w:eastAsia="Times New Roman" w:hAnsi="Times New Roman"/>
          <w:sz w:val="18"/>
          <w:szCs w:val="18"/>
          <w:color w:val="auto"/>
        </w:rPr>
        <w:t>Leases are accounted for under ASC 842, Leases (“ASC 842”). The Company made an accounting policy election not to apply the recognition requirements to short-term leases. The Company recognizes the lease payments for short-term leases in the consolidated statements of operations on a straight-line basis over the lease term, and variable lease payments in the period in which the obligation for those payments is incurred. Therefore, the Company is not recognizing a lease liability or right-of-use asset for any lease that, at the commencement date, has a lease term of 12 months or less and does not include an option to extend the term or purchase the underlying asset that the Company is reasonably certain to exercise. The Company’s lease terms may include options to extend or terminate the lease when it is reasonably certain that the Company will exercise that option. The Company evaluates amendments to its lease arrangements in accordance with ASC 842.</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749"/>
        <w:spacing w:after="0" w:line="255" w:lineRule="auto"/>
        <w:rPr>
          <w:sz w:val="20"/>
          <w:szCs w:val="20"/>
          <w:color w:val="auto"/>
        </w:rPr>
      </w:pPr>
      <w:r>
        <w:rPr>
          <w:rFonts w:ascii="Times New Roman" w:cs="Times New Roman" w:eastAsia="Times New Roman" w:hAnsi="Times New Roman"/>
          <w:sz w:val="18"/>
          <w:szCs w:val="18"/>
          <w:color w:val="auto"/>
        </w:rPr>
        <w:t>The Company’s operating leases are reflected in the right-of-use operating asset; operating lease liability, current portion; and operating lease liability, long-term portion in the Company’s consolidated balance sheets. Operating lease expense is recognized on a straight-line basis over the lease term and included in selling, general and administrative expenses. Finance leases are included in the non-current inventory and other assets; accrued expenses and other current liabilities; and finance lease liability, long-term in the Company’s consolidated balance sheets. Assets under the finance leases are amortized on a straight-line basis over the lease term and included in selling, general and administrative expenses.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which requires disclosure of disaggregated income taxes paid by jurisdiction, enhances disclosures in the effective tax rate reconciliation, and modifies other income tax-related disclosures. The amendments are effective for annual periods beginning after December 15, 2024. The Company adopted this standard as of January 1, 2025. See Note 18. Income Taxes for further information.</w:t>
      </w:r>
    </w:p>
    <w:p>
      <w:pPr>
        <w:spacing w:after="0" w:line="180" w:lineRule="exact"/>
        <w:rPr>
          <w:sz w:val="20"/>
          <w:szCs w:val="20"/>
          <w:color w:val="auto"/>
        </w:rPr>
      </w:pPr>
    </w:p>
    <w:p>
      <w:pPr>
        <w:ind w:right="420" w:firstLine="74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This ASU requires additional disaggregated disclosures in the notes to financial statements for certain categories of expenses that are included on the face of the income statement. The guidance is effective for fiscal years beginning after December 15, 2026 and for interim periods within fiscal years beginning after December 15, 2027, with early adoption permitted. The Company is currently evaluating the effect of adopting this guidance on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Accounts Receivable, net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246,674</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Reserves for variable consideration</w:t>
            </w: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(13,504)</w:t>
            </w:r>
          </w:p>
        </w:tc>
      </w:tr>
      <w:tr>
        <w:trPr>
          <w:trHeight w:val="20"/>
        </w:trPr>
        <w:tc>
          <w:tcPr>
            <w:tcW w:w="7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224,464</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142,001</w:t>
            </w:r>
          </w:p>
        </w:tc>
        <w:tc>
          <w:tcPr>
            <w:tcW w:w="100" w:type="dxa"/>
            <w:vAlign w:val="bottom"/>
            <w:shd w:val="clear" w:color="auto" w:fill="CFF0FC"/>
          </w:tcPr>
          <w:p>
            <w:pPr>
              <w:spacing w:after="0"/>
              <w:rPr>
                <w:sz w:val="21"/>
                <w:szCs w:val="21"/>
                <w:color w:val="auto"/>
              </w:rPr>
            </w:pPr>
          </w:p>
        </w:tc>
      </w:tr>
      <w:tr>
        <w:trPr>
          <w:trHeight w:val="440"/>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4. Inventory</w:t>
            </w: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2"/>
        </w:trPr>
        <w:tc>
          <w:tcPr>
            <w:tcW w:w="774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Inventory consisted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7"/>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16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-1525270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-1508125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There were no material inventory reserves or write downs of any excess and obsolete inventory as of December 31, 2025. Non-current inventory, which consists of raw materials and work in process inventory, is included in non-current inventory and other assets on the accompanying consolidated balance sheets. Non-current inventory is estimated to be consumed beyond the next 12 months.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Company’s inventory for each of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2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27,938</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Non-current inventory and other assets</w:t>
            </w:r>
          </w:p>
        </w:tc>
        <w:tc>
          <w:tcPr>
            <w:tcW w:w="24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11,555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10,518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39,493</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Goodwill</w:t>
            </w:r>
          </w:p>
        </w:tc>
        <w:tc>
          <w:tcPr>
            <w:tcW w:w="24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340" w:type="dxa"/>
            <w:vAlign w:val="bottom"/>
            <w:vMerge w:val="continue"/>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goodwill as of December 31, 2025.</w:t>
            </w: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Additions/adjustments</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12,042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-1414145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the Company’s carrying amount of the intangible asset for each of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1140" w:type="dxa"/>
            <w:vAlign w:val="bottom"/>
            <w:gridSpan w:val="2"/>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jc w:val="center"/>
              <w:ind w:right="353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16,906</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46,894</w:t>
            </w:r>
          </w:p>
        </w:tc>
        <w:tc>
          <w:tcPr>
            <w:tcW w:w="260" w:type="dxa"/>
            <w:vAlign w:val="bottom"/>
          </w:tcPr>
          <w:p>
            <w:pPr>
              <w:spacing w:after="0"/>
              <w:rPr>
                <w:sz w:val="18"/>
                <w:szCs w:val="18"/>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8-years</w:t>
            </w: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jc w:val="center"/>
              <w:ind w:right="353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jc w:val="center"/>
              <w:ind w:right="3510"/>
              <w:spacing w:after="0"/>
              <w:rPr>
                <w:sz w:val="20"/>
                <w:szCs w:val="20"/>
                <w:color w:val="auto"/>
              </w:rPr>
            </w:pPr>
            <w:r>
              <w:rPr>
                <w:rFonts w:ascii="Times New Roman" w:cs="Times New Roman" w:eastAsia="Times New Roman" w:hAnsi="Times New Roman"/>
                <w:sz w:val="18"/>
                <w:szCs w:val="18"/>
                <w:color w:val="auto"/>
                <w:w w:val="99"/>
              </w:rPr>
              <w:t>Finite-lived intangible asset</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23,281</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260" w:type="dxa"/>
            <w:vAlign w:val="bottom"/>
          </w:tcPr>
          <w:p>
            <w:pPr>
              <w:spacing w:after="0"/>
              <w:rPr>
                <w:sz w:val="20"/>
                <w:szCs w:val="20"/>
                <w:color w:val="auto"/>
              </w:rPr>
            </w:pPr>
          </w:p>
        </w:tc>
        <w:tc>
          <w:tcPr>
            <w:tcW w:w="12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7-years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Based on the finite-lived intangible asset recorded as of December 31, 2025, and assuming the underlying asset will not be impaired and that the Company will not change the expected life of the asset, future amortization expense over the next five years and periods thereafter are estimated to be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r>
      <w:tr>
        <w:trPr>
          <w:trHeight w:val="173"/>
        </w:trPr>
        <w:tc>
          <w:tcPr>
            <w:tcW w:w="9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40,519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of Financial Instruments</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the Company pays royalty on U.S. net sales of SUNOSI to Jazz. The discounted cash flow method used to value this contingent consideration includes inputs of not readily observable market data, which are Level 3 inputs. The fair value of the contingent consideration is reflected as current accrued contingent consideration of $10.0 million and non-current contingent consideration liability of $77.5 million in the consolidated balance sheet as of December 31, 2025.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financial instruments measured on a recurring basis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173,111</w:t>
            </w:r>
          </w:p>
        </w:tc>
        <w:tc>
          <w:tcPr>
            <w:tcW w:w="12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173,111</w:t>
            </w:r>
          </w:p>
        </w:tc>
        <w:tc>
          <w:tcPr>
            <w:tcW w:w="12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87,552</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87,552</w:t>
            </w:r>
          </w:p>
        </w:tc>
        <w:tc>
          <w:tcPr>
            <w:tcW w:w="120" w:type="dxa"/>
            <w:vAlign w:val="bottom"/>
          </w:tcPr>
          <w:p>
            <w:pPr>
              <w:spacing w:after="0"/>
              <w:rPr>
                <w:sz w:val="20"/>
                <w:szCs w:val="20"/>
                <w:color w:val="auto"/>
              </w:rPr>
            </w:pPr>
          </w:p>
        </w:tc>
      </w:tr>
      <w:tr>
        <w:trPr>
          <w:trHeight w:val="427"/>
        </w:trPr>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4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7"/>
                <w:szCs w:val="17"/>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 money market funds</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244,097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244,097</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99,965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99,965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of the contingent consideration liabilities is marked-to-market at each reporting period and was remeasured 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the contingent consideration liabilities as of December 31, 2025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c>
          <w:tcPr>
            <w:tcW w:w="120" w:type="dxa"/>
            <w:vAlign w:val="bottom"/>
          </w:tcPr>
          <w:p>
            <w:pPr>
              <w:spacing w:after="0"/>
              <w:rPr>
                <w:sz w:val="15"/>
                <w:szCs w:val="15"/>
                <w:color w:val="auto"/>
              </w:rPr>
            </w:pPr>
          </w:p>
        </w:tc>
      </w:tr>
      <w:tr>
        <w:trPr>
          <w:trHeight w:val="210"/>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99,965</w:t>
            </w:r>
          </w:p>
        </w:tc>
      </w:tr>
      <w:tr>
        <w:trPr>
          <w:trHeight w:val="216"/>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to fair value</w:t>
            </w:r>
          </w:p>
        </w:tc>
        <w:tc>
          <w:tcPr>
            <w:tcW w:w="120" w:type="dxa"/>
            <w:vAlign w:val="bottom"/>
          </w:tcPr>
          <w:p>
            <w:pPr>
              <w:spacing w:after="0"/>
              <w:rPr>
                <w:sz w:val="18"/>
                <w:szCs w:val="18"/>
                <w:color w:val="auto"/>
              </w:rPr>
            </w:pPr>
          </w:p>
        </w:tc>
        <w:tc>
          <w:tcPr>
            <w:tcW w:w="1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(2,473)</w:t>
            </w:r>
          </w:p>
        </w:tc>
      </w:tr>
      <w:tr>
        <w:trPr>
          <w:trHeight w:val="216"/>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(9,940)</w:t>
            </w:r>
          </w:p>
        </w:tc>
      </w:tr>
      <w:tr>
        <w:trPr>
          <w:trHeight w:val="228"/>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2025 (Level 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87,552</w:t>
            </w:r>
          </w:p>
        </w:tc>
        <w:tc>
          <w:tcPr>
            <w:tcW w:w="12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-156845</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The recurring Level 3 fair value measurements of contingent consideration for which a liability is recorded include the following significant unobservable inputs: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methodology</w:t>
            </w:r>
          </w:p>
        </w:tc>
        <w:tc>
          <w:tcPr>
            <w:tcW w:w="120" w:type="dxa"/>
            <w:vAlign w:val="bottom"/>
          </w:tcPr>
          <w:p>
            <w:pPr>
              <w:spacing w:after="0"/>
              <w:rPr>
                <w:sz w:val="10"/>
                <w:szCs w:val="10"/>
                <w:color w:val="auto"/>
              </w:rPr>
            </w:pP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unobservable input</w:t>
            </w:r>
          </w:p>
        </w:tc>
        <w:tc>
          <w:tcPr>
            <w:tcW w:w="100" w:type="dxa"/>
            <w:vAlign w:val="bottom"/>
          </w:tcPr>
          <w:p>
            <w:pPr>
              <w:spacing w:after="0"/>
              <w:rPr>
                <w:sz w:val="10"/>
                <w:szCs w:val="10"/>
                <w:color w:val="auto"/>
              </w:rPr>
            </w:pPr>
          </w:p>
        </w:tc>
        <w:tc>
          <w:tcPr>
            <w:tcW w:w="23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120" w:type="dxa"/>
            <w:vAlign w:val="bottom"/>
          </w:tcPr>
          <w:p>
            <w:pPr>
              <w:spacing w:after="0"/>
              <w:rPr>
                <w:sz w:val="10"/>
                <w:szCs w:val="10"/>
                <w:color w:val="auto"/>
              </w:rPr>
            </w:pPr>
          </w:p>
        </w:tc>
        <w:tc>
          <w:tcPr>
            <w:tcW w:w="23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 (range, if</w:t>
            </w:r>
          </w:p>
        </w:tc>
        <w:tc>
          <w:tcPr>
            <w:tcW w:w="0" w:type="dxa"/>
            <w:vAlign w:val="bottom"/>
          </w:tcPr>
          <w:p>
            <w:pPr>
              <w:spacing w:after="0"/>
              <w:rPr>
                <w:sz w:val="1"/>
                <w:szCs w:val="1"/>
                <w:color w:val="auto"/>
              </w:rPr>
            </w:pPr>
          </w:p>
        </w:tc>
      </w:tr>
      <w:tr>
        <w:trPr>
          <w:trHeight w:val="173"/>
        </w:trPr>
        <w:tc>
          <w:tcPr>
            <w:tcW w:w="160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2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91"/>
        </w:trPr>
        <w:tc>
          <w:tcPr>
            <w:tcW w:w="1600" w:type="dxa"/>
            <w:vAlign w:val="bottom"/>
            <w:shd w:val="clear" w:color="auto" w:fill="CFF0FC"/>
          </w:tcPr>
          <w:p>
            <w:pPr>
              <w:ind w:left="320"/>
              <w:spacing w:after="0" w:line="191" w:lineRule="exact"/>
              <w:rPr>
                <w:sz w:val="20"/>
                <w:szCs w:val="20"/>
                <w:color w:val="auto"/>
              </w:rPr>
            </w:pPr>
            <w:r>
              <w:rPr>
                <w:rFonts w:ascii="Times New Roman" w:cs="Times New Roman" w:eastAsia="Times New Roman" w:hAnsi="Times New Roman"/>
                <w:sz w:val="18"/>
                <w:szCs w:val="18"/>
                <w:color w:val="auto"/>
              </w:rPr>
              <w:t>Contingent</w:t>
            </w:r>
          </w:p>
        </w:tc>
        <w:tc>
          <w:tcPr>
            <w:tcW w:w="2320" w:type="dxa"/>
            <w:vAlign w:val="bottom"/>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Probability weighted income</w:t>
            </w:r>
          </w:p>
        </w:tc>
        <w:tc>
          <w:tcPr>
            <w:tcW w:w="120" w:type="dxa"/>
            <w:vAlign w:val="bottom"/>
            <w:shd w:val="clear" w:color="auto" w:fill="CFF0FC"/>
          </w:tcPr>
          <w:p>
            <w:pPr>
              <w:spacing w:after="0"/>
              <w:rPr>
                <w:sz w:val="16"/>
                <w:szCs w:val="16"/>
                <w:color w:val="auto"/>
              </w:rPr>
            </w:pPr>
          </w:p>
        </w:tc>
        <w:tc>
          <w:tcPr>
            <w:tcW w:w="23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Discount rate</w:t>
            </w:r>
          </w:p>
        </w:tc>
        <w:tc>
          <w:tcPr>
            <w:tcW w:w="2420" w:type="dxa"/>
            <w:vAlign w:val="bottom"/>
            <w:gridSpan w:val="2"/>
            <w:shd w:val="clear" w:color="auto" w:fill="CFF0FC"/>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rPr>
              <w:t>14.9%</w:t>
            </w:r>
          </w:p>
        </w:tc>
        <w:tc>
          <w:tcPr>
            <w:tcW w:w="2460" w:type="dxa"/>
            <w:vAlign w:val="bottom"/>
            <w:gridSpan w:val="2"/>
            <w:shd w:val="clear" w:color="auto" w:fill="CFF0FC"/>
          </w:tcPr>
          <w:p>
            <w:pPr>
              <w:jc w:val="right"/>
              <w:ind w:right="870"/>
              <w:spacing w:after="0" w:line="191"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4"/>
        </w:trPr>
        <w:tc>
          <w:tcPr>
            <w:tcW w:w="1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2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approach</w:t>
            </w:r>
          </w:p>
        </w:tc>
        <w:tc>
          <w:tcPr>
            <w:tcW w:w="12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Revenue discount rate</w:t>
            </w:r>
          </w:p>
        </w:tc>
        <w:tc>
          <w:tcPr>
            <w:tcW w:w="24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17.2% - 20.2%</w:t>
            </w:r>
          </w:p>
        </w:tc>
        <w:tc>
          <w:tcPr>
            <w:tcW w:w="24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17.6% - 20.6%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The Company’s fair value measurement of contingent consideration liabilities has been classified as Level 3 as its valuation requires substantial judgment and estimation of factors which requires use of unobservable inputs. The fair value of contingent consideration liabilities is estimated by using the probability weighted income approach using significant assumptions including estimated future sales of SUNOSI in current and future indications, timing of regulatory and commercial milestone achievements, probability of technical and regulatory success rates, and discount rates. If significant changes are made to one or more of these assumptions, the estimated fair value of contingent consideration liabilities may result in a significantly higher or lower fair value measurement.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28,225</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selling, general, and administrative</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17,498</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sales discounts, rebates, and allowances</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73,952</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Pr>
          <w:p>
            <w:pPr>
              <w:spacing w:after="0"/>
              <w:rPr>
                <w:sz w:val="18"/>
                <w:szCs w:val="18"/>
                <w:color w:val="auto"/>
              </w:rPr>
            </w:pPr>
          </w:p>
        </w:tc>
      </w:tr>
      <w:tr>
        <w:trPr>
          <w:trHeight w:val="216"/>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FF0F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current</w:t>
            </w: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tcPr>
          <w:p>
            <w:pPr>
              <w:spacing w:after="0"/>
              <w:rPr>
                <w:sz w:val="18"/>
                <w:szCs w:val="18"/>
                <w:color w:val="auto"/>
              </w:rPr>
            </w:pPr>
          </w:p>
        </w:tc>
      </w:tr>
      <w:tr>
        <w:trPr>
          <w:trHeight w:val="230"/>
        </w:trPr>
        <w:tc>
          <w:tcPr>
            <w:tcW w:w="5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232,853</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147,987</w:t>
            </w:r>
          </w:p>
        </w:tc>
        <w:tc>
          <w:tcPr>
            <w:tcW w:w="100" w:type="dxa"/>
            <w:vAlign w:val="bottom"/>
            <w:shd w:val="clear" w:color="auto" w:fill="CFF0FC"/>
          </w:tcPr>
          <w:p>
            <w:pPr>
              <w:spacing w:after="0"/>
              <w:rPr>
                <w:sz w:val="19"/>
                <w:szCs w:val="19"/>
                <w:color w:val="auto"/>
              </w:rPr>
            </w:pPr>
          </w:p>
        </w:tc>
      </w:tr>
      <w:tr>
        <w:trPr>
          <w:trHeight w:val="20"/>
        </w:trPr>
        <w:tc>
          <w:tcPr>
            <w:tcW w:w="564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Loan and Security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Blackstone Alternative Credit Advisors LP and Blackstone Life Sciences Advisors L.L.C.</w:t>
      </w:r>
    </w:p>
    <w:p>
      <w:pPr>
        <w:spacing w:after="0" w:line="227"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For the purposes of this Note 9, capitalized terms used but not otherwise defined herein shall have the meanings assigned to them in the Blackstone Loan Agreement (as defined below).</w:t>
      </w:r>
    </w:p>
    <w:p>
      <w:pPr>
        <w:spacing w:after="0" w:line="162"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On May 8, 2025 (the “Closing Date”), the Company entered into a loan agreement (the “Blackstone Loan Agreement”) with Blackstone Alternative Credit Advisors LP and Blackstone Life Sciences Advisors L.L.C. (collectively, the “Blackstone Representative” and referred to herein as “Blackstone”), certain subsidiaries of the Company party thereto as guarantors, Wilmington Trust, National Association, in its capacity as administrative agent, collateral agent and security trustee (“Wilmington Trust”), and the lenders from time to time party thereto (collectively, the “Lenders”). The Blackstone Loan Agreement provides for loans in an aggregate principal amount of up to $570.0 million, consisting of (i) a first lien senior secured term loan in an aggregate principal amount of $120.0 million funded to the Company on the Closing Date, (ii) a $180.0 million senior secured term loan available to the Company at its option, of which $90.0 million is available until May 31, 2026, and the remaining $90.0 million is available until May 31, 2027 (the “Term Loans”), and (iii) a super senior revolving credit facility in an aggregate principal amount of up to $70.0 million available at the Company’s option (the “Revolver” and, together with the Term Loans, the “Loans”). The Blackstone Loan Agreement also permits the Company, subject to the consent of the Lenders, to request incremental term loans in an aggregate principal amount of up to $200.0 million at any time and on the same terms as the initial Term Loans, except that any call protection will be determined at the time the incremental term loans are incurred. The proceeds of the Term Loans were used, together with cash on hand, to repay in full the Company’s obligations under the Hercules Loan Agreement (as defined below). As of December 31, 2025, there were $120.0 million and $70.0 million of outstanding principal amounts under the Term Loans and Revolver facilities, respectively. The outstanding balance under the Revolver was classified as short-term based on the Company’s intent and ability to repay this amount in the next twelve months, and included in short-term borrowings on the accompanying consolidated balance sheets. In January 2026, the Company repaid the entire outstanding balance as of December 31, 2025, under the Revolver.</w:t>
      </w:r>
    </w:p>
    <w:p>
      <w:pPr>
        <w:spacing w:after="0" w:line="195" w:lineRule="exact"/>
        <w:rPr>
          <w:sz w:val="20"/>
          <w:szCs w:val="20"/>
          <w:color w:val="auto"/>
        </w:rPr>
      </w:pPr>
    </w:p>
    <w:p>
      <w:pPr>
        <w:ind w:right="40" w:firstLine="749"/>
        <w:spacing w:after="0" w:line="273" w:lineRule="auto"/>
        <w:rPr>
          <w:sz w:val="20"/>
          <w:szCs w:val="20"/>
          <w:color w:val="auto"/>
        </w:rPr>
      </w:pPr>
      <w:r>
        <w:rPr>
          <w:rFonts w:ascii="Times New Roman" w:cs="Times New Roman" w:eastAsia="Times New Roman" w:hAnsi="Times New Roman"/>
          <w:sz w:val="17"/>
          <w:szCs w:val="17"/>
          <w:color w:val="auto"/>
        </w:rPr>
        <w:t>The Term Loans bear interest at a rate equal to the Term SOFR (“Secured Overnight Financing Rate”) plus a margin of 4.75%. The effective interest rate on the Term Loans was 9.58% for the year ended December 31, 2025. The Revolver bears interest at SOFR plus a margin of 4.00%. If an Event of Default occurs and is continuing, all amounts outstanding under the Blackstone Loan Agreement will bear an additional 2.00% interest. The weighted-average interest rate on the Revolver was 7.67% as of December 31, 2025. The Loans mature and the principal amount (including any interest and fees) must be repaid on the date that is five years from the Closing Date. Fees and costs that were directly attributable to the Revolver have been capitalized as deferred assets and will be ratably expensed over the life of the Revolver. Deferred assets are included in non-current inventory and other assets on the accompanying consolidated balance sheets. As of December 31, 2025, the remaining unamortized balance of deferred assets was $1.0 million.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Loans are subject to mandatory prepayment provisions that may require prepayment upon a change of control, the incurrence of certain additional indebtedness, certain asset sales, or an event of loss, subject to certain conditions set forth in the Blackstone Loan Agreement. The Company may prepay the Loans in whole at its option at any time, subject to certain yield protection premiums. The obligations under the Blackstone Loan Agreement are guaranteed by the Company’s subsidiaries party thereto as guarantors and are secured by a first lien security interest in certain assets of the Company and the guarantors.</w:t>
      </w:r>
    </w:p>
    <w:p>
      <w:pPr>
        <w:spacing w:after="0" w:line="183"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The Blackstone Loan Agreement contains customary representations and warranties, affirmative and negative covenants, and events of default applicable to the Company and the guarantors. The Blackstone Loan Agreement also contains a minimum liquidity covenant of $30.0 million, tested quarterly. If an event of default occurs and is continuing, the Lenders may declare all amounts outstanding under the Blackstone Loan Agreement to be immediately due and payable.</w:t>
      </w:r>
    </w:p>
    <w:p>
      <w:pPr>
        <w:spacing w:after="0" w:line="180" w:lineRule="exact"/>
        <w:rPr>
          <w:sz w:val="20"/>
          <w:szCs w:val="20"/>
          <w:color w:val="auto"/>
        </w:rPr>
      </w:pPr>
    </w:p>
    <w:p>
      <w:pPr>
        <w:ind w:right="280" w:firstLine="749"/>
        <w:spacing w:after="0" w:line="261" w:lineRule="auto"/>
        <w:rPr>
          <w:sz w:val="20"/>
          <w:szCs w:val="20"/>
          <w:color w:val="auto"/>
        </w:rPr>
      </w:pPr>
      <w:r>
        <w:rPr>
          <w:rFonts w:ascii="Times New Roman" w:cs="Times New Roman" w:eastAsia="Times New Roman" w:hAnsi="Times New Roman"/>
          <w:sz w:val="18"/>
          <w:szCs w:val="18"/>
          <w:color w:val="auto"/>
        </w:rPr>
        <w:t>Concurrent with the closing of the Blackstone Loan Agreement, Blackstone purchased $15.0 million of the Company’s common stock at a purchase price of $107.14 per share in a private placement transaction. The purchase agreement for the private placement contains customary representations, warranties, and covenants, and includes a lock-up period that generally prohibits, without the prior written consent of the Company, the sale, transfer, pledge, or other disposition of the securities through the period ending 120 days from the Closing Date.</w:t>
      </w:r>
    </w:p>
    <w:p>
      <w:pPr>
        <w:spacing w:after="0" w:line="180"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us, Antecip, a related party, and Hercules Capital, Inc. (“Hercules”) that had been entered into in connection with the Hercules Loan Agreement, which terminated automatically upon repayment of our Hercules loan obligations in full on May 8,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Hercules Capital, Inc.</w:t>
      </w:r>
    </w:p>
    <w:p>
      <w:pPr>
        <w:spacing w:after="0" w:line="227"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In September 2020, the Company entered into a Loan and Security Agreement for a term loan with Hercules, a Maryland corporation, in its capacity as administrative agent and collateral agent, and as a lender, and the other financial institutions that from time to time act as lenders (the “Hercules Loan Agreement”, as amended).</w:t>
      </w:r>
    </w:p>
    <w:p>
      <w:pPr>
        <w:spacing w:after="0" w:line="176"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Borrowings under the Hercules Loan Agreement bore interest at a rate equal to: (a) if the prime rate was greater than or equal to 7.00%, the greater of either (i) the prime rate plus 2.20%, and (ii) 9.95%, but in no event greater than 10.70%, and (b) if the prime rate was less than 7.00%, 9.70%. In addition, the Company was required to pay certain end of term charges, including (A) an initial end of term charge of $4.45 million and (B) a subsequent end of term charge of (i) 1.10% of the aggregate amount of all Tranche 1A Advances plus (ii) 4.95% of the aggregate amount of all term loan advances (other than Tranche 1A Advances) funded minus (iii) any charges paid by the Borrower to Hercules related to partial prepayments of the outstanding Secured Obligations. The end of term charges were accreted into interest expense using the effective interest rate method over the term of the loan. If certain maturity extension conditions were satisfied, the Company was required to pay an extension end of term charge equal to 1.00% of the aggregate amount of all Term Loan Advances outstanding as of the date on which the maturity extension conditions were satisfied, in addition to the end of term charges described above. The Company could, at its option, prepay the term loans in full or in part, subject to a prepayment penalty equal to (i) 2.0% of the Advance amount prepaid if the prepayment occurred prior to February 1, 2024, (ii) 1.5% of the Advance amount prepaid if the prepayment occurred on or after February 1, 2024 but prior to February 1, 2025, and (iii) 1.0% of the Advance amount prepaid if the prepayment occurred on or after February 1, 2025 but prior to February 1, 2026.</w:t>
      </w:r>
    </w:p>
    <w:p>
      <w:pPr>
        <w:spacing w:after="0" w:line="190"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Debt issuance costs and the value of warrants issued in connection with the Hercules Loan Agreement were recorded as a debt discount and amortized to interest expense using the effective interest method over the expected term of the borrowing.</w:t>
      </w:r>
    </w:p>
    <w:p>
      <w:pPr>
        <w:spacing w:after="0" w:line="162" w:lineRule="exact"/>
        <w:rPr>
          <w:sz w:val="20"/>
          <w:szCs w:val="20"/>
          <w:color w:val="auto"/>
        </w:rPr>
      </w:pPr>
    </w:p>
    <w:p>
      <w:pPr>
        <w:ind w:right="500" w:firstLine="749"/>
        <w:spacing w:after="0" w:line="266" w:lineRule="auto"/>
        <w:rPr>
          <w:sz w:val="20"/>
          <w:szCs w:val="20"/>
          <w:color w:val="auto"/>
        </w:rPr>
      </w:pPr>
      <w:r>
        <w:rPr>
          <w:rFonts w:ascii="Times New Roman" w:cs="Times New Roman" w:eastAsia="Times New Roman" w:hAnsi="Times New Roman"/>
          <w:sz w:val="18"/>
          <w:szCs w:val="18"/>
          <w:color w:val="auto"/>
        </w:rPr>
        <w:t>On May 8, 2025, the Company repaid in full its obligations under the Hercules Loan Agreement using proceeds from the Blackstone Loan Agreement. Upon repayment, the Company recorded a loss on debt extinguishment of approximately $10.4 million in the Company’s consolidated statement of operations. As of December 31, 2025, there are no outstanding obligations under the Hercules Loan Agreement.</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Interest Expense and Amortization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Long-term debt and unamortized debt discount balances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debt, long-term</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120,000</w:t>
            </w:r>
          </w:p>
        </w:tc>
        <w:tc>
          <w:tcPr>
            <w:tcW w:w="4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180,000</w:t>
            </w: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accreted final payment fee</w:t>
            </w: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4,085</w:t>
            </w: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unamortized debt discount, long-term</w:t>
            </w: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w:t>
            </w: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Loan payable, long-term</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117,746</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180,710</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-170815</wp:posOffset>
            </wp:positionV>
            <wp:extent cx="1111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book value of debt approximates its fair value given its variable interest rate.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Interest expense, amortization of the final payment fee, and amortization of the debt discount related to the issuance costs and warrants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debt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7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14,058</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19,254</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17,514</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final payment fee</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18"/>
                <w:szCs w:val="18"/>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 related issuance costs and warrants</w:t>
            </w:r>
          </w:p>
        </w:tc>
        <w:tc>
          <w:tcPr>
            <w:tcW w:w="9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00" w:type="dxa"/>
            <w:vAlign w:val="bottom"/>
            <w:shd w:val="clear" w:color="auto" w:fill="CFF0FC"/>
          </w:tcPr>
          <w:p>
            <w:pPr>
              <w:spacing w:after="0"/>
              <w:rPr>
                <w:sz w:val="18"/>
                <w:szCs w:val="18"/>
                <w:color w:val="auto"/>
              </w:rPr>
            </w:pPr>
          </w:p>
        </w:tc>
      </w:tr>
      <w:tr>
        <w:trPr>
          <w:trHeight w:val="432"/>
        </w:trPr>
        <w:tc>
          <w:tcPr>
            <w:tcW w:w="8560" w:type="dxa"/>
            <w:vAlign w:val="bottom"/>
            <w:gridSpan w:val="6"/>
          </w:tcPr>
          <w:p>
            <w:pPr>
              <w:ind w:left="760"/>
              <w:spacing w:after="0"/>
              <w:rPr>
                <w:sz w:val="20"/>
                <w:szCs w:val="20"/>
                <w:color w:val="auto"/>
              </w:rPr>
            </w:pPr>
            <w:r>
              <w:rPr>
                <w:rFonts w:ascii="Times New Roman" w:cs="Times New Roman" w:eastAsia="Times New Roman" w:hAnsi="Times New Roman"/>
                <w:sz w:val="18"/>
                <w:szCs w:val="18"/>
                <w:color w:val="auto"/>
              </w:rPr>
              <w:t>Scheduled principal payments on outstanding debt, long-term, as of December 31, 2025, are as follows:</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9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9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shd w:val="clear" w:color="auto" w:fill="CFF0FC"/>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payments outstanding</w:t>
            </w:r>
          </w:p>
        </w:tc>
        <w:tc>
          <w:tcPr>
            <w:tcW w:w="9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Borders>
              <w:bottom w:val="single" w:sz="8" w:color="auto"/>
            </w:tcBorders>
            <w:shd w:val="clear" w:color="auto" w:fill="CFF0FC"/>
          </w:tcPr>
          <w:p>
            <w:pPr>
              <w:spacing w:after="0"/>
              <w:rPr>
                <w:sz w:val="21"/>
                <w:szCs w:val="2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February 2023, the Company entered into a Sublease for the previous office space located at One World Trade Center.</w:t>
      </w:r>
    </w:p>
    <w:p>
      <w:pPr>
        <w:spacing w:after="0" w:line="22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In January 2025, the Company entered into an amended sublease agreement (the “First Amendment”) to terminate the existing space in its corporate office and commence occupancy of different space within the same building. The First Amendment was treated as a lease modification to the Sublease which resulted in the recognition of a gain on modification of $2.3 million which is included in selling, general and administrative expenses. The Company also recorded a right-of-use asset and corresponding lease liability of $23.9 million during the first quarter of fiscal year 2025. Based on the Company’s past experience and current expectations for administrative office needs, the Company determined the lease term to be approximately six years. As of December 31, 2025, the remaining lease term for the Company’s operating lease was 5.3 years with the discount rate of 7.12%.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Company entered into a fleet lease program beginning the first quarter of 2024. The lease agreement includes an initial 12-month noncancelable period with monthly renewal options thereafter. Lease terms range from approximately 40 to 50 months and are classified as finance leases. During the year ended December 31, 2025, the Company recognized a right-of-use asset and lease liability, both, of $4.5 million in connection to this lease. As of December 31, 2025, right-of-use asset and lease liability related to the finance lease were $6.6 million and $6.8 million, respectively, and the weighted average remaining lease term was 2.8 years, with a weighted average discount rate of 9.6%.</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Lease expenses recognized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320" w:type="dxa"/>
            <w:vAlign w:val="bottom"/>
            <w:tcBorders>
              <w:bottom w:val="single" w:sz="8" w:color="auto"/>
            </w:tcBorders>
          </w:tcPr>
          <w:p>
            <w:pPr>
              <w:spacing w:after="0"/>
              <w:rPr>
                <w:sz w:val="15"/>
                <w:szCs w:val="15"/>
                <w:color w:val="auto"/>
              </w:rPr>
            </w:pPr>
          </w:p>
        </w:tc>
      </w:tr>
      <w:tr>
        <w:trPr>
          <w:trHeight w:val="142"/>
        </w:trPr>
        <w:tc>
          <w:tcPr>
            <w:tcW w:w="46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9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5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2,173</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560" w:type="dxa"/>
            <w:vAlign w:val="bottom"/>
            <w:gridSpan w:val="8"/>
          </w:tcPr>
          <w:p>
            <w:pPr>
              <w:ind w:left="760"/>
              <w:spacing w:after="0"/>
              <w:rPr>
                <w:sz w:val="20"/>
                <w:szCs w:val="20"/>
                <w:color w:val="auto"/>
              </w:rPr>
            </w:pPr>
            <w:r>
              <w:rPr>
                <w:rFonts w:ascii="Times New Roman" w:cs="Times New Roman" w:eastAsia="Times New Roman" w:hAnsi="Times New Roman"/>
                <w:sz w:val="18"/>
                <w:szCs w:val="18"/>
                <w:color w:val="auto"/>
              </w:rPr>
              <w:t>Future minimum lease payments of the Company’s leases as of December 31, 2025, were as follows: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5"/>
        </w:trPr>
        <w:tc>
          <w:tcPr>
            <w:tcW w:w="46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10"/>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3,056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2,557</w:t>
            </w: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4,807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1,726</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11,284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5,032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1,285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lease payments</w:t>
            </w:r>
          </w:p>
        </w:tc>
        <w:tc>
          <w:tcPr>
            <w:tcW w:w="20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29,227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7,633</w:t>
            </w: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(5,611)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50"/>
        </w:trPr>
        <w:tc>
          <w:tcPr>
            <w:tcW w:w="46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191"/>
              <w:spacing w:after="0"/>
              <w:rPr>
                <w:sz w:val="20"/>
                <w:szCs w:val="20"/>
                <w:color w:val="auto"/>
              </w:rPr>
            </w:pPr>
            <w:r>
              <w:rPr>
                <w:rFonts w:ascii="Times New Roman" w:cs="Times New Roman" w:eastAsia="Times New Roman" w:hAnsi="Times New Roman"/>
                <w:sz w:val="18"/>
                <w:szCs w:val="18"/>
                <w:color w:val="auto"/>
              </w:rPr>
              <w:t>23,616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6,751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may be involved in various claims, litigation and legal proceedings from time to time. On a quarterly basis, the Company reviews the status of each significant matter and assesses its potential financial exposure. Because of uncertainties related to claims, litigation and legal proceedings, accruals are based on the Company’s best estimates based on available information. The Company records accruals for outstanding legal matters if a matter is both probable to result in material liability and the amount of loss or a range of possible loss can be reasonably estimated. If a loss contingency is not both probable and reasonably estimable, the Company does not establish an accrued liability.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22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May 13, 2022, Evy Gru filed a putative class action complaint captioned Gru v. Axsome Therapeutics, Inc., et al. in the U.S. District Court for the Southern District of New York, or the SDNY District Court, against the Company and certain of its current and former officers and one director, which the Company refers to as the Securities Class Action. The complaint asserts claims under Sections 10(b) and 20(a) of the Exchange Act and Rule 10b-5 promulgated thereunder, and alleges, among other things, that the defendants made false statements and omissions concerning the Company’s chemistry manufacturing and controls practices, and its NDA with the FDA, with respect to one of its then product candidates, AXS-07, now SYMBRAVO. The named plaintiff sought unspecified damages, fees, interest, and costs. On August 11, 2022, the SDNY District Court appointed co-lead plaintiffs in the Securities Class Action, one of whom later withdrew. On October 7, 2022, the Securities Class Action plaintiffs filed an amended complaint, which contained substantially similar allegations as in the initial complaint. On September 25, 2023, the SDNY District Court granted defendants’ motion to dismiss the amended complaint.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On October 13, 2023, plaintiffs’ counsel filed a letter seeking leave to file an amended complaint and to substitute new plaintiffs. On January 22, 2024, the SDNY District Court granted that motion and ordered that the case name be changed to In re Axsome Therapeutics, Inc. Securities Litigation. On January 26, 2024, the replacement plaintiffs renewed their request for leave to file a proposed second amended complaint, and, on February 6, 2024, the SDNY District Court granted that request. Plaintiffs filed the second amended complaint on February 7, 2024. On March 11, 2024, the defendants moved to dismiss the second amended complaint. On March 31, 2025, the SDNY District Court entered an order granting in part and denying in part defendants’ motions to dismiss, dismissing plaintiffs’ claims against three of Axsome’s current and former officers and allowing the claims against the Company and two current officers to proceed. On October 27, 2025, the SDNY District Court preliminarily approved the terms of a settlement resolving the Securities Class Action. On February 10, 2026, the SDNY District Court conducted a hearing on plaintiffs’ motion for final approval of the settlement and the parties are awaiting the Court’s decision.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Derivative Action</w:t>
      </w:r>
    </w:p>
    <w:p>
      <w:pPr>
        <w:spacing w:after="0" w:line="227" w:lineRule="exact"/>
        <w:rPr>
          <w:sz w:val="20"/>
          <w:szCs w:val="20"/>
          <w:color w:val="auto"/>
        </w:rPr>
      </w:pPr>
    </w:p>
    <w:p>
      <w:pPr>
        <w:ind w:right="100" w:firstLine="749"/>
        <w:spacing w:after="0" w:line="254" w:lineRule="auto"/>
        <w:rPr>
          <w:sz w:val="20"/>
          <w:szCs w:val="20"/>
          <w:color w:val="auto"/>
        </w:rPr>
      </w:pPr>
      <w:r>
        <w:rPr>
          <w:rFonts w:ascii="Times New Roman" w:cs="Times New Roman" w:eastAsia="Times New Roman" w:hAnsi="Times New Roman"/>
          <w:sz w:val="18"/>
          <w:szCs w:val="18"/>
          <w:color w:val="auto"/>
        </w:rPr>
        <w:t>On July 21, 2022, Daniel Engel filed a stockholder derivative complaint captioned Engel v. Herriot Tabuteau, et al. in the SDNY District Court against the Company’s then-current directors, certain of the Company’s current and former officers, and the Company (as nominal defendant). On January 27, 2023, Kyle Guterba filed a stockholder derivative complaint captioned Guterba v. Tabuteau, et al. in the SDNY District Court against the Company’s then-current directors, certain of the Company’s current and former officers, and the Company (as nominal defendant). The SDNY derivative complaints arise out of similar allegations as those made in the Securities Class Action. The plaintiffs assert claims for breach of fiduciary duties against all of the defendants and for contribution for violations of Section 10(b) and 21D of the Exchange Act. The plaintiffs seek unspecified damages, fees, interest, and costs, as well as corporate governance changes. The Engel and Guterba matters were consolidated on February 28, 2023 and were stayed pending further proceedings in the Securities Class Action. On November 25, 2025, the plaintiffs filed an amended complaint. On February 13, 2026, the defendants moved to dismiss the amended complaint. The plaintiffs’ deadline to respond to the motion to dismiss is March 9, 2026.</w:t>
      </w:r>
    </w:p>
    <w:p>
      <w:pPr>
        <w:spacing w:after="0" w:line="188"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On September 23, 2025, John Wickstrom filed a stockholder derivative complaint captioned Wickstrom v. Herriot Tabuteau, et al. in the Court of Chancery of the State of Delaware against the Company’s current directors, certain of the Company’s current and former officers, and the Company (as nominal defendant). On September 29, 2025, John Gildea filed a stockholder derivative complaint captioned Gildea v. Herriot Tabuteau, et al. in the Court of Chancery of the State of Delaware against the Company’s current directors, certain of the Company’s current and former officers, and the Company (as nominal defendant). The Delaware derivative complaints arise out of similar allegations as those made in the Securities Class Action and the SDNY derivative action. The plaintiffs assert claims for breach of fiduciary duties, unjust enrichment, and corporate waste against all of the defendants. The plaintiffs seek unspecified damages, fees, interest, and costs, as well as corporate governance changes. On November 6, 2025, the court consolidated the actions and designated the complaint in the Wickstrom action as the operative complaint. On February 2, 2026, the defendants moved to dismiss the complaint. The plaintiffs’ deadline to respond to the motion to dismiss is March 19, 2026.</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SUNOSI Paragraph IV Litigation</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 xml:space="preserve">On September 13, 2023, the Company commenced a patent infringement action against Hikma Pharmaceuticals USA, Inc. (“Hikma”) and five other drug companies relating to each defendant’s ANDA for SUNOSI. This action is captioned </w:t>
      </w:r>
      <w:r>
        <w:rPr>
          <w:rFonts w:ascii="Times New Roman" w:cs="Times New Roman" w:eastAsia="Times New Roman" w:hAnsi="Times New Roman"/>
          <w:sz w:val="18"/>
          <w:szCs w:val="18"/>
          <w:i w:val="1"/>
          <w:iCs w:val="1"/>
          <w:color w:val="auto"/>
        </w:rPr>
        <w:t>Axsome Malta Ltd. &amp; Axsome Therapeutics, Inc. v. Alkem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Laboratories Ltd., et al</w:t>
      </w:r>
      <w:r>
        <w:rPr>
          <w:rFonts w:ascii="Times New Roman" w:cs="Times New Roman" w:eastAsia="Times New Roman" w:hAnsi="Times New Roman"/>
          <w:sz w:val="18"/>
          <w:szCs w:val="18"/>
          <w:color w:val="auto"/>
        </w:rPr>
        <w:t>. No. 2:23-cv-20354 in the U.S. District Court for the District of New Jersey, or the NJ District Court. The Company commenced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patent infringement actions against the defendants relating to their ANDAs on December 20, 2023, January 11, 2024, January 18, 2024, February 14, 2024, March 19, 2024 (2 actions filed), April 5, 2024, July 2, 2024, August 8, 2024, August 21, 2024, September 16, 2024, November 20, 2024 (4 actions filed), January 21, 2025, January 29, 2025, May 1, 2025, August 15, 2025, November 12, 2025, and November 14, 2025. Those actions are captioned </w:t>
      </w:r>
      <w:r>
        <w:rPr>
          <w:rFonts w:ascii="Times New Roman" w:cs="Times New Roman" w:eastAsia="Times New Roman" w:hAnsi="Times New Roman"/>
          <w:sz w:val="18"/>
          <w:szCs w:val="18"/>
          <w:i w:val="1"/>
          <w:iCs w:val="1"/>
          <w:color w:val="auto"/>
        </w:rPr>
        <w:t>Axsome Malta Ltd. &amp; Axsome Therapeutics, Inc. v. Unichem Laboratories Ltd</w:t>
      </w:r>
      <w:r>
        <w:rPr>
          <w:rFonts w:ascii="Times New Roman" w:cs="Times New Roman" w:eastAsia="Times New Roman" w:hAnsi="Times New Roman"/>
          <w:sz w:val="18"/>
          <w:szCs w:val="18"/>
          <w:color w:val="auto"/>
        </w:rPr>
        <w:t xml:space="preserve">. No. 2:23-cv-23255; </w:t>
      </w:r>
      <w:r>
        <w:rPr>
          <w:rFonts w:ascii="Times New Roman" w:cs="Times New Roman" w:eastAsia="Times New Roman" w:hAnsi="Times New Roman"/>
          <w:sz w:val="18"/>
          <w:szCs w:val="18"/>
          <w:i w:val="1"/>
          <w:iCs w:val="1"/>
          <w:color w:val="auto"/>
        </w:rPr>
        <w:t>Axsome Malta Ltd. &amp; Axsome Therapeutics,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v. Hetero USA, Inc. et al</w:t>
      </w:r>
      <w:r>
        <w:rPr>
          <w:rFonts w:ascii="Times New Roman" w:cs="Times New Roman" w:eastAsia="Times New Roman" w:hAnsi="Times New Roman"/>
          <w:sz w:val="18"/>
          <w:szCs w:val="18"/>
          <w:color w:val="auto"/>
        </w:rPr>
        <w:t>. No. 2:24-cv-00196;</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xml:space="preserve">. No. 2:24-cv-00309; </w:t>
      </w:r>
      <w:r>
        <w:rPr>
          <w:rFonts w:ascii="Times New Roman" w:cs="Times New Roman" w:eastAsia="Times New Roman" w:hAnsi="Times New Roman"/>
          <w:sz w:val="18"/>
          <w:szCs w:val="18"/>
          <w:i w:val="1"/>
          <w:iCs w:val="1"/>
          <w:color w:val="auto"/>
        </w:rPr>
        <w:t>Axsome Malta Ltd. &amp; Axsome Therapeutics, Inc. v. Sandoz, Inc</w:t>
      </w:r>
      <w:r>
        <w:rPr>
          <w:rFonts w:ascii="Times New Roman" w:cs="Times New Roman" w:eastAsia="Times New Roman" w:hAnsi="Times New Roman"/>
          <w:sz w:val="18"/>
          <w:szCs w:val="18"/>
          <w:color w:val="auto"/>
        </w:rPr>
        <w:t xml:space="preserve">. No. 2:24-cv-00860; </w:t>
      </w:r>
      <w:r>
        <w:rPr>
          <w:rFonts w:ascii="Times New Roman" w:cs="Times New Roman" w:eastAsia="Times New Roman" w:hAnsi="Times New Roman"/>
          <w:sz w:val="18"/>
          <w:szCs w:val="18"/>
          <w:i w:val="1"/>
          <w:iCs w:val="1"/>
          <w:color w:val="auto"/>
        </w:rPr>
        <w:t>Axsome Malta Ltd. &amp; Axsome Therapeutics, Inc. v. Hetero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USA, Inc. et al</w:t>
      </w:r>
      <w:r>
        <w:rPr>
          <w:rFonts w:ascii="Times New Roman" w:cs="Times New Roman" w:eastAsia="Times New Roman" w:hAnsi="Times New Roman"/>
          <w:sz w:val="18"/>
          <w:szCs w:val="18"/>
          <w:color w:val="auto"/>
        </w:rPr>
        <w:t>. No. 2:24-cv-03999;</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2:24-cv-04002;</w:t>
      </w:r>
      <w:r>
        <w:rPr>
          <w:rFonts w:ascii="Times New Roman" w:cs="Times New Roman" w:eastAsia="Times New Roman" w:hAnsi="Times New Roman"/>
          <w:sz w:val="18"/>
          <w:szCs w:val="18"/>
          <w:i w:val="1"/>
          <w:iCs w:val="1"/>
          <w:color w:val="auto"/>
        </w:rPr>
        <w:t xml:space="preserve"> Axsome Malta Ltd. &amp; Axsome Therapeutics, Inc. v. Alkem Laboratories Ltd., et al</w:t>
      </w:r>
      <w:r>
        <w:rPr>
          <w:rFonts w:ascii="Times New Roman" w:cs="Times New Roman" w:eastAsia="Times New Roman" w:hAnsi="Times New Roman"/>
          <w:sz w:val="18"/>
          <w:szCs w:val="18"/>
          <w:color w:val="auto"/>
        </w:rPr>
        <w:t>. No. 2:24-cv-04608;</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2-24-cv-07511;</w:t>
      </w:r>
      <w:r>
        <w:rPr>
          <w:rFonts w:ascii="Times New Roman" w:cs="Times New Roman" w:eastAsia="Times New Roman" w:hAnsi="Times New Roman"/>
          <w:sz w:val="18"/>
          <w:szCs w:val="18"/>
          <w:i w:val="1"/>
          <w:iCs w:val="1"/>
          <w:color w:val="auto"/>
        </w:rPr>
        <w:t xml:space="preserve"> Axsome Malta Ltd. &amp; Axsome Therapeutics, Inc. v. Alkem Laboratories Ltd. </w:t>
      </w:r>
      <w:r>
        <w:rPr>
          <w:rFonts w:ascii="Times New Roman" w:cs="Times New Roman" w:eastAsia="Times New Roman" w:hAnsi="Times New Roman"/>
          <w:sz w:val="18"/>
          <w:szCs w:val="18"/>
          <w:color w:val="auto"/>
        </w:rPr>
        <w:t>No. 2-24-cv-08365;</w:t>
      </w:r>
      <w:r>
        <w:rPr>
          <w:rFonts w:ascii="Times New Roman" w:cs="Times New Roman" w:eastAsia="Times New Roman" w:hAnsi="Times New Roman"/>
          <w:sz w:val="18"/>
          <w:szCs w:val="18"/>
          <w:i w:val="1"/>
          <w:iCs w:val="1"/>
          <w:color w:val="auto"/>
        </w:rPr>
        <w:t xml:space="preserve"> Axsome Malta Ltd. &amp; Axsome Therapeutics, Inc. v. Aurobindo Pharma USA, Inc. et al. </w:t>
      </w:r>
      <w:r>
        <w:rPr>
          <w:rFonts w:ascii="Times New Roman" w:cs="Times New Roman" w:eastAsia="Times New Roman" w:hAnsi="Times New Roman"/>
          <w:sz w:val="18"/>
          <w:szCs w:val="18"/>
          <w:color w:val="auto"/>
        </w:rPr>
        <w:t>No. 2-24-cv-08624;</w:t>
      </w:r>
      <w:r>
        <w:rPr>
          <w:rFonts w:ascii="Times New Roman" w:cs="Times New Roman" w:eastAsia="Times New Roman" w:hAnsi="Times New Roman"/>
          <w:sz w:val="18"/>
          <w:szCs w:val="18"/>
          <w:i w:val="1"/>
          <w:iCs w:val="1"/>
          <w:color w:val="auto"/>
        </w:rPr>
        <w:t xml:space="preserve"> Axsome Malta Ltd. &amp; Axsome Therapeutics, Inc. v. Alkem Laboratories Ltd. et al. </w:t>
      </w:r>
      <w:r>
        <w:rPr>
          <w:rFonts w:ascii="Times New Roman" w:cs="Times New Roman" w:eastAsia="Times New Roman" w:hAnsi="Times New Roman"/>
          <w:sz w:val="18"/>
          <w:szCs w:val="18"/>
          <w:color w:val="auto"/>
        </w:rPr>
        <w:t>No. 2-24-cv-09209;</w:t>
      </w:r>
      <w:r>
        <w:rPr>
          <w:rFonts w:ascii="Times New Roman" w:cs="Times New Roman" w:eastAsia="Times New Roman" w:hAnsi="Times New Roman"/>
          <w:sz w:val="18"/>
          <w:szCs w:val="18"/>
          <w:i w:val="1"/>
          <w:iCs w:val="1"/>
          <w:color w:val="auto"/>
        </w:rPr>
        <w:t xml:space="preserve"> Axsome Malta Ltd. &amp; Axsome Therapeutics, Inc. v. Alkem Laboratories Ltd. </w:t>
      </w:r>
      <w:r>
        <w:rPr>
          <w:rFonts w:ascii="Times New Roman" w:cs="Times New Roman" w:eastAsia="Times New Roman" w:hAnsi="Times New Roman"/>
          <w:sz w:val="18"/>
          <w:szCs w:val="18"/>
          <w:color w:val="auto"/>
        </w:rPr>
        <w:t>No. 2-24-cv-10617;</w:t>
      </w:r>
      <w:r>
        <w:rPr>
          <w:rFonts w:ascii="Times New Roman" w:cs="Times New Roman" w:eastAsia="Times New Roman" w:hAnsi="Times New Roman"/>
          <w:sz w:val="18"/>
          <w:szCs w:val="18"/>
          <w:i w:val="1"/>
          <w:iCs w:val="1"/>
          <w:color w:val="auto"/>
        </w:rPr>
        <w:t xml:space="preserve"> Axsome Malta Ltd. &amp; Axsome Therapeutics, Inc. v. Hetero USA, Inc. et al</w:t>
      </w:r>
      <w:r>
        <w:rPr>
          <w:rFonts w:ascii="Times New Roman" w:cs="Times New Roman" w:eastAsia="Times New Roman" w:hAnsi="Times New Roman"/>
          <w:sz w:val="18"/>
          <w:szCs w:val="18"/>
          <w:color w:val="auto"/>
        </w:rPr>
        <w:t>. No. 2:24-cv-10618;</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2:24-cv-10619;</w:t>
      </w:r>
      <w:r>
        <w:rPr>
          <w:rFonts w:ascii="Times New Roman" w:cs="Times New Roman" w:eastAsia="Times New Roman" w:hAnsi="Times New Roman"/>
          <w:sz w:val="18"/>
          <w:szCs w:val="18"/>
          <w:i w:val="1"/>
          <w:iCs w:val="1"/>
          <w:color w:val="auto"/>
        </w:rPr>
        <w:t xml:space="preserve"> Axsome Malta Ltd. &amp; Axsome Therapeutics, Inc. v. Hikma Pharmaceuticals USA Inc</w:t>
      </w:r>
      <w:r>
        <w:rPr>
          <w:rFonts w:ascii="Times New Roman" w:cs="Times New Roman" w:eastAsia="Times New Roman" w:hAnsi="Times New Roman"/>
          <w:sz w:val="18"/>
          <w:szCs w:val="18"/>
          <w:color w:val="auto"/>
        </w:rPr>
        <w:t xml:space="preserve">. No. 2:24-cv-10620; </w:t>
      </w:r>
      <w:r>
        <w:rPr>
          <w:rFonts w:ascii="Times New Roman" w:cs="Times New Roman" w:eastAsia="Times New Roman" w:hAnsi="Times New Roman"/>
          <w:sz w:val="18"/>
          <w:szCs w:val="18"/>
          <w:i w:val="1"/>
          <w:iCs w:val="1"/>
          <w:color w:val="auto"/>
        </w:rPr>
        <w:t>Axsome Malta Ltd. &amp; Axsome Therapeutics, Inc. v. Aurobindo Pharma USA, Inc. et al</w:t>
      </w:r>
      <w:r>
        <w:rPr>
          <w:rFonts w:ascii="Times New Roman" w:cs="Times New Roman" w:eastAsia="Times New Roman" w:hAnsi="Times New Roman"/>
          <w:sz w:val="18"/>
          <w:szCs w:val="18"/>
          <w:color w:val="auto"/>
        </w:rPr>
        <w:t xml:space="preserve">. No. 2:25-cv-00643; </w:t>
      </w:r>
      <w:r>
        <w:rPr>
          <w:rFonts w:ascii="Times New Roman" w:cs="Times New Roman" w:eastAsia="Times New Roman" w:hAnsi="Times New Roman"/>
          <w:sz w:val="18"/>
          <w:szCs w:val="18"/>
          <w:i w:val="1"/>
          <w:iCs w:val="1"/>
          <w:color w:val="auto"/>
        </w:rPr>
        <w:t>Axsome Malta Ltd. et al v. Hetero USA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 et al</w:t>
      </w:r>
      <w:r>
        <w:rPr>
          <w:rFonts w:ascii="Times New Roman" w:cs="Times New Roman" w:eastAsia="Times New Roman" w:hAnsi="Times New Roman"/>
          <w:sz w:val="18"/>
          <w:szCs w:val="18"/>
          <w:color w:val="auto"/>
        </w:rPr>
        <w:t>. No. 2-25-cv-00801;</w:t>
      </w:r>
      <w:r>
        <w:rPr>
          <w:rFonts w:ascii="Times New Roman" w:cs="Times New Roman" w:eastAsia="Times New Roman" w:hAnsi="Times New Roman"/>
          <w:sz w:val="18"/>
          <w:szCs w:val="18"/>
          <w:i w:val="1"/>
          <w:iCs w:val="1"/>
          <w:color w:val="auto"/>
        </w:rPr>
        <w:t xml:space="preserve"> Axsome Malta Ltd. &amp; Axsome Therapeutics, Inc. v. Aurobindo Pharma USA, Inc. et al</w:t>
      </w:r>
      <w:r>
        <w:rPr>
          <w:rFonts w:ascii="Times New Roman" w:cs="Times New Roman" w:eastAsia="Times New Roman" w:hAnsi="Times New Roman"/>
          <w:sz w:val="18"/>
          <w:szCs w:val="18"/>
          <w:color w:val="auto"/>
        </w:rPr>
        <w:t>. No. 2-25-cv-03721;</w:t>
      </w:r>
      <w:r>
        <w:rPr>
          <w:rFonts w:ascii="Times New Roman" w:cs="Times New Roman" w:eastAsia="Times New Roman" w:hAnsi="Times New Roman"/>
          <w:sz w:val="18"/>
          <w:szCs w:val="18"/>
          <w:i w:val="1"/>
          <w:iCs w:val="1"/>
          <w:color w:val="auto"/>
        </w:rPr>
        <w:t xml:space="preserve"> Axsome Malta Ltd. et al v. Alkem Laboratories Ltd</w:t>
      </w:r>
      <w:r>
        <w:rPr>
          <w:rFonts w:ascii="Times New Roman" w:cs="Times New Roman" w:eastAsia="Times New Roman" w:hAnsi="Times New Roman"/>
          <w:sz w:val="18"/>
          <w:szCs w:val="18"/>
          <w:color w:val="auto"/>
        </w:rPr>
        <w:t>. No. 2-25-cv-14694;</w:t>
      </w:r>
      <w:r>
        <w:rPr>
          <w:rFonts w:ascii="Times New Roman" w:cs="Times New Roman" w:eastAsia="Times New Roman" w:hAnsi="Times New Roman"/>
          <w:sz w:val="18"/>
          <w:szCs w:val="18"/>
          <w:i w:val="1"/>
          <w:iCs w:val="1"/>
          <w:color w:val="auto"/>
        </w:rPr>
        <w:t xml:space="preserve"> Axsome Malta Ltd. et al v. Alkem Laboratories Ltd</w:t>
      </w:r>
      <w:r>
        <w:rPr>
          <w:rFonts w:ascii="Times New Roman" w:cs="Times New Roman" w:eastAsia="Times New Roman" w:hAnsi="Times New Roman"/>
          <w:sz w:val="18"/>
          <w:szCs w:val="18"/>
          <w:color w:val="auto"/>
        </w:rPr>
        <w:t>. No. 2-25-cv-17395; and</w:t>
      </w:r>
      <w:r>
        <w:rPr>
          <w:rFonts w:ascii="Times New Roman" w:cs="Times New Roman" w:eastAsia="Times New Roman" w:hAnsi="Times New Roman"/>
          <w:sz w:val="18"/>
          <w:szCs w:val="18"/>
          <w:i w:val="1"/>
          <w:iCs w:val="1"/>
          <w:color w:val="auto"/>
        </w:rPr>
        <w:t xml:space="preserve"> Axsome Malta Ltd. et al. v. Aurobindo Pharma USA, Inc. et al</w:t>
      </w:r>
      <w:r>
        <w:rPr>
          <w:rFonts w:ascii="Times New Roman" w:cs="Times New Roman" w:eastAsia="Times New Roman" w:hAnsi="Times New Roman"/>
          <w:sz w:val="18"/>
          <w:szCs w:val="18"/>
          <w:color w:val="auto"/>
        </w:rPr>
        <w:t>. 2-25-cv-17592, respectively, all of which were filed in the NJ District Court.</w:t>
      </w:r>
    </w:p>
    <w:p>
      <w:pPr>
        <w:spacing w:after="0" w:line="189" w:lineRule="exact"/>
        <w:rPr>
          <w:sz w:val="20"/>
          <w:szCs w:val="20"/>
          <w:color w:val="auto"/>
        </w:rPr>
      </w:pPr>
    </w:p>
    <w:p>
      <w:pPr>
        <w:ind w:right="20" w:firstLine="749"/>
        <w:spacing w:after="0" w:line="252" w:lineRule="auto"/>
        <w:rPr>
          <w:sz w:val="20"/>
          <w:szCs w:val="20"/>
          <w:color w:val="auto"/>
        </w:rPr>
      </w:pPr>
      <w:r>
        <w:rPr>
          <w:rFonts w:ascii="Times New Roman" w:cs="Times New Roman" w:eastAsia="Times New Roman" w:hAnsi="Times New Roman"/>
          <w:sz w:val="18"/>
          <w:szCs w:val="18"/>
          <w:color w:val="auto"/>
        </w:rPr>
        <w:t xml:space="preserve">On June 4, 2024, Axsome and Axsome Malta Ltd. (the “Malta Subsidiary”) entered into a settlement agreement with Unichem Laboratories Ltd. (“Unichem”) under which agreement Unichem agreed not to launch its generic solriamfetol product until June 30, 2042, or earlier under certain circumstances. On August 21, 2024, Axsome and the Malta Subsidiary reached an agreement to dismiss the actions pending against Sandoz Inc. On September 25, 2024, Hikma filed a petition for Inter Partes Review of U.S. Patent No. 11,560,354 before the United States Patent and Trademark Office’s Patent Trial and Appeal Board. That petition was captioned </w:t>
      </w:r>
      <w:r>
        <w:rPr>
          <w:rFonts w:ascii="Times New Roman" w:cs="Times New Roman" w:eastAsia="Times New Roman" w:hAnsi="Times New Roman"/>
          <w:sz w:val="18"/>
          <w:szCs w:val="18"/>
          <w:i w:val="1"/>
          <w:iCs w:val="1"/>
          <w:color w:val="auto"/>
        </w:rPr>
        <w:t>Hikma Pharmaceuticals USA Inc. f/k/a West-Ward Pharmaceuticals Corp. v. Axsome Malta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Ltd</w:t>
      </w:r>
      <w:r>
        <w:rPr>
          <w:rFonts w:ascii="Times New Roman" w:cs="Times New Roman" w:eastAsia="Times New Roman" w:hAnsi="Times New Roman"/>
          <w:sz w:val="18"/>
          <w:szCs w:val="18"/>
          <w:color w:val="auto"/>
        </w:rPr>
        <w:t>. IPR2024-01418. On March 2, 2025, Axsome and the Malta Subsidiary entered into a settlement agreement with Hikma under which agreement Hikma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not to launch its generic solriamfetol product until September 1, 2040, if pediatric exclusivity is granted for SUNOSI, or on or after March 1, 2040, if no pediatric exclusivity is granted, or earlier under certain circumstances. On March 6, 2025 the Malta Subsidiary and Hikma jointly requested that the PTAB dismiss IPR2024-01418. That request was granted on March 12, 2025. On May 21, 2025, Axsome and the Malta Subsidiary entered into a settlement with Hetero USA, Inc., Hetero Labs Limited Unit-V, and Hetero Labs Ltd. (collectively, “Hetero”) under which agreement Hetero agreed not to launch its generic solriamfetol product until September 1, 2040, if pediatric exclusivity is granted for SUNOSI, or on or after March 1, 2040, if no pediatric exclusivity is granted, or earlier under certain circumstances. On February 13, 2026, Axsome and the Malta Subsidiary entered into a settlement with Alkem Laboratories Ltd. (“Alkem”) under which agreement Alkem agreed not to launch its generic solriamfetol product until September 1, 2040, if pediatric exclusivity is granted for SUNOSI, or on or after March 1, 2040, if no pediatric exclusivity is granted, or earlier under certain circumstances. All other actions remain pending and are in fact discovery.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SYMBRAVO Paragraph IV Litigation</w:t>
      </w:r>
    </w:p>
    <w:p>
      <w:pPr>
        <w:spacing w:after="0" w:line="227"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 xml:space="preserve">On September 26, 2025, the Company commenced a patent infringement action against Apotex Inc. relating to Apotex’s ANDA for SYMBRAVO. This action is captioned </w:t>
      </w:r>
      <w:r>
        <w:rPr>
          <w:rFonts w:ascii="Times New Roman" w:cs="Times New Roman" w:eastAsia="Times New Roman" w:hAnsi="Times New Roman"/>
          <w:sz w:val="18"/>
          <w:szCs w:val="18"/>
          <w:i w:val="1"/>
          <w:iCs w:val="1"/>
          <w:color w:val="auto"/>
        </w:rPr>
        <w:t>Axsome Therapeutics, Inc. v. Apotex, Inc.,</w:t>
      </w:r>
      <w:r>
        <w:rPr>
          <w:rFonts w:ascii="Times New Roman" w:cs="Times New Roman" w:eastAsia="Times New Roman" w:hAnsi="Times New Roman"/>
          <w:sz w:val="18"/>
          <w:szCs w:val="18"/>
          <w:color w:val="auto"/>
        </w:rPr>
        <w:t xml:space="preserve"> No. 1:25-cv-16038 in the NJ District Court. The Court has not yet set a schedule for the action.</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believes that its assertions in pending legal proceedings have merit and does not believe that any of these matters, individually or in the aggregate, will have a material adverse effect on its financial position. As of December 31, 2025, there were no potential material losses from claims, asserted or unasserted, or legal proceedings that the Company determined were both probable and reasonably estimable.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Offerings</w:t>
      </w:r>
    </w:p>
    <w:p>
      <w:pPr>
        <w:spacing w:after="0" w:line="229"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In March 2022, the Company entered into a sales agreement (the “March 2022 Sales Agreement”) with Leerink Partners LLC (“Leerink”) and filed a prospectus supplement. The March 2022 Sales Agreement supersedes the sales agreement, dated December 5, 2019, by and between the Company and Leerink. The Company exhausted sales of shares of the Company’s common stock under its prior at-the-market offering program.</w:t>
      </w:r>
    </w:p>
    <w:p>
      <w:pPr>
        <w:spacing w:after="0" w:line="176" w:lineRule="exact"/>
        <w:rPr>
          <w:sz w:val="20"/>
          <w:szCs w:val="20"/>
          <w:color w:val="auto"/>
        </w:rPr>
      </w:pPr>
    </w:p>
    <w:p>
      <w:pPr>
        <w:ind w:right="200" w:firstLine="749"/>
        <w:spacing w:after="0" w:line="261" w:lineRule="auto"/>
        <w:rPr>
          <w:sz w:val="20"/>
          <w:szCs w:val="20"/>
          <w:color w:val="auto"/>
        </w:rPr>
      </w:pPr>
      <w:r>
        <w:rPr>
          <w:rFonts w:ascii="Times New Roman" w:cs="Times New Roman" w:eastAsia="Times New Roman" w:hAnsi="Times New Roman"/>
          <w:sz w:val="18"/>
          <w:szCs w:val="18"/>
          <w:color w:val="auto"/>
        </w:rPr>
        <w:t>Under the March 2022 Sales Agreement, for the three months ended December 31, 2025, the Company received approximately $5.7 million in gross proceeds through the sale of 39,694 shares, of which net proceeds were approximately $5.6 million. For the year ended December 31, 2025, the Company received approximately $52.9 million in gross proceeds through the sale of 451,176 shares, of which net proceeds were approximately $51.9 million under the March 2022 Sales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June 2023 Public Offering</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June 2023, the Company completed an underwritten public offering of its common stock (the “June 2023 Public Offering”). The Company sold 3.0 million shares of its common stock at a public offering price of $75.00 per share. The net proceeds were $211.3 million, net of underwriting discounts and commissions of $13.5 million and other offering costs of $0.2 million. Additionally, in connection with this public offering, in July 2023, the underwriters fully exercised their option to purchase 450,000 additional shares of the Company’s common stock at a public offering price of $75.00 per share. The net proceeds from the exercise of the option were $31.7 million, net of underwriting discounts and commissions of $2.0 million and other minimal offering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Blackstone Securities Purchase Agreement</w:t>
      </w:r>
    </w:p>
    <w:p>
      <w:pPr>
        <w:spacing w:after="0" w:line="229" w:lineRule="exact"/>
        <w:rPr>
          <w:sz w:val="20"/>
          <w:szCs w:val="20"/>
          <w:color w:val="auto"/>
        </w:rPr>
      </w:pPr>
    </w:p>
    <w:p>
      <w:pPr>
        <w:ind w:right="260" w:firstLine="749"/>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securities purchase agreement with Blackstone, and its affiliates, for the private placement (the “Private Placement”) of an aggregate of 140,000 shares of the Company’s common stock, at a purchase price of $107.14 per share. Gross proceeds from the Private Placement were approximately $15.0 million. The closing of the Private Placement occurred contemporaneously with the closing of the Blackstone Loan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On November 3, 2025, the Company filed an automatic shelf registration statement (the “2025 Shelf Registration Statement”) with the SEC for the issuance of common stock, preferred stock, warrants, rights, debt securities and units. It became effective upon filing with the SEC and is currently the Company’s only active shelf registration.</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Under SEC rules, the 2025 Shelf Registration Statement allows for the potential future offer and sale by the Company, from time to time, in one or more public offerings of an unlimited amount of the Company’s common stock, preferred stock, debt securities, and units at indeterminate prices. At the time any of the securities covered by the 2025 Shelf Registration Statement are offered for sale, a prospectus supplement will be prepared and filed with the SEC containing specific information about the terms of any such offering.</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w:t>
      </w:r>
    </w:p>
    <w:p>
      <w:pPr>
        <w:spacing w:after="0" w:line="229"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In October 2015, the Board adopted the 2015 Omnibus Incentive Compensation Plan (the “2015 Plan”) and the Company’s stockholders approved the 2015 Plan in November 2015. In April 2025, the Board adopted the Company’s 2025 Long-Term Incentive Plan (“2025 Plan”) and the Company’s stockholders approved the 2025 Plan in June 2025. The Company will make all future equity awards from the 2025 Plan and the Company does not intend to grant any future equity awards from the 2015 Plan. As of December 31, 2025, there were 2,560,212 shares available for future grant under the 2025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stock option activity as of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3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3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8,439,121</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390,395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125.20</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(1,498,360)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Forfeited/Canceled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72.49</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7,034,278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51.98</w:t>
            </w:r>
          </w:p>
        </w:tc>
        <w:tc>
          <w:tcPr>
            <w:tcW w:w="14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919,114</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300" w:type="dxa"/>
            <w:vAlign w:val="bottom"/>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7,034,278</w:t>
            </w:r>
          </w:p>
        </w:tc>
        <w:tc>
          <w:tcPr>
            <w:tcW w:w="2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51.98</w:t>
            </w:r>
          </w:p>
        </w:tc>
        <w:tc>
          <w:tcPr>
            <w:tcW w:w="1400" w:type="dxa"/>
            <w:vAlign w:val="bottom"/>
            <w:gridSpan w:val="2"/>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3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919,114</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300" w:type="dxa"/>
            <w:vAlign w:val="bottom"/>
            <w:shd w:val="clear" w:color="auto" w:fill="CFF0FC"/>
          </w:tcPr>
          <w:p>
            <w:pPr>
              <w:jc w:val="right"/>
              <w:ind w:right="34"/>
              <w:spacing w:after="0" w:line="196" w:lineRule="exact"/>
              <w:rPr>
                <w:sz w:val="20"/>
                <w:szCs w:val="20"/>
                <w:color w:val="auto"/>
              </w:rPr>
            </w:pPr>
            <w:r>
              <w:rPr>
                <w:rFonts w:ascii="Times New Roman" w:cs="Times New Roman" w:eastAsia="Times New Roman" w:hAnsi="Times New Roman"/>
                <w:sz w:val="18"/>
                <w:szCs w:val="18"/>
                <w:color w:val="auto"/>
              </w:rPr>
              <w:t>5,310,522</w:t>
            </w:r>
          </w:p>
        </w:tc>
        <w:tc>
          <w:tcPr>
            <w:tcW w:w="240" w:type="dxa"/>
            <w:vAlign w:val="bottom"/>
            <w:gridSpan w:val="2"/>
            <w:shd w:val="clear" w:color="auto" w:fill="CFF0FC"/>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35"/>
              <w:spacing w:after="0" w:line="196" w:lineRule="exact"/>
              <w:rPr>
                <w:sz w:val="20"/>
                <w:szCs w:val="20"/>
                <w:color w:val="auto"/>
              </w:rPr>
            </w:pPr>
            <w:r>
              <w:rPr>
                <w:rFonts w:ascii="Times New Roman" w:cs="Times New Roman" w:eastAsia="Times New Roman" w:hAnsi="Times New Roman"/>
                <w:sz w:val="18"/>
                <w:szCs w:val="18"/>
                <w:color w:val="auto"/>
              </w:rPr>
              <w:t>42.30</w:t>
            </w:r>
          </w:p>
        </w:tc>
        <w:tc>
          <w:tcPr>
            <w:tcW w:w="1400" w:type="dxa"/>
            <w:vAlign w:val="bottom"/>
            <w:gridSpan w:val="2"/>
            <w:shd w:val="clear" w:color="auto" w:fill="CFF0FC"/>
          </w:tcPr>
          <w:p>
            <w:pPr>
              <w:jc w:val="right"/>
              <w:ind w:right="48"/>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32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9"/>
              <w:spacing w:after="0" w:line="196" w:lineRule="exact"/>
              <w:rPr>
                <w:sz w:val="20"/>
                <w:szCs w:val="20"/>
                <w:color w:val="auto"/>
              </w:rPr>
            </w:pPr>
            <w:r>
              <w:rPr>
                <w:rFonts w:ascii="Times New Roman" w:cs="Times New Roman" w:eastAsia="Times New Roman" w:hAnsi="Times New Roman"/>
                <w:sz w:val="18"/>
                <w:szCs w:val="18"/>
                <w:color w:val="auto"/>
              </w:rPr>
              <w:t>745,283</w:t>
            </w:r>
          </w:p>
        </w:tc>
        <w:tc>
          <w:tcPr>
            <w:tcW w:w="0" w:type="dxa"/>
            <w:vAlign w:val="bottom"/>
          </w:tcPr>
          <w:p>
            <w:pPr>
              <w:spacing w:after="0"/>
              <w:rPr>
                <w:sz w:val="1"/>
                <w:szCs w:val="1"/>
                <w:color w:val="auto"/>
              </w:rPr>
            </w:pP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-350520</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-334010</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-350520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-334010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-350520</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-334010</wp:posOffset>
            </wp:positionV>
            <wp:extent cx="857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-25400</wp:posOffset>
            </wp:positionV>
            <wp:extent cx="8572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-7620</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-25400</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option exercise history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In prior years, expected volatility was based on historical volatilities of similar entities within the Company’s industry which were commensurate with the Company’s expected term assumption. Currently, expected volatility is based on historical volatility information of the Company’s common stock since the Company’s initial public offering in 2015.</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relevant data used to determine the value of the stock option grants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Black-Scholes option valuation assumptions</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3.65 - 4.61%</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3.51 - 4.62%</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3.34 - 4.88%</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75 - 90%</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81 - 93%</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93 - 99%</w:t>
            </w:r>
          </w:p>
        </w:tc>
        <w:tc>
          <w:tcPr>
            <w:tcW w:w="100" w:type="dxa"/>
            <w:vAlign w:val="bottom"/>
            <w:shd w:val="clear" w:color="auto" w:fill="CFF0FC"/>
          </w:tcPr>
          <w:p>
            <w:pPr>
              <w:spacing w:after="0"/>
              <w:rPr>
                <w:sz w:val="18"/>
                <w:szCs w:val="18"/>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expected term</w:t>
            </w:r>
          </w:p>
        </w:tc>
        <w:tc>
          <w:tcPr>
            <w:tcW w:w="1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5.0 - 6.11 years</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5.0 - 6.11 years</w:t>
            </w:r>
          </w:p>
        </w:tc>
        <w:tc>
          <w:tcPr>
            <w:tcW w:w="220" w:type="dxa"/>
            <w:vAlign w:val="bottom"/>
          </w:tcPr>
          <w:p>
            <w:pPr>
              <w:spacing w:after="0"/>
              <w:rPr>
                <w:sz w:val="20"/>
                <w:szCs w:val="20"/>
                <w:color w:val="auto"/>
              </w:rPr>
            </w:pPr>
          </w:p>
        </w:tc>
        <w:tc>
          <w:tcPr>
            <w:tcW w:w="17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5.0 - 6.11 years</w:t>
            </w:r>
          </w:p>
        </w:tc>
      </w:tr>
    </w:tbl>
    <w:p>
      <w:pPr>
        <w:spacing w:after="0" w:line="17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was $89.06, $64.88, and $53.07 per option for the years ended December 31, 2025, 2024 and 2023, respectively. As of December 31, 2025, there was $99.1 million of total unrecognized compensation cost related to unvested stock options which is expected to be recognized over a weighted average period of 1.9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fair value of the RSUs is recognized as an expense ratably over the vesting period of four years. As of December 31, 2025, total compensation cost not yet recognized related to nonvested RSUs was $71.4 million, which is expected to be recognized over a weighted-average period of 2.4 years. The intrinsic value of RSUs lapsed during the years ended December 31, 2025, 2024 and 2023 was $20.0 million, $10.3 million, and $4.9 million, respectively.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RSU activity for the year ended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6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906,944</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(321,470)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1,012,809</w:t>
            </w:r>
          </w:p>
        </w:tc>
        <w:tc>
          <w:tcPr>
            <w:tcW w:w="1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Units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In February 2025, the Company granted PSUs to the executive officers. Vesting of the PSUs is subject to achievement of specified performance goals, which include achieving revenue, clinical, and regulatory targets. The actual number of common shares that would ultimately be issued is calculated by multiplying the number of PSUs granted by a payout multiplier ranging from 0 to 2. Achievement of the performance goals will ultimately be determined by the Compensation Committee or the Board at the end of the vesting term, which is approximately 3 years from the grant date. As of December 31, 2025, total compensation cost not yet recognized related to nonvested PSUs was $4.4 million, which is expected to be recognized over a weighted-average period of 2.2 years.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PSU activity for the year ended December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1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64,281</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the Company’s common stock. The purchase price is equal to 85% of the lower of the closing price of the Company’s common stock on (1) the first day of the offering period or (2) the last day of the offering period. The ESPP has consecutive offering periods that begin on or about June 1st of each year with a duration of 12 months. The Company commenced the second offering period pursuant to the ESPP on June 1, 2024, and such offering ended on May 31, 2025.</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59,607 common shares have been purchased and issued pursuant to the ESPP, and $2.2 million of expense was recorded. During the year ended December 31, 2024, 52,368 common shares have been purchased and issued pursuant to the ESPP, and $1.6 million of expense was recorded. During the year ended December 31, 2023, no shares of common stock were purchased pursuant to the ESPP, and $1.1 million of expense was recorded.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88" w:lineRule="exact"/>
        <w:rPr>
          <w:sz w:val="20"/>
          <w:szCs w:val="20"/>
          <w:color w:val="auto"/>
        </w:rPr>
      </w:pPr>
    </w:p>
    <w:p>
      <w:pPr>
        <w:ind w:left="76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26,828</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21,417</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14,080</w:t>
            </w:r>
          </w:p>
        </w:tc>
        <w:tc>
          <w:tcPr>
            <w:tcW w:w="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6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66,924</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63,801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48,540</w:t>
            </w:r>
          </w:p>
        </w:tc>
        <w:tc>
          <w:tcPr>
            <w:tcW w:w="100" w:type="dxa"/>
            <w:vAlign w:val="bottom"/>
          </w:tcPr>
          <w:p>
            <w:pPr>
              <w:spacing w:after="0"/>
              <w:rPr>
                <w:sz w:val="18"/>
                <w:szCs w:val="18"/>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93,752</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85,218</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62,620</w:t>
            </w:r>
          </w:p>
        </w:tc>
        <w:tc>
          <w:tcPr>
            <w:tcW w:w="10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capitalized into inventory totaled $1.5 million, $1.3 million, and $2.7 million for the years ended December 31, 2025, 2024 and 2023, respectively. Capitalized stock-based compensation is recognized as an expense in cost of product sales when the related product is sold or in selling, general and administrative expense when the related product is dispensed as a physician sample.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Warrants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years ended December 31, 2025, 2024, and 2023:</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1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50,796</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28,424</w:t>
            </w: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74.75</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79,220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6"/>
              </w:rPr>
              <w:t>79,220</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0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79,220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56.80</w:t>
            </w:r>
          </w:p>
        </w:tc>
        <w:tc>
          <w:tcPr>
            <w:tcW w:w="0" w:type="dxa"/>
            <w:vAlign w:val="bottom"/>
          </w:tcPr>
          <w:p>
            <w:pPr>
              <w:spacing w:after="0"/>
              <w:rPr>
                <w:sz w:val="1"/>
                <w:szCs w:val="1"/>
                <w:color w:val="auto"/>
              </w:rPr>
            </w:pPr>
          </w:p>
        </w:tc>
      </w:tr>
      <w:tr>
        <w:trPr>
          <w:trHeight w:val="425"/>
        </w:trPr>
        <w:tc>
          <w:tcPr>
            <w:tcW w:w="7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-1567815</wp:posOffset>
            </wp:positionV>
            <wp:extent cx="1111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-1285240</wp:posOffset>
            </wp:positionV>
            <wp:extent cx="1111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-710565</wp:posOffset>
            </wp:positionV>
            <wp:extent cx="1111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-427990</wp:posOffset>
            </wp:positionV>
            <wp:extent cx="1111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In connection with the entry into the Third Amendment to the Hercules Loan Agreement, which the Company entered into in January 2023, Hercules received warrants to purchase an aggregate of 18,724 shares of the Company’s common stock at an exercise price of $55.01 per share, and in connection with the draw down of the Tranche 1C Advance, Hercules received warrants to purchase 9,700 shares of the Company’s common stock at an exercise price of $77.31 per share (collectively, the “2023 warrants”). In connection with the entry into the Second Amendment, Hercules received warrants to purchase an aggregate of 35,255 shares of the Company’s common stock at an exercise price of $31.91 per share (the “2022 warrants”), and in connection with the first advance of the 2020 Term Loan, Hercules received warrants to purchase an aggregate of 15,541 shares of the Company’s common stock at an exercise price of $80.43 per share (the “2020 warrants”).</w:t>
      </w:r>
    </w:p>
    <w:p>
      <w:pPr>
        <w:spacing w:after="0" w:line="189"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The 2023 warrants, 2022 warrants and 2020 warrants were priced using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$1.6 million for the 2023 warrants, $0.8 million for the 2022 warrants and $0.9 million for the 2020 warrants at the time of issuance, which was determined using the Black-Scholes option-pricing model, was recorded as additional paid-in capital and reduced the carrying value of the debt. Upon full repayment of the Company’s obligations under the Hercules Loan Agreement, no additional warrants are issuable under the Hercules Loan Agreement.</w:t>
      </w:r>
    </w:p>
    <w:p>
      <w:pPr>
        <w:spacing w:after="0" w:line="3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initial fair value of warrants outstanding was estimated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with the following assumptions: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Black-Scholes option valuation assumptions</w:t>
            </w:r>
          </w:p>
        </w:tc>
        <w:tc>
          <w:tcPr>
            <w:tcW w:w="390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20" w:type="dxa"/>
            <w:vAlign w:val="bottom"/>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gridSpan w:val="2"/>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73"/>
        </w:trPr>
        <w:tc>
          <w:tcPr>
            <w:tcW w:w="4080" w:type="dxa"/>
            <w:vAlign w:val="bottom"/>
            <w:tcBorders>
              <w:bottom w:val="single" w:sz="8" w:color="auto"/>
            </w:tcBorders>
            <w:vMerge w:val="continue"/>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15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90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3.6 - 3.9%</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3900" w:type="dxa"/>
            <w:vAlign w:val="bottom"/>
            <w:gridSpan w:val="3"/>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92 - 95%</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contractual term</w:t>
            </w:r>
          </w:p>
        </w:tc>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 years</w:t>
            </w:r>
          </w:p>
        </w:tc>
        <w:tc>
          <w:tcPr>
            <w:tcW w:w="100" w:type="dxa"/>
            <w:vAlign w:val="bottom"/>
          </w:tcPr>
          <w:p>
            <w:pPr>
              <w:spacing w:after="0"/>
              <w:rPr>
                <w:sz w:val="20"/>
                <w:szCs w:val="20"/>
                <w:color w:val="auto"/>
              </w:rPr>
            </w:pPr>
          </w:p>
        </w:tc>
        <w:tc>
          <w:tcPr>
            <w:tcW w:w="15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 years</w:t>
            </w:r>
          </w:p>
        </w:tc>
        <w:tc>
          <w:tcPr>
            <w:tcW w:w="120" w:type="dxa"/>
            <w:vAlign w:val="bottom"/>
          </w:tcPr>
          <w:p>
            <w:pPr>
              <w:spacing w:after="0"/>
              <w:rPr>
                <w:sz w:val="20"/>
                <w:szCs w:val="20"/>
                <w:color w:val="auto"/>
              </w:rPr>
            </w:pPr>
          </w:p>
        </w:tc>
        <w:tc>
          <w:tcPr>
            <w:tcW w:w="152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697"/>
        </w:trPr>
        <w:tc>
          <w:tcPr>
            <w:tcW w:w="4080" w:type="dxa"/>
            <w:vAlign w:val="bottom"/>
          </w:tcPr>
          <w:p>
            <w:pPr>
              <w:spacing w:after="0"/>
              <w:rPr>
                <w:sz w:val="24"/>
                <w:szCs w:val="24"/>
                <w:color w:val="auto"/>
              </w:rPr>
            </w:pPr>
          </w:p>
        </w:tc>
        <w:tc>
          <w:tcPr>
            <w:tcW w:w="3900" w:type="dxa"/>
            <w:vAlign w:val="bottom"/>
            <w:gridSpan w:val="3"/>
          </w:tcPr>
          <w:p>
            <w:pPr>
              <w:jc w:val="right"/>
              <w:ind w:right="2096"/>
              <w:spacing w:after="0"/>
              <w:rPr>
                <w:sz w:val="20"/>
                <w:szCs w:val="20"/>
                <w:color w:val="auto"/>
              </w:rPr>
            </w:pPr>
            <w:r>
              <w:rPr>
                <w:rFonts w:ascii="Times New Roman" w:cs="Times New Roman" w:eastAsia="Times New Roman" w:hAnsi="Times New Roman"/>
                <w:sz w:val="18"/>
                <w:szCs w:val="18"/>
                <w:color w:val="auto"/>
              </w:rPr>
              <w:t>F-31</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Common Share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(183,174)</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(287,216)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(239,238)</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49,747,178</w:t>
            </w:r>
          </w:p>
        </w:tc>
        <w:tc>
          <w:tcPr>
            <w:tcW w:w="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47,914,253</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45,425,212</w:t>
            </w:r>
          </w:p>
        </w:tc>
      </w:tr>
      <w:tr>
        <w:trPr>
          <w:trHeight w:val="20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common share—basic and diluted</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1028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-170815</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 average shares outstanding, as they would be anti-dilutive: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r>
      <w:tr>
        <w:trPr>
          <w:trHeight w:val="142"/>
        </w:trPr>
        <w:tc>
          <w:tcPr>
            <w:tcW w:w="6600" w:type="dxa"/>
            <w:vAlign w:val="bottom"/>
          </w:tcPr>
          <w:p>
            <w:pPr>
              <w:spacing w:after="0"/>
              <w:rPr>
                <w:sz w:val="12"/>
                <w:szCs w:val="12"/>
                <w:color w:val="auto"/>
              </w:rPr>
            </w:pPr>
          </w:p>
        </w:tc>
        <w:tc>
          <w:tcPr>
            <w:tcW w:w="146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46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480" w:type="dxa"/>
            <w:vAlign w:val="bottom"/>
            <w:tcBorders>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7,034,278</w:t>
            </w:r>
          </w:p>
        </w:tc>
        <w:tc>
          <w:tcPr>
            <w:tcW w:w="15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8,439,121</w:t>
            </w:r>
          </w:p>
        </w:tc>
        <w:tc>
          <w:tcPr>
            <w:tcW w:w="160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8,462,294</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1,507,374</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906,944</w:t>
            </w:r>
          </w:p>
        </w:tc>
        <w:tc>
          <w:tcPr>
            <w:tcW w:w="1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804,150</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14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64,281</w:t>
            </w: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79,220</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79,220</w:t>
            </w:r>
          </w:p>
        </w:tc>
        <w:tc>
          <w:tcPr>
            <w:tcW w:w="1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79,220</w:t>
            </w:r>
          </w:p>
        </w:tc>
      </w:tr>
      <w:tr>
        <w:trPr>
          <w:trHeight w:val="216"/>
        </w:trPr>
        <w:tc>
          <w:tcPr>
            <w:tcW w:w="6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14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79,525</w:t>
            </w:r>
          </w:p>
        </w:tc>
        <w:tc>
          <w:tcPr>
            <w:tcW w:w="12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64,886</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56,760</w:t>
            </w:r>
          </w:p>
        </w:tc>
      </w:tr>
      <w:tr>
        <w:trPr>
          <w:trHeight w:val="210"/>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8,764,678</w:t>
            </w:r>
          </w:p>
        </w:tc>
        <w:tc>
          <w:tcPr>
            <w:tcW w:w="158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9,490,171</w:t>
            </w:r>
          </w:p>
        </w:tc>
        <w:tc>
          <w:tcPr>
            <w:tcW w:w="16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9,402,424</w:t>
            </w:r>
          </w:p>
        </w:tc>
      </w:tr>
      <w:tr>
        <w:trPr>
          <w:trHeight w:val="20"/>
        </w:trPr>
        <w:tc>
          <w:tcPr>
            <w:tcW w:w="66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-170815</wp:posOffset>
            </wp:positionV>
            <wp:extent cx="685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Revenues</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Company sells AUVELITY, SUNOSI, and SYMBRAVO in the United States through the Distributors. The Company also sells SUNOSI to Distributors in Canada and on a product supply basis to Pharmanovia. SUNOSI is subsequently sold by Pharmanovia in certain ex-U.S. markets. For the year ended December 31, 2025, the Company’s three largest customers represented approximately 35%, 31%, and 25% of the Company’s gross product sales.</w:t>
      </w:r>
    </w:p>
    <w:p>
      <w:pPr>
        <w:spacing w:after="0" w:line="180"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License revenue consists of the recognition of the upfront payment the Company received from Pharmanovia in February 2023, royalty revenue related to the sales of SUNOSI by Pharmanovia in certain ex-U.S. markets, and a milestone revenue of $0.5 million related to an achievement of a regulatory milestone in China for SUNOSI from SK recorded in the fourth quarter of 2024.</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product: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0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2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Auvelity</w:t>
            </w:r>
          </w:p>
        </w:tc>
        <w:tc>
          <w:tcPr>
            <w:tcW w:w="2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507,093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291,378</w:t>
            </w:r>
          </w:p>
        </w:tc>
        <w:tc>
          <w:tcPr>
            <w:tcW w:w="18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130,072</w:t>
            </w:r>
          </w:p>
        </w:tc>
        <w:tc>
          <w:tcPr>
            <w:tcW w:w="100" w:type="dxa"/>
            <w:vAlign w:val="bottom"/>
          </w:tcPr>
          <w:p>
            <w:pPr>
              <w:spacing w:after="0"/>
              <w:rPr>
                <w:sz w:val="18"/>
                <w:szCs w:val="18"/>
                <w:color w:val="auto"/>
              </w:rPr>
            </w:pPr>
          </w:p>
        </w:tc>
      </w:tr>
      <w:tr>
        <w:trPr>
          <w:trHeight w:val="216"/>
        </w:trPr>
        <w:tc>
          <w:tcPr>
            <w:tcW w:w="40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Sunosi</w:t>
            </w:r>
          </w:p>
        </w:tc>
        <w:tc>
          <w:tcPr>
            <w:tcW w:w="2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120,093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90,299</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72,388</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Symbravo</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25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633,796</w:t>
            </w: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100" w:type="dxa"/>
            <w:vAlign w:val="bottom"/>
            <w:shd w:val="clear" w:color="auto" w:fill="CFF0F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Sunosi license revenue</w:t>
            </w:r>
          </w:p>
        </w:tc>
        <w:tc>
          <w:tcPr>
            <w:tcW w:w="2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tcPr>
          <w:p>
            <w:pPr>
              <w:spacing w:after="0"/>
              <w:rPr>
                <w:sz w:val="18"/>
                <w:szCs w:val="18"/>
                <w:color w:val="auto"/>
              </w:rPr>
            </w:pPr>
          </w:p>
        </w:tc>
      </w:tr>
      <w:tr>
        <w:trPr>
          <w:trHeight w:val="216"/>
        </w:trPr>
        <w:tc>
          <w:tcPr>
            <w:tcW w:w="4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Sunosi royalty and milestone revenue</w:t>
            </w:r>
          </w:p>
        </w:tc>
        <w:tc>
          <w:tcPr>
            <w:tcW w:w="2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638,496</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18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10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4080" w:type="dxa"/>
            <w:vAlign w:val="bottom"/>
          </w:tcPr>
          <w:p>
            <w:pPr>
              <w:spacing w:after="0"/>
              <w:rPr>
                <w:sz w:val="24"/>
                <w:szCs w:val="24"/>
                <w:color w:val="auto"/>
              </w:rPr>
            </w:pPr>
          </w:p>
        </w:tc>
        <w:tc>
          <w:tcPr>
            <w:tcW w:w="286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color w:val="auto"/>
              </w:rPr>
              <w:t>F-32</w:t>
            </w: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-1122045</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-1122045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summary of total revenues by geographic location:</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44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sales, net</w:t>
            </w:r>
          </w:p>
        </w:tc>
        <w:tc>
          <w:tcPr>
            <w:tcW w:w="2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2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628,617</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378,159</w:t>
            </w:r>
          </w:p>
        </w:tc>
        <w:tc>
          <w:tcPr>
            <w:tcW w:w="18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197,224</w:t>
            </w:r>
          </w:p>
        </w:tc>
        <w:tc>
          <w:tcPr>
            <w:tcW w:w="100" w:type="dxa"/>
            <w:vAlign w:val="bottom"/>
          </w:tcPr>
          <w:p>
            <w:pPr>
              <w:spacing w:after="0"/>
              <w:rPr>
                <w:sz w:val="18"/>
                <w:szCs w:val="18"/>
                <w:color w:val="auto"/>
              </w:rPr>
            </w:pPr>
          </w:p>
        </w:tc>
      </w:tr>
      <w:tr>
        <w:trPr>
          <w:trHeight w:val="216"/>
        </w:trPr>
        <w:tc>
          <w:tcPr>
            <w:tcW w:w="44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2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5,179</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product sales, net</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633,796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202,460</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2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2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00" w:type="dxa"/>
            <w:vAlign w:val="bottom"/>
          </w:tcPr>
          <w:p>
            <w:pPr>
              <w:spacing w:after="0"/>
              <w:rPr>
                <w:sz w:val="18"/>
                <w:szCs w:val="18"/>
                <w:color w:val="auto"/>
              </w:rPr>
            </w:pPr>
          </w:p>
        </w:tc>
      </w:tr>
      <w:tr>
        <w:trPr>
          <w:trHeight w:val="216"/>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Royalty and milestone revenue</w:t>
            </w:r>
          </w:p>
        </w:tc>
        <w:tc>
          <w:tcPr>
            <w:tcW w:w="2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Outside of the United States</w:t>
            </w:r>
          </w:p>
        </w:tc>
        <w:tc>
          <w:tcPr>
            <w:tcW w:w="2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8"/>
                <w:szCs w:val="18"/>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638,496</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18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100" w:type="dxa"/>
            <w:vAlign w:val="bottom"/>
            <w:shd w:val="clear" w:color="auto" w:fill="CFF0FC"/>
          </w:tcPr>
          <w:p>
            <w:pPr>
              <w:spacing w:after="0"/>
              <w:rPr>
                <w:sz w:val="19"/>
                <w:szCs w:val="19"/>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-864870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-864870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product sales, net, include adjustments for provisions for product sales made in previous fiscal years resulting from changes in estimates of $1.0 million for AUVELITY and $0.9 million for SUNOSI. For the year ended December 31, 2024, product sales, net, include adjustments for provisions for product sales made in previous fiscal years resulting from changes in estimates of $0.8 million for AUVELITY and $0.6 million for SUNOSI.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Pharmanovia</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In February 2023, Axsome Malta, a Malta limited company and a wholly owned subsidiary of the Company, entered into an exclusive license agreement with Pharmanovia (the “Pharmanovia License Agreement”) to commercialize and further develop SUNOSI in Europe and certain countries in the Middle East and North Africa (the “Territory”). Under the terms of the Pharmanovia License Agreement, the Company retains its existing interest in SUNOSI intellectual property and licenses those rights in the Territory to Pharmanovia. Pharmanovia is solely responsible for the clinical development and commercialization of SUNOSI in the Territory. The Company will continue to manufacture SUNOSI and provide product supply to Pharmanovia for an indefinite period of time, and the Company will recognize revenue as a component of product sales, net, when product is supplied to Pharmanovia.</w:t>
      </w:r>
    </w:p>
    <w:p>
      <w:pPr>
        <w:spacing w:after="0" w:line="187" w:lineRule="exact"/>
        <w:rPr>
          <w:sz w:val="20"/>
          <w:szCs w:val="20"/>
          <w:color w:val="auto"/>
        </w:rPr>
      </w:pPr>
    </w:p>
    <w:p>
      <w:pPr>
        <w:jc w:val="both"/>
        <w:ind w:right="300" w:firstLine="749"/>
        <w:spacing w:after="0" w:line="266" w:lineRule="auto"/>
        <w:rPr>
          <w:sz w:val="20"/>
          <w:szCs w:val="20"/>
          <w:color w:val="auto"/>
        </w:rPr>
      </w:pPr>
      <w:r>
        <w:rPr>
          <w:rFonts w:ascii="Times New Roman" w:cs="Times New Roman" w:eastAsia="Times New Roman" w:hAnsi="Times New Roman"/>
          <w:sz w:val="18"/>
          <w:szCs w:val="18"/>
          <w:color w:val="auto"/>
        </w:rPr>
        <w:t>In consideration for entering the Pharmanovia License Agreement, the Company received a non-refundable upfront payment of €62.0 million ($65.7 million). The Company also will receive a royalty percentage in the mid-twenties on SUNOSI net sales in the Territory and is eligible to receive sales-based milestone payments totaling up to €94.5 million.</w:t>
      </w:r>
    </w:p>
    <w:p>
      <w:pPr>
        <w:spacing w:after="0" w:line="176" w:lineRule="exact"/>
        <w:rPr>
          <w:sz w:val="20"/>
          <w:szCs w:val="20"/>
          <w:color w:val="auto"/>
        </w:rPr>
      </w:pPr>
    </w:p>
    <w:p>
      <w:pPr>
        <w:ind w:right="20" w:firstLine="794"/>
        <w:spacing w:after="0" w:line="253" w:lineRule="auto"/>
        <w:rPr>
          <w:sz w:val="20"/>
          <w:szCs w:val="20"/>
          <w:color w:val="auto"/>
        </w:rPr>
      </w:pPr>
      <w:r>
        <w:rPr>
          <w:rFonts w:ascii="Times New Roman" w:cs="Times New Roman" w:eastAsia="Times New Roman" w:hAnsi="Times New Roman"/>
          <w:sz w:val="18"/>
          <w:szCs w:val="18"/>
          <w:color w:val="auto"/>
        </w:rPr>
        <w:t>The Company evaluated the Pharmanovia License Agreement under ASC 606 and concluded that Pharmanovia represents a customer in the transaction. The initial transaction price consisted of the non-refundable upfront payment, which was recognized as License Revenue in the first quarter of 2023 upon transfer of the license to Pharmanovia, as the requirement for revenue recognition under ASC 606 were met.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in the period when the related sales threshold is met. All other development or regulatory milestones will be recognized as revenue immediately in the period the underlying milestone is achieved. Any consideration related to sales-based royalties will be recognized when the related sales occur. For the year ended December 31, 2025, the Company recognized royalty revenue of $4.7 million related to Pharmanovia’s sales of SUNOSI. For the year ended December 31, 2024, the Company recognized royalty revenue of $3.5 million related to Pharmanovia’s sales of SUNOSI, and $0.5 million related to an achievement of a regulatory milestone in China for SUNOSI from SK in the fourth quarter of 2024. No other development or sales-based milestones were recognized during the year ended December 31, 2025.</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Pfizer</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0"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December 31, 2020.</w:t>
      </w:r>
    </w:p>
    <w:p>
      <w:pPr>
        <w:spacing w:after="0" w:line="187"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years ended December 31, 2025 and 2024, no milestone payments or royalties were paid to Pfizer by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Agreements with Antecip</w:t>
      </w:r>
    </w:p>
    <w:p>
      <w:pPr>
        <w:spacing w:after="0" w:line="227"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In 2012, the Company entered into three exclusive license agreements with Antecip, an entity owned by the Company’s Chief Executive Officer and Chairman of the Board, Herriot Tabuteau, M.D., in which the Company was granted exclusive licenses to develop, manufacture and commercialize Antecip’s patents and applications related to the development of AXS-05 (now marketed as AUVELITY) and two product candidates no longer under active development, anywhere in the world for human therapeutic, veterinary, and diagnostic use. Pursuant to the agreements, the Company is required to use commercially reasonable efforts to develop, obtain regulatory approval for and commercialize these product candidates. Under the terms of the agreements, the Company is required to pay to Antecip a royalty equal to 3.0% for AXS-05 (and 1.5% or 4.5% for the other two product candidates no longer under active development),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The Company began recording royalty payments to Antecip along with the initiation of sales of AUVELITY (the components of which are referred to as “AXS-05”) in the fourth quarter of 2022. The Company recorded royalty expense of $15.2 million and $8.7 million for the years ended December 31, 2025 and 2024, respectively, which equal 3.0% of net sales of AUVELITY for those respective years. This is considered to be a related party transaction.</w:t>
      </w:r>
    </w:p>
    <w:p>
      <w:pPr>
        <w:spacing w:after="0" w:line="193"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Blackstone Loan Agreement, Antecip consented to the collateral assignment of one of the license agreements, among other things, under a direct agreement among the Company, Antecip, a related party, and Blackstone. This new direct agreement superseded the prior direct agreement among us, Antecip, a related party, and Hercules that had been entered into in connection with the Hercules Loan Agreement, which terminated automatically upon repayment of our Hercules loan obligations in full on May 8, 2025.</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Acquisitions</w:t>
      </w:r>
    </w:p>
    <w:p>
      <w:pPr>
        <w:spacing w:after="0" w:line="229"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18"/>
          <w:szCs w:val="18"/>
          <w:color w:val="auto"/>
        </w:rPr>
        <w:t>In November 2025, the Company acquired all the outstanding shares of Baergic. The acquisition provided the Company with global rights to AZD7325 (AXS-17), an oral GABA</w:t>
      </w:r>
      <w:r>
        <w:rPr>
          <w:rFonts w:ascii="Times New Roman" w:cs="Times New Roman" w:eastAsia="Times New Roman" w:hAnsi="Times New Roman"/>
          <w:sz w:val="24"/>
          <w:szCs w:val="24"/>
          <w:color w:val="auto"/>
          <w:vertAlign w:val="subscript"/>
        </w:rPr>
        <w:t>A</w:t>
      </w:r>
      <w:r>
        <w:rPr>
          <w:rFonts w:ascii="Times New Roman" w:cs="Times New Roman" w:eastAsia="Times New Roman" w:hAnsi="Times New Roman"/>
          <w:sz w:val="18"/>
          <w:szCs w:val="18"/>
          <w:color w:val="auto"/>
        </w:rPr>
        <w:t xml:space="preserve"> receptor α2,3 subtype-selective PAM, originally licensed from AstraZeneca AB (AZ), for the potential treatment of epilepsy. The Company also assumed the AZD7325 license agreement between Baergic and AZ. The former Baergic shareholders and AZ are also eligible to receive contingent development, regulatory and sales-based milestone payments of up to $159.5 million and tiered low double-digit to mid-teen royalties on potential global net sales of AZD7325.</w:t>
      </w:r>
    </w:p>
    <w:p>
      <w:pPr>
        <w:spacing w:after="0" w:line="196"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The Company accounted for the transaction as an acquisition of an asset, as substantially all the fair value of the assets acquired were concentrated in AZD7325. The Company recorded a charge of $2.3 million in research and development expense, inclusive of the shares acquired, license amendment costs, and direct transaction costs.</w:t>
      </w:r>
    </w:p>
    <w:p>
      <w:pPr>
        <w:spacing w:after="0" w:line="176"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In December 2025, the Company acquired the global rights to deuterium-stabilized S-bupropion from DeuteRx. DeuteRx is eligible to receive contingent development, regulatory and sales-based milestones of up to $523 million and a tiered low single-digit royalty on potential global net sales.</w:t>
      </w:r>
    </w:p>
    <w:p>
      <w:pPr>
        <w:spacing w:after="0" w:line="162"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The Company accounted for the transaction as an acquisition of an asset, as substantially all the fair value of the assets acquired were concentrated in deuterium-stabilized S-bupropion. The Company recorded a charge of $2.6 million in research and development expense, inclusive of the upfront payment and direct transaction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Royalty Agreements</w:t>
      </w:r>
    </w:p>
    <w:p>
      <w:pPr>
        <w:spacing w:after="0" w:line="229"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On March 25, 2022, the Company entered into an Asset Purchase Agreement (the “Purchase Agreement”) with Jazz, pursuant to which the Company was to acquire commercial and development rights with respect to SUNOSI from Jazz in certain U.S. and ex-U.S. markets. The Acquisition occurred in two separate closings. The sale and purchase of specified initial assets contemplated by the Purchase Agreement occurred on May 9, 2022 (the “Initial Closing”), following the satisfaction or waiver of the closing conditions under the Purchase Agreement. The sale and purchase of specified ex-U.S. assets contemplated by the Purchase Agreement occurred on November 14, 2022, following the satisfaction or waiver of the closing conditions under the Purchase Agreement (the “Final Closing”). The Company accounted for the Initial Closing as a business combination using the acquisition method of accounting, and the Company accounted for the Final Closing as an asset acquisition.</w:t>
      </w:r>
    </w:p>
    <w:p>
      <w:pPr>
        <w:spacing w:after="0" w:line="18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Pursuant to the Purchase Agreement, the Company agreed to make non-refundable, non-creditable royalty payments to Jazz equal to a (A) high single-digit royalty for any current indication, or (B) mid single-digit royalty for any future indication of net sales in the U.S. Territory made during the applicable royalty term. There are no royalty payments due to Jazz for net sales outside of the U.S. Territory.</w:t>
      </w:r>
    </w:p>
    <w:p>
      <w:pPr>
        <w:spacing w:after="0" w:line="17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At the Initial Closing, the Company assumed all of the commitments of Jazz to SK and Aerial. SK is the originator of SUNOSI and retains rights in 12 Asian markets, including China, Korea and Japan. In 2014, Jazz acquired from Aerial worldwide rights to SUNOSI excluding those Asian markets stated previously. The assumed commitments to SK and Aerial include single-digit tiered royalties based on the Company’s sales of SUNOSI, and additionally, the Company is committed to pay up to $162.5 million based on revenue milestones and $1.0 million based on development milestones. In the fourth quarter of 2024, the Company recorded a $2.5 million expense for the achievement of a sales-based milestone related to world-wide SUNOSI sales. No other development or sales-based milestones were recognized during the year ended December 31, 2025.</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elected to prospectively adopt the guidance in ASU 2023-09. A reconciliation of the U.S. federal statutory rate of 21%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tax rate for the year ended December 31, 2025 in accordance with the guidance in ASU 2023-09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6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73"/>
        </w:trPr>
        <w:tc>
          <w:tcPr>
            <w:tcW w:w="76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5"/>
                <w:szCs w:val="15"/>
                <w:color w:val="auto"/>
              </w:rPr>
            </w:pPr>
          </w:p>
        </w:tc>
        <w:tc>
          <w:tcPr>
            <w:tcW w:w="16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5"/>
                <w:szCs w:val="15"/>
                <w:color w:val="auto"/>
              </w:rPr>
            </w:pPr>
          </w:p>
        </w:tc>
      </w:tr>
      <w:tr>
        <w:trPr>
          <w:trHeight w:val="209"/>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(38,479)</w:t>
            </w:r>
          </w:p>
        </w:tc>
        <w:tc>
          <w:tcPr>
            <w:tcW w:w="1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6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State and local income tax, net of federal income tax effect</w:t>
            </w:r>
            <w:r>
              <w:rPr>
                <w:rFonts w:ascii="Times New Roman" w:cs="Times New Roman" w:eastAsia="Times New Roman" w:hAnsi="Times New Roman"/>
                <w:sz w:val="24"/>
                <w:szCs w:val="24"/>
                <w:color w:val="auto"/>
                <w:vertAlign w:val="superscript"/>
              </w:rPr>
              <w:t>(a)</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24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Malta</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(7,024)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2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Effect of rates different than statutory</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11,009</w:t>
            </w:r>
          </w:p>
        </w:tc>
        <w:tc>
          <w:tcPr>
            <w:tcW w:w="24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R&amp;D tax credit</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17,941</w:t>
            </w:r>
          </w:p>
        </w:tc>
        <w:tc>
          <w:tcPr>
            <w:tcW w:w="24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Meals &amp; entertainment expense</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162(m) Limitation</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24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7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extinguishment loss</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4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(19,963)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r>
      <w:tr>
        <w:trPr>
          <w:trHeight w:val="216"/>
        </w:trPr>
        <w:tc>
          <w:tcPr>
            <w:tcW w:w="7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(498)</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CFF0FC"/>
          </w:tcPr>
          <w:p>
            <w:pPr>
              <w:spacing w:after="0"/>
              <w:rPr>
                <w:sz w:val="18"/>
                <w:szCs w:val="18"/>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Total tax benefit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(530)</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7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300" w:hanging="292"/>
        <w:spacing w:after="0"/>
        <w:tabs>
          <w:tab w:leader="none" w:pos="3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Texas make up the majority (more than 50 percent) of the tax effect in this category.</w:t>
      </w:r>
    </w:p>
    <w:p>
      <w:pPr>
        <w:spacing w:after="0" w:line="201" w:lineRule="exact"/>
        <w:rPr>
          <w:sz w:val="20"/>
          <w:szCs w:val="20"/>
          <w:color w:val="auto"/>
        </w:rPr>
      </w:pPr>
    </w:p>
    <w:p>
      <w:pPr>
        <w:ind w:right="300" w:firstLine="749"/>
        <w:spacing w:after="0" w:line="282" w:lineRule="auto"/>
        <w:rPr>
          <w:sz w:val="20"/>
          <w:szCs w:val="20"/>
          <w:color w:val="auto"/>
        </w:rPr>
      </w:pPr>
      <w:r>
        <w:rPr>
          <w:rFonts w:ascii="Times New Roman" w:cs="Times New Roman" w:eastAsia="Times New Roman" w:hAnsi="Times New Roman"/>
          <w:sz w:val="18"/>
          <w:szCs w:val="18"/>
          <w:color w:val="auto"/>
        </w:rPr>
        <w:t>A reconciliation of the U.S. federal statutory rate of 21% to the Company’s effective rate for the years ended December 31, 2024 and 2023 in accordance with the guidance prior to the adoption of ASU 2023-09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5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15"/>
                <w:szCs w:val="15"/>
                <w:color w:val="auto"/>
              </w:rPr>
            </w:pPr>
          </w:p>
        </w:tc>
        <w:tc>
          <w:tcPr>
            <w:tcW w:w="160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5"/>
                <w:szCs w:val="15"/>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50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Rate Differential</w:t>
            </w:r>
          </w:p>
        </w:tc>
        <w:tc>
          <w:tcPr>
            <w:tcW w:w="5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 - Excess tax benefit</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162(m) Limitation</w:t>
            </w:r>
          </w:p>
        </w:tc>
        <w:tc>
          <w:tcPr>
            <w:tcW w:w="50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permanent differences</w:t>
            </w:r>
          </w:p>
        </w:tc>
        <w:tc>
          <w:tcPr>
            <w:tcW w:w="5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credit</w:t>
            </w:r>
          </w:p>
        </w:tc>
        <w:tc>
          <w:tcPr>
            <w:tcW w:w="4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adjustment</w:t>
            </w:r>
          </w:p>
        </w:tc>
        <w:tc>
          <w:tcPr>
            <w:tcW w:w="4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8"/>
                <w:szCs w:val="18"/>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GILTI</w:t>
            </w:r>
          </w:p>
        </w:tc>
        <w:tc>
          <w:tcPr>
            <w:tcW w:w="31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1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(19.8)</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r>
      <w:tr>
        <w:trPr>
          <w:trHeight w:val="20"/>
        </w:trPr>
        <w:tc>
          <w:tcPr>
            <w:tcW w:w="44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12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r>
      <w:tr>
        <w:trPr>
          <w:trHeight w:val="696"/>
        </w:trPr>
        <w:tc>
          <w:tcPr>
            <w:tcW w:w="4420" w:type="dxa"/>
            <w:vAlign w:val="bottom"/>
            <w:tcBorders>
              <w:top w:val="single" w:sz="8" w:color="CFF0FC"/>
            </w:tcBorders>
          </w:tcPr>
          <w:p>
            <w:pPr>
              <w:spacing w:after="0"/>
              <w:rPr>
                <w:sz w:val="24"/>
                <w:szCs w:val="24"/>
                <w:color w:val="auto"/>
              </w:rPr>
            </w:pPr>
          </w:p>
        </w:tc>
        <w:tc>
          <w:tcPr>
            <w:tcW w:w="3120" w:type="dxa"/>
            <w:vAlign w:val="bottom"/>
            <w:tcBorders>
              <w:top w:val="single" w:sz="8" w:color="CFF0FC"/>
            </w:tcBorders>
          </w:tcPr>
          <w:p>
            <w:pPr>
              <w:ind w:left="1040"/>
              <w:spacing w:after="0"/>
              <w:rPr>
                <w:sz w:val="20"/>
                <w:szCs w:val="20"/>
                <w:color w:val="auto"/>
              </w:rPr>
            </w:pPr>
            <w:r>
              <w:rPr>
                <w:rFonts w:ascii="Times New Roman" w:cs="Times New Roman" w:eastAsia="Times New Roman" w:hAnsi="Times New Roman"/>
                <w:sz w:val="18"/>
                <w:szCs w:val="18"/>
                <w:color w:val="auto"/>
              </w:rPr>
              <w:t>F-36</w:t>
            </w:r>
          </w:p>
        </w:tc>
        <w:tc>
          <w:tcPr>
            <w:tcW w:w="158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r>
      <w:tr>
        <w:trPr>
          <w:trHeight w:val="763"/>
        </w:trPr>
        <w:tc>
          <w:tcPr>
            <w:tcW w:w="44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-976630</wp:posOffset>
            </wp:positionV>
            <wp:extent cx="1117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-959485</wp:posOffset>
            </wp:positionV>
            <wp:extent cx="1117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-976630</wp:posOffset>
            </wp:positionV>
            <wp:extent cx="14541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-959485</wp:posOffset>
            </wp:positionV>
            <wp:extent cx="14541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Income taxes paid (net of refunds received) for the year ended December 31, 2025 in accordance with the guidance in ASU 2023-09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140" w:type="dxa"/>
            <w:vAlign w:val="bottom"/>
            <w:shd w:val="clear" w:color="auto" w:fill="CFF0FC"/>
          </w:tcPr>
          <w:p>
            <w:pPr>
              <w:spacing w:after="0"/>
              <w:rPr>
                <w:sz w:val="18"/>
                <w:szCs w:val="18"/>
                <w:color w:val="auto"/>
              </w:rPr>
            </w:pPr>
          </w:p>
        </w:tc>
        <w:tc>
          <w:tcPr>
            <w:tcW w:w="152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w:t>
            </w:r>
          </w:p>
        </w:tc>
        <w:tc>
          <w:tcPr>
            <w:tcW w:w="14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right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7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deferred tax liabilities are as follows:</w:t>
            </w: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federal operating loss carryforward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121,365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120,149</w:t>
            </w:r>
          </w:p>
        </w:tc>
        <w:tc>
          <w:tcPr>
            <w:tcW w:w="0" w:type="dxa"/>
            <w:vAlign w:val="bottom"/>
          </w:tcPr>
          <w:p>
            <w:pPr>
              <w:spacing w:after="0"/>
              <w:rPr>
                <w:sz w:val="1"/>
                <w:szCs w:val="1"/>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foreign operating loss carryforward</w:t>
            </w:r>
          </w:p>
        </w:tc>
        <w:tc>
          <w:tcPr>
            <w:tcW w:w="140" w:type="dxa"/>
            <w:vAlign w:val="bottom"/>
            <w:shd w:val="clear" w:color="auto" w:fill="CFF0FC"/>
          </w:tcPr>
          <w:p>
            <w:pPr>
              <w:spacing w:after="0"/>
              <w:rPr>
                <w:sz w:val="18"/>
                <w:szCs w:val="18"/>
                <w:color w:val="auto"/>
              </w:rPr>
            </w:pPr>
          </w:p>
        </w:tc>
        <w:tc>
          <w:tcPr>
            <w:tcW w:w="1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14,064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Net state operating loss carryforward</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38,770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37,828</w:t>
            </w:r>
          </w:p>
        </w:tc>
        <w:tc>
          <w:tcPr>
            <w:tcW w:w="0" w:type="dxa"/>
            <w:vAlign w:val="bottom"/>
          </w:tcPr>
          <w:p>
            <w:pPr>
              <w:spacing w:after="0"/>
              <w:rPr>
                <w:sz w:val="1"/>
                <w:szCs w:val="1"/>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compensation</w:t>
            </w:r>
          </w:p>
        </w:tc>
        <w:tc>
          <w:tcPr>
            <w:tcW w:w="140" w:type="dxa"/>
            <w:vAlign w:val="bottom"/>
            <w:shd w:val="clear" w:color="auto" w:fill="CFF0FC"/>
          </w:tcPr>
          <w:p>
            <w:pPr>
              <w:spacing w:after="0"/>
              <w:rPr>
                <w:sz w:val="18"/>
                <w:szCs w:val="18"/>
                <w:color w:val="auto"/>
              </w:rPr>
            </w:pPr>
          </w:p>
        </w:tc>
        <w:tc>
          <w:tcPr>
            <w:tcW w:w="1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35,682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30,734</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27,409</w:t>
            </w:r>
          </w:p>
        </w:tc>
        <w:tc>
          <w:tcPr>
            <w:tcW w:w="0" w:type="dxa"/>
            <w:vAlign w:val="bottom"/>
          </w:tcPr>
          <w:p>
            <w:pPr>
              <w:spacing w:after="0"/>
              <w:rPr>
                <w:sz w:val="1"/>
                <w:szCs w:val="1"/>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5,692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3,458</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Charitable contribution</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COGS: Additional Section 263A costs</w:t>
            </w:r>
          </w:p>
        </w:tc>
        <w:tc>
          <w:tcPr>
            <w:tcW w:w="140" w:type="dxa"/>
            <w:vAlign w:val="bottom"/>
            <w:shd w:val="clear" w:color="auto" w:fill="CFF0FC"/>
          </w:tcPr>
          <w:p>
            <w:pPr>
              <w:spacing w:after="0"/>
              <w:rPr>
                <w:sz w:val="18"/>
                <w:szCs w:val="18"/>
                <w:color w:val="auto"/>
              </w:rPr>
            </w:pPr>
          </w:p>
        </w:tc>
        <w:tc>
          <w:tcPr>
            <w:tcW w:w="1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471 adjustment</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140" w:type="dxa"/>
            <w:vAlign w:val="bottom"/>
            <w:shd w:val="clear" w:color="auto" w:fill="CFF0FC"/>
          </w:tcPr>
          <w:p>
            <w:pPr>
              <w:spacing w:after="0"/>
              <w:rPr>
                <w:sz w:val="18"/>
                <w:szCs w:val="18"/>
                <w:color w:val="auto"/>
              </w:rPr>
            </w:pPr>
          </w:p>
        </w:tc>
        <w:tc>
          <w:tcPr>
            <w:tcW w:w="1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5,349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5,547</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9,180</w:t>
            </w:r>
          </w:p>
        </w:tc>
        <w:tc>
          <w:tcPr>
            <w:tcW w:w="0" w:type="dxa"/>
            <w:vAlign w:val="bottom"/>
          </w:tcPr>
          <w:p>
            <w:pPr>
              <w:spacing w:after="0"/>
              <w:rPr>
                <w:sz w:val="1"/>
                <w:szCs w:val="1"/>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Section 174 capitalization</w:t>
            </w:r>
          </w:p>
        </w:tc>
        <w:tc>
          <w:tcPr>
            <w:tcW w:w="140" w:type="dxa"/>
            <w:vAlign w:val="bottom"/>
            <w:shd w:val="clear" w:color="auto" w:fill="CFF0FC"/>
          </w:tcPr>
          <w:p>
            <w:pPr>
              <w:spacing w:after="0"/>
              <w:rPr>
                <w:sz w:val="18"/>
                <w:szCs w:val="18"/>
                <w:color w:val="auto"/>
              </w:rPr>
            </w:pPr>
          </w:p>
        </w:tc>
        <w:tc>
          <w:tcPr>
            <w:tcW w:w="1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60,203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42,343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7,443</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3,045</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excluding valuation allowance</w:t>
            </w: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284,570</w:t>
            </w:r>
          </w:p>
        </w:tc>
        <w:tc>
          <w:tcPr>
            <w:tcW w:w="0" w:type="dxa"/>
            <w:vAlign w:val="bottom"/>
          </w:tcPr>
          <w:p>
            <w:pPr>
              <w:spacing w:after="0"/>
              <w:rPr>
                <w:sz w:val="1"/>
                <w:szCs w:val="1"/>
                <w:color w:val="auto"/>
              </w:rPr>
            </w:pPr>
          </w:p>
        </w:tc>
      </w:tr>
      <w:tr>
        <w:trPr>
          <w:trHeight w:val="216"/>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481(a) adjustment</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asset</w:t>
            </w: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(6,741)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 excluding valuation allowance</w:t>
            </w: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216"/>
        </w:trPr>
        <w:tc>
          <w:tcPr>
            <w:tcW w:w="77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tcBorders>
              <w:right w:val="single" w:sz="8" w:color="CFF0FC"/>
            </w:tcBorders>
            <w:gridSpan w:val="2"/>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(316,110)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(282,157)</w:t>
            </w:r>
          </w:p>
        </w:tc>
        <w:tc>
          <w:tcPr>
            <w:tcW w:w="0" w:type="dxa"/>
            <w:vAlign w:val="bottom"/>
          </w:tcPr>
          <w:p>
            <w:pPr>
              <w:spacing w:after="0"/>
              <w:rPr>
                <w:sz w:val="1"/>
                <w:szCs w:val="1"/>
                <w:color w:val="auto"/>
              </w:rPr>
            </w:pPr>
          </w:p>
        </w:tc>
      </w:tr>
      <w:tr>
        <w:trPr>
          <w:trHeight w:val="230"/>
        </w:trPr>
        <w:tc>
          <w:tcPr>
            <w:tcW w:w="77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-3908425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-1148080</wp:posOffset>
            </wp:positionV>
            <wp:extent cx="1111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-590550</wp:posOffset>
            </wp:positionV>
            <wp:extent cx="1111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8"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and forecast of future losses, the Company provided a valuation allowance against substantially all of the deferred tax assets in the U.S. and Malta. The valuation allowance increased by $34.0 million, $58.7 million and $39.0 million, in 2025, 2024 and 2023, respectively, as a result of the increase of the deferred tax assets.</w:t>
      </w:r>
    </w:p>
    <w:p>
      <w:pPr>
        <w:spacing w:after="0" w:line="183"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has U.S. federal net operating loss (“NOL”) carryforwards of approximately $577.9 million and foreign NOL carryforwards of $281.3 million. U.S. federal NOLs amounting to $59.8 million generated before the 2018 tax year will start expiring beginning 2032, and the NOLs of approximately $518.1 million generated in 2018 and later have an indefinite carryforward period. The NOL carryforwards are subject to review and possible adjustment by the Internal Revenue Service (“IRS”) and state tax authorities. NOL carryforwards may become subject to an annual limitation in the event of certain cumulative changes in the ownership interest of significant stockholders, as defined under Sections 382 and 383 of the Internal Revenue Code of 1986, as amended, as well as similar state tax provisions. This could limit the amount of NOLs that the Company can utilize annually to offset future taxable income or tax liabilities.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recorded $0.5 million of income tax benefit due to favorable return-to-provision adjustments attributable to certain foreign tax returns filed during the year. For the year ended December 31, 2024, the Company recorded $0.1 million of income tax expense due to state taxes. There was no income tax expense or benefit recorded by the Company in any other jurisdiction due to its net loss tax position and the valuation allowance recorded against its deferred tax assets during the years ended December 31, 2025, 2024, and 2023.</w:t>
      </w:r>
    </w:p>
    <w:p>
      <w:pPr>
        <w:spacing w:after="0" w:line="180"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files U.S. federal income tax returns as well as various state, local, and foreign jurisdictions. The Company is currently under examination by the IRS for the Company’s 2021 U.S. income tax return. The audit is nearing completion, and the Company expects a resolution in the near term. As a result of the audit, the Company recorded gross uncertain tax positions totaling $3.3 million, which have been recognized as a reduction of deferred tax assets. The Company is not currently under examination at the state level. The Company’s U.S. federal and state net operating losses have occurred since its inception in 2012 and as such, tax years subject to potential tax examination could apply from that date because the utilization of net operating losses from prior years opens the relevant year to audit by the IRS and/or state taxing authorities.</w:t>
      </w:r>
    </w:p>
    <w:p>
      <w:pPr>
        <w:spacing w:after="0" w:line="187" w:lineRule="exact"/>
        <w:rPr>
          <w:sz w:val="20"/>
          <w:szCs w:val="20"/>
          <w:color w:val="auto"/>
        </w:rPr>
      </w:pPr>
    </w:p>
    <w:p>
      <w:pPr>
        <w:jc w:val="both"/>
        <w:ind w:right="40" w:firstLine="749"/>
        <w:spacing w:after="0" w:line="266" w:lineRule="auto"/>
        <w:rPr>
          <w:sz w:val="20"/>
          <w:szCs w:val="20"/>
          <w:color w:val="auto"/>
        </w:rPr>
      </w:pPr>
      <w:r>
        <w:rPr>
          <w:rFonts w:ascii="Times New Roman" w:cs="Times New Roman" w:eastAsia="Times New Roman" w:hAnsi="Times New Roman"/>
          <w:sz w:val="18"/>
          <w:szCs w:val="18"/>
          <w:color w:val="auto"/>
        </w:rPr>
        <w:t>ASC 740 clarifies the accounting and reporting for uncertainties in income tax law and prescribes a comprehensive model for financial statement recognition, measurement, presentation and disclosure of uncertain tax positions taken or expected to be taken in income tax returns. ASC 740 requires that tax effects of an uncertain tax position be recognized only if it is “more likely than not” to be sustained by the taxing authority as of the reporting date.</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of unrecognized tax benefits at beginning of year</w:t>
            </w:r>
          </w:p>
        </w:tc>
        <w:tc>
          <w:tcPr>
            <w:tcW w:w="8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Additions for tax positions of prior periods</w:t>
            </w: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Reductions for tax positions of prior periods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Release due to expiration of statute of limitations</w:t>
            </w: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Balance of unrecognized tax benefits at end of year</w:t>
            </w:r>
          </w:p>
        </w:tc>
        <w:tc>
          <w:tcPr>
            <w:tcW w:w="860" w:type="dxa"/>
            <w:vAlign w:val="bottom"/>
            <w:gridSpan w:val="2"/>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Amounts included in the balance of unrecognized tax benefits as of December 31, 2025, if recognized, would not affect the effective tax rate upon recognition.</w:t>
      </w:r>
    </w:p>
    <w:p>
      <w:pPr>
        <w:spacing w:after="0" w:line="16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The Company has elected to account for Global Intangible Low-Taxed Income (GILTI) in the period in which it is incurred, and therefore has not provided deferred tax impacts of GILTI in its consolidated financial statements.</w:t>
      </w:r>
    </w:p>
    <w:p>
      <w:pPr>
        <w:spacing w:after="0" w:line="162"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On July 4, 2025, the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The Company did not record material tax impacts from the legislation on its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Related Party Transactions</w:t>
      </w:r>
    </w:p>
    <w:p>
      <w:pPr>
        <w:spacing w:after="0" w:line="229"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18"/>
          <w:szCs w:val="18"/>
          <w:color w:val="auto"/>
        </w:rPr>
        <w:t>From the Company’s inception, Herriot Tabuteau, M.D. has been the Company’s founder, Chief Executive Officer, Chairman of the Company’s Board, and the beneficial owner of more than 5% of the outstanding shares of the Company’s common stock. In connection with the formation of the Company, in January 2012, the Company issued to Antecip Bioventures II LLC, an entity controlled by Dr. Tabuteau, an aggregate of 7,344,500 shares of the Company’s common stock for nominal consideration. The Company recorded royalty expense of $15.2 million and $8.7 million for the years ended December 31, 2025 and 2024, respectively, which equal 3.0% of net sales for those respective years.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is a party to three exclusive license agreements with Antecip Bioventures II LLC, an entity owned by Dr. Tabuteau. See Note 15.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Agreements for further information regarding the license agreements.</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views its operations and manages its business as one operating and reportable segment, which is the business of developing and delivering novel therapies for the management of CNS disorders. The Company’s focus centers around the CNS disorders market as its primary operating environment. Consistent with the operational structure, the Chief Executive Officer, as the chief operating decision maker (“CODM”), manages and allocates resources on a consolidated basis. This decision-making process reflects the way in which the financial information is regularly reviewed and used by the CODM to evaluate performance, set operational targets, forecast future financial results, and allocate resources.</w:t>
      </w:r>
    </w:p>
    <w:p>
      <w:pPr>
        <w:spacing w:after="0" w:line="183"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The Company’s CODM assesses financial performance and allocates resources based on consolidated net loss that also is reported on the consolidated statements of operations. The measure of segment assets is reported on the balance sheet as total consolidated assets. The CODM utilizes consolidated net loss by comparing actual results against budgeted amounts on a quarterly basis. As part of this process, consolidated net loss is a critical performance measure used to evaluate the Company’s operating performance and guide strategic decisions and resource allocations, including additional investments in research and development and commercialization activities.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one reportable segment and includes the reconciliation to consolidated net loss.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638,496</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385,693</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270,600</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 (excluding amortization and depreciation)</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47,478</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33,303</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26,065</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 (excluding stock-based compensation expense):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Solriamfetol</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53,678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18,232</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AXS-05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34,011</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AXS-07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AXS-12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AXS-14</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7,091</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240"/>
              <w:spacing w:after="0" w:line="216"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4"/>
                <w:szCs w:val="24"/>
                <w:color w:val="auto"/>
                <w:vertAlign w:val="superscript"/>
              </w:rPr>
              <w:t>(a)</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 (excluding stock-based compensation expense)</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63,273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37,355</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 (excluding stock-based compensation expense)</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237,228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85,218</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62,620</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(Gain) in fair value of contingent consideration</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ind w:left="120"/>
              <w:spacing w:after="0" w:line="21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4"/>
                <w:szCs w:val="24"/>
                <w:color w:val="auto"/>
                <w:vertAlign w:val="superscript"/>
              </w:rPr>
              <w:t>(b)</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ind w:left="120"/>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(c)</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100" w:type="dxa"/>
            <w:vAlign w:val="bottom"/>
          </w:tcPr>
          <w:p>
            <w:pPr>
              <w:spacing w:after="0"/>
              <w:rPr>
                <w:sz w:val="18"/>
                <w:szCs w:val="18"/>
                <w:color w:val="auto"/>
              </w:rPr>
            </w:pPr>
          </w:p>
        </w:tc>
      </w:tr>
      <w:tr>
        <w:trPr>
          <w:trHeight w:val="21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(183,174)</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(287,216)</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(239,238)</w:t>
            </w:r>
          </w:p>
        </w:tc>
      </w:tr>
      <w:tr>
        <w:trPr>
          <w:trHeight w:val="209"/>
        </w:trPr>
        <w:tc>
          <w:tcPr>
            <w:tcW w:w="640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Reconciliation of net loss</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and reconciling items</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Consolidated net loss</w:t>
            </w: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(183,174)</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(287,216)</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(239,238)</w:t>
            </w: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-590550</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-590550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ind w:left="300" w:hanging="292"/>
        <w:spacing w:after="0"/>
        <w:tabs>
          <w:tab w:leader="none" w:pos="3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research and development expenses primarily consist of facilities charges, third party consultant costs, costs related to other product candidates, and other unallocated costs.</w:t>
      </w:r>
    </w:p>
    <w:p>
      <w:pPr>
        <w:ind w:left="300" w:right="40" w:hanging="292"/>
        <w:spacing w:after="0" w:line="216" w:lineRule="auto"/>
        <w:tabs>
          <w:tab w:leader="none" w:pos="3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net of $6,557 for the year ended December 31, 2025 comprises (i) consolidated interest expense of $15,928 and (ii) consolidated interest income of $9,371. Interest expense, net of $6,569 for the year ended December 31, 2024 comprises (i) consolidated interest expense of $21,581 and (ii) consolidated interest income of $15,012. Interest expense, net of $6,453 for the year ended December 31, 2023 comprises (i) consolidated interest expense of $20,034 and (ii) consolidated interest income of $13,581.</w:t>
      </w:r>
    </w:p>
    <w:p>
      <w:pPr>
        <w:spacing w:after="0" w:line="1" w:lineRule="exact"/>
        <w:rPr>
          <w:rFonts w:ascii="Times New Roman" w:cs="Times New Roman" w:eastAsia="Times New Roman" w:hAnsi="Times New Roman"/>
          <w:sz w:val="13"/>
          <w:szCs w:val="13"/>
          <w:color w:val="auto"/>
        </w:rPr>
      </w:pPr>
    </w:p>
    <w:p>
      <w:pPr>
        <w:ind w:left="300" w:hanging="292"/>
        <w:spacing w:after="0"/>
        <w:tabs>
          <w:tab w:leader="none" w:pos="3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segment items included in Segment net loss include intangible asset amortization, loss on debt extinguishment, costs related to asset acquisitions, and other miscellaneous items.</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2. Summary of Significant Accounting Policies for further details on the products from which the Company derives its revenues.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Note 14. Revenues for details of revenue from external customers by geography.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February 17, 2026, the Company announced that it had entered into a settlement agreement with Alkem Laboratories Ltd. (Alkem) to resolve the outstanding litigation between the parties relating to SUNOSI. Under the terms of the settlement agreement, the Company will grant Alkem a license to sell its generic version of SUNOSI beginning on or after September 1, 2040, if pediatric exclusivity is granted for SUNOSI, or on or after March 1, 2040, if no pediatric exclusivity is granted, subject to FDA approval and conditions and exceptions customary for agreements of this type.</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80" w:type="dxa"/>
            <w:vAlign w:val="bottom"/>
            <w:gridSpan w:val="24"/>
          </w:tcPr>
          <w:p>
            <w:pPr>
              <w:ind w:left="360"/>
              <w:spacing w:after="0"/>
              <w:rPr>
                <w:sz w:val="20"/>
                <w:szCs w:val="20"/>
                <w:color w:val="auto"/>
              </w:rPr>
            </w:pPr>
            <w:r>
              <w:rPr>
                <w:rFonts w:ascii="Times New Roman" w:cs="Times New Roman" w:eastAsia="Times New Roman" w:hAnsi="Times New Roman"/>
                <w:sz w:val="18"/>
                <w:szCs w:val="18"/>
                <w:b w:val="1"/>
                <w:bCs w:val="1"/>
                <w:color w:val="auto"/>
              </w:rPr>
              <w:t>INDEX OF EXHIBITS</w:t>
            </w:r>
          </w:p>
        </w:tc>
        <w:tc>
          <w:tcPr>
            <w:tcW w:w="0" w:type="dxa"/>
            <w:vAlign w:val="bottom"/>
          </w:tcPr>
          <w:p>
            <w:pPr>
              <w:spacing w:after="0"/>
              <w:rPr>
                <w:sz w:val="1"/>
                <w:szCs w:val="1"/>
                <w:color w:val="auto"/>
              </w:rPr>
            </w:pPr>
          </w:p>
        </w:tc>
      </w:tr>
      <w:tr>
        <w:trPr>
          <w:trHeight w:val="340"/>
        </w:trPr>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80" w:type="dxa"/>
            <w:vAlign w:val="bottom"/>
            <w:gridSpan w:val="24"/>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880" w:type="dxa"/>
            <w:vAlign w:val="bottom"/>
            <w:tcBorders>
              <w:bottom w:val="single" w:sz="8" w:color="auto"/>
            </w:tcBorders>
            <w:gridSpan w:val="2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0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2"/>
                <w:szCs w:val="22"/>
                <w:color w:val="auto"/>
              </w:rPr>
            </w:pPr>
          </w:p>
        </w:tc>
        <w:tc>
          <w:tcPr>
            <w:tcW w:w="9720" w:type="dxa"/>
            <w:vAlign w:val="bottom"/>
            <w:tcBorders>
              <w:bottom w:val="single" w:sz="8" w:color="0000EE"/>
            </w:tcBorders>
            <w:gridSpan w:val="19"/>
          </w:tcPr>
          <w:p>
            <w:pPr>
              <w:spacing w:after="0"/>
              <w:rPr>
                <w:rFonts w:ascii="Times New Roman" w:cs="Times New Roman" w:eastAsia="Times New Roman" w:hAnsi="Times New Roman"/>
                <w:sz w:val="18"/>
                <w:szCs w:val="18"/>
                <w:color w:val="auto"/>
              </w:rPr>
            </w:pPr>
            <w:hyperlink r:id="rId337">
              <w:r>
                <w:rPr>
                  <w:rFonts w:ascii="Times New Roman" w:cs="Times New Roman" w:eastAsia="Times New Roman" w:hAnsi="Times New Roman"/>
                  <w:sz w:val="18"/>
                  <w:szCs w:val="18"/>
                  <w:color w:val="auto"/>
                </w:rPr>
                <w:t>Amended and Restated Certificate of Incorporation of the Company (Incorporated by reference, Exhibit 3.1 to the Company’s Current</w:t>
              </w:r>
            </w:hyperlink>
          </w:p>
        </w:tc>
        <w:tc>
          <w:tcPr>
            <w:tcW w:w="3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37">
              <w:r>
                <w:rPr>
                  <w:rFonts w:ascii="Times New Roman" w:cs="Times New Roman" w:eastAsia="Times New Roman" w:hAnsi="Times New Roman"/>
                  <w:sz w:val="18"/>
                  <w:szCs w:val="18"/>
                  <w:color w:val="auto"/>
                </w:rPr>
                <w:t>Report on Form 8-K (No. 001-37635), filed November 24,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5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800" w:type="dxa"/>
            <w:vAlign w:val="bottom"/>
            <w:tcBorders>
              <w:bottom w:val="single" w:sz="8" w:color="0000EE"/>
            </w:tcBorders>
            <w:gridSpan w:val="21"/>
          </w:tcPr>
          <w:p>
            <w:pPr>
              <w:spacing w:after="0"/>
              <w:rPr>
                <w:rFonts w:ascii="Times New Roman" w:cs="Times New Roman" w:eastAsia="Times New Roman" w:hAnsi="Times New Roman"/>
                <w:sz w:val="18"/>
                <w:szCs w:val="18"/>
                <w:color w:val="auto"/>
              </w:rPr>
            </w:pPr>
            <w:hyperlink r:id="rId338">
              <w:r>
                <w:rPr>
                  <w:rFonts w:ascii="Times New Roman" w:cs="Times New Roman" w:eastAsia="Times New Roman" w:hAnsi="Times New Roman"/>
                  <w:sz w:val="18"/>
                  <w:szCs w:val="18"/>
                  <w:color w:val="auto"/>
                </w:rPr>
                <w:t>Amended and Restated Bylaws of the Company (Incorporated by reference, Exhibit 3.2 to the Company’s Current Report on Form 8-K</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38">
              <w:r>
                <w:rPr>
                  <w:rFonts w:ascii="Times New Roman" w:cs="Times New Roman" w:eastAsia="Times New Roman" w:hAnsi="Times New Roman"/>
                  <w:sz w:val="18"/>
                  <w:szCs w:val="18"/>
                  <w:color w:val="auto"/>
                </w:rPr>
                <w:t>(No. 001-37635), filed November 24,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2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080" w:type="dxa"/>
            <w:vAlign w:val="bottom"/>
            <w:gridSpan w:val="28"/>
          </w:tcPr>
          <w:p>
            <w:pPr>
              <w:spacing w:after="0"/>
              <w:rPr>
                <w:rFonts w:ascii="Times New Roman" w:cs="Times New Roman" w:eastAsia="Times New Roman" w:hAnsi="Times New Roman"/>
                <w:sz w:val="18"/>
                <w:szCs w:val="18"/>
                <w:color w:val="auto"/>
              </w:rPr>
            </w:pPr>
            <w:hyperlink r:id="rId339">
              <w:r>
                <w:rPr>
                  <w:rFonts w:ascii="Times New Roman" w:cs="Times New Roman" w:eastAsia="Times New Roman" w:hAnsi="Times New Roman"/>
                  <w:sz w:val="18"/>
                  <w:szCs w:val="18"/>
                  <w:color w:val="auto"/>
                </w:rPr>
                <w:t>Specimen Certificate evidencing shares of Company’s common stock (Incorporated by reference, Exhibit 4.1 to Amendment No. 1 to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339">
              <w:r>
                <w:rPr>
                  <w:rFonts w:ascii="Times New Roman" w:cs="Times New Roman" w:eastAsia="Times New Roman" w:hAnsi="Times New Roman"/>
                  <w:sz w:val="18"/>
                  <w:szCs w:val="18"/>
                  <w:color w:val="auto"/>
                  <w:w w:val="99"/>
                </w:rPr>
                <w:t>Company’s Registration Statement on Form S-1 (No. 333</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207393), filed October 30, 2015).</w:t>
              </w:r>
            </w:hyperlink>
          </w:p>
        </w:tc>
        <w:tc>
          <w:tcPr>
            <w:tcW w:w="3300" w:type="dxa"/>
            <w:vAlign w:val="bottom"/>
            <w:tcBorders>
              <w:top w:val="single" w:sz="8" w:color="0000EE"/>
            </w:tcBorders>
            <w:gridSpan w:val="16"/>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982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40">
              <w:r>
                <w:rPr>
                  <w:rFonts w:ascii="Times New Roman" w:cs="Times New Roman" w:eastAsia="Times New Roman" w:hAnsi="Times New Roman"/>
                  <w:sz w:val="18"/>
                  <w:szCs w:val="18"/>
                  <w:color w:val="auto"/>
                </w:rPr>
                <w:t>Warrant Agreement, dated September 25, 2020, by and between Axsome Therapeutics, Inc. and Hercules Capital, Inc. (Incorporated by</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340">
              <w:r>
                <w:rPr>
                  <w:rFonts w:ascii="Times New Roman" w:cs="Times New Roman" w:eastAsia="Times New Roman" w:hAnsi="Times New Roman"/>
                  <w:sz w:val="18"/>
                  <w:szCs w:val="18"/>
                  <w:color w:val="auto"/>
                  <w:w w:val="99"/>
                </w:rPr>
                <w:t>reference, Exhibit 10.4 to the Company’s Quarterly Report on Form 10-Q, filed November 5, 2020).</w:t>
              </w:r>
            </w:hyperlink>
          </w:p>
        </w:tc>
        <w:tc>
          <w:tcPr>
            <w:tcW w:w="28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9980" w:type="dxa"/>
            <w:vAlign w:val="bottom"/>
            <w:tcBorders>
              <w:bottom w:val="single" w:sz="8" w:color="0000EE"/>
            </w:tcBorders>
            <w:gridSpan w:val="25"/>
          </w:tcPr>
          <w:p>
            <w:pPr>
              <w:spacing w:after="0"/>
              <w:rPr>
                <w:rFonts w:ascii="Times New Roman" w:cs="Times New Roman" w:eastAsia="Times New Roman" w:hAnsi="Times New Roman"/>
                <w:sz w:val="18"/>
                <w:szCs w:val="18"/>
                <w:color w:val="auto"/>
              </w:rPr>
            </w:pPr>
            <w:hyperlink r:id="rId341">
              <w:r>
                <w:rPr>
                  <w:rFonts w:ascii="Times New Roman" w:cs="Times New Roman" w:eastAsia="Times New Roman" w:hAnsi="Times New Roman"/>
                  <w:sz w:val="18"/>
                  <w:szCs w:val="18"/>
                  <w:color w:val="auto"/>
                </w:rPr>
                <w:t>Description of Securities (Incorporated by reference, Exhibit 4.13 to the Company’s Annual Report on Form 10-K, filed March 12, 2020).</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4"/>
                <w:szCs w:val="24"/>
                <w:color w:val="auto"/>
              </w:rPr>
            </w:pPr>
          </w:p>
        </w:tc>
        <w:tc>
          <w:tcPr>
            <w:tcW w:w="940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42">
              <w:r>
                <w:rPr>
                  <w:rFonts w:ascii="Times New Roman" w:cs="Times New Roman" w:eastAsia="Times New Roman" w:hAnsi="Times New Roman"/>
                  <w:sz w:val="18"/>
                  <w:szCs w:val="18"/>
                  <w:color w:val="auto"/>
                </w:rPr>
                <w:t>Form of Warrant Agreement, dated May 9, 2022, between Axsome Therapeutics, Inc. and Hercules Capital, Inc. (Incorporated by</w:t>
              </w:r>
            </w:hyperlink>
          </w:p>
        </w:tc>
        <w:tc>
          <w:tcPr>
            <w:tcW w:w="6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342">
              <w:r>
                <w:rPr>
                  <w:rFonts w:ascii="Times New Roman" w:cs="Times New Roman" w:eastAsia="Times New Roman" w:hAnsi="Times New Roman"/>
                  <w:sz w:val="18"/>
                  <w:szCs w:val="18"/>
                  <w:color w:val="auto"/>
                  <w:w w:val="99"/>
                </w:rPr>
                <w:t>reference, Exhibit 10.1 to the Company’s Quarterly Report on Form 10-Q, filed August 9, 2022).</w:t>
              </w:r>
            </w:hyperlink>
          </w:p>
        </w:tc>
        <w:tc>
          <w:tcPr>
            <w:tcW w:w="30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040" w:type="dxa"/>
            <w:vAlign w:val="bottom"/>
          </w:tcPr>
          <w:p>
            <w:pPr>
              <w:jc w:val="center"/>
              <w:ind w:right="352"/>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9940" w:type="dxa"/>
            <w:vAlign w:val="bottom"/>
            <w:tcBorders>
              <w:bottom w:val="single" w:sz="8" w:color="0000EE"/>
            </w:tcBorders>
            <w:gridSpan w:val="23"/>
          </w:tcPr>
          <w:p>
            <w:pPr>
              <w:spacing w:after="0"/>
              <w:rPr>
                <w:rFonts w:ascii="Times New Roman" w:cs="Times New Roman" w:eastAsia="Times New Roman" w:hAnsi="Times New Roman"/>
                <w:sz w:val="18"/>
                <w:szCs w:val="18"/>
                <w:color w:val="auto"/>
              </w:rPr>
            </w:pPr>
            <w:hyperlink r:id="rId343">
              <w:r>
                <w:rPr>
                  <w:rFonts w:ascii="Times New Roman" w:cs="Times New Roman" w:eastAsia="Times New Roman" w:hAnsi="Times New Roman"/>
                  <w:sz w:val="18"/>
                  <w:szCs w:val="18"/>
                  <w:color w:val="auto"/>
                </w:rPr>
                <w:t>Form of Indenture (Incorporated by reference, Exhibit 4.7 to the Company's Registration Statement on Form S-3 (No. 333-291228), filed</w:t>
              </w:r>
            </w:hyperlink>
          </w:p>
        </w:tc>
        <w:tc>
          <w:tcPr>
            <w:tcW w:w="1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auto"/>
                <w:w w:val="99"/>
              </w:rPr>
            </w:pPr>
            <w:hyperlink r:id="rId343">
              <w:r>
                <w:rPr>
                  <w:rFonts w:ascii="Times New Roman" w:cs="Times New Roman" w:eastAsia="Times New Roman" w:hAnsi="Times New Roman"/>
                  <w:sz w:val="18"/>
                  <w:szCs w:val="18"/>
                  <w:color w:val="auto"/>
                  <w:w w:val="99"/>
                </w:rPr>
                <w:t>November 3, 2025).</w:t>
              </w:r>
            </w:hyperlink>
          </w:p>
        </w:tc>
        <w:tc>
          <w:tcPr>
            <w:tcW w:w="8620" w:type="dxa"/>
            <w:vAlign w:val="bottom"/>
            <w:gridSpan w:val="27"/>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8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344">
              <w:r>
                <w:rPr>
                  <w:rFonts w:ascii="Times New Roman" w:cs="Times New Roman" w:eastAsia="Times New Roman" w:hAnsi="Times New Roman"/>
                  <w:sz w:val="18"/>
                  <w:szCs w:val="18"/>
                  <w:color w:val="auto"/>
                </w:rPr>
                <w:t>Axsome Therapeutics, Inc. Amended and Restated 2015 Omnibus Incentive Compensation Plan (Incorporated by reference, Exhibit 10.2 to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44">
              <w:r>
                <w:rPr>
                  <w:rFonts w:ascii="Times New Roman" w:cs="Times New Roman" w:eastAsia="Times New Roman" w:hAnsi="Times New Roman"/>
                  <w:sz w:val="18"/>
                  <w:szCs w:val="18"/>
                  <w:color w:val="auto"/>
                </w:rPr>
                <w:t>the Company’s Annual Report on Form 10-K, filed February 23, 2024).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2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120" w:type="dxa"/>
            <w:vAlign w:val="bottom"/>
            <w:tcBorders>
              <w:bottom w:val="single" w:sz="8" w:color="0000EE"/>
            </w:tcBorders>
            <w:gridSpan w:val="12"/>
          </w:tcPr>
          <w:p>
            <w:pPr>
              <w:spacing w:after="0"/>
              <w:rPr>
                <w:rFonts w:ascii="Times New Roman" w:cs="Times New Roman" w:eastAsia="Times New Roman" w:hAnsi="Times New Roman"/>
                <w:sz w:val="18"/>
                <w:szCs w:val="18"/>
                <w:color w:val="auto"/>
              </w:rPr>
            </w:pPr>
            <w:hyperlink r:id="rId345">
              <w:r>
                <w:rPr>
                  <w:rFonts w:ascii="Times New Roman" w:cs="Times New Roman" w:eastAsia="Times New Roman" w:hAnsi="Times New Roman"/>
                  <w:sz w:val="18"/>
                  <w:szCs w:val="18"/>
                  <w:color w:val="auto"/>
                </w:rPr>
                <w:t>Axsome Therapeutics, Inc. Form of Stock Option Agreement pursuant to the Amended and Restated 2015 Omnibus Incentive</w:t>
              </w:r>
            </w:hyperlink>
          </w:p>
        </w:tc>
        <w:tc>
          <w:tcPr>
            <w:tcW w:w="9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auto"/>
              </w:rPr>
            </w:pPr>
            <w:hyperlink r:id="rId345">
              <w:r>
                <w:rPr>
                  <w:rFonts w:ascii="Times New Roman" w:cs="Times New Roman" w:eastAsia="Times New Roman" w:hAnsi="Times New Roman"/>
                  <w:sz w:val="18"/>
                  <w:szCs w:val="18"/>
                  <w:color w:val="auto"/>
                </w:rPr>
                <w:t>Compensation Plan (Incorporated by reference, Exhibit 99.2 to the Company’s Registration Statement on Form S-8 (No. 333-208579) filed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45">
              <w:r>
                <w:rPr>
                  <w:rFonts w:ascii="Times New Roman" w:cs="Times New Roman" w:eastAsia="Times New Roman" w:hAnsi="Times New Roman"/>
                  <w:sz w:val="18"/>
                  <w:szCs w:val="18"/>
                  <w:color w:val="auto"/>
                </w:rPr>
                <w:t>December 16, 2015).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96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46">
              <w:r>
                <w:rPr>
                  <w:rFonts w:ascii="Times New Roman" w:cs="Times New Roman" w:eastAsia="Times New Roman" w:hAnsi="Times New Roman"/>
                  <w:sz w:val="18"/>
                  <w:szCs w:val="18"/>
                  <w:color w:val="auto"/>
                </w:rPr>
                <w:t>Axsome Therapeutics, Inc. Form of Restricted Stock Unit Agreement (Non-Executives) pursuant to the Amended and Restated 2015</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auto"/>
              </w:rPr>
            </w:pPr>
            <w:hyperlink r:id="rId346">
              <w:r>
                <w:rPr>
                  <w:rFonts w:ascii="Times New Roman" w:cs="Times New Roman" w:eastAsia="Times New Roman" w:hAnsi="Times New Roman"/>
                  <w:sz w:val="18"/>
                  <w:szCs w:val="18"/>
                  <w:color w:val="auto"/>
                </w:rPr>
                <w:t>Omnibus Incentive Compensation Plan (Incorporated by reference, Exhibit 99.3 to the Company’s Registration Statement on Form S-8</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46">
              <w:r>
                <w:rPr>
                  <w:rFonts w:ascii="Times New Roman" w:cs="Times New Roman" w:eastAsia="Times New Roman" w:hAnsi="Times New Roman"/>
                  <w:sz w:val="18"/>
                  <w:szCs w:val="18"/>
                  <w:color w:val="auto"/>
                </w:rPr>
                <w:t>(File No. 333-238174), filed May 11,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4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47">
              <w:r>
                <w:rPr>
                  <w:rFonts w:ascii="Times New Roman" w:cs="Times New Roman" w:eastAsia="Times New Roman" w:hAnsi="Times New Roman"/>
                  <w:sz w:val="18"/>
                  <w:szCs w:val="18"/>
                  <w:color w:val="auto"/>
                </w:rPr>
                <w:t>Axsome Therapeutics, Inc. Form of Restricted Stock Unit Agreement (Executives and Non-Employee Directors) pursuant to the Amended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auto"/>
              </w:rPr>
            </w:pPr>
            <w:hyperlink r:id="rId347">
              <w:r>
                <w:rPr>
                  <w:rFonts w:ascii="Times New Roman" w:cs="Times New Roman" w:eastAsia="Times New Roman" w:hAnsi="Times New Roman"/>
                  <w:sz w:val="18"/>
                  <w:szCs w:val="18"/>
                  <w:color w:val="auto"/>
                </w:rPr>
                <w:t>and Restated 2015 Omnibus Incentive Compensation Plan (Incorporated by reference, Exhibit 99.4 to the Company’s Registration</w:t>
              </w:r>
            </w:hyperlink>
          </w:p>
        </w:tc>
        <w:tc>
          <w:tcPr>
            <w:tcW w:w="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47">
              <w:r>
                <w:rPr>
                  <w:rFonts w:ascii="Times New Roman" w:cs="Times New Roman" w:eastAsia="Times New Roman" w:hAnsi="Times New Roman"/>
                  <w:sz w:val="18"/>
                  <w:szCs w:val="18"/>
                  <w:color w:val="auto"/>
                </w:rPr>
                <w:t>Statement on Form S-8 (File No. 333-238174), filed May 11,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08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348">
              <w:r>
                <w:rPr>
                  <w:rFonts w:ascii="Times New Roman" w:cs="Times New Roman" w:eastAsia="Times New Roman" w:hAnsi="Times New Roman"/>
                  <w:sz w:val="18"/>
                  <w:szCs w:val="18"/>
                  <w:color w:val="auto"/>
                </w:rPr>
                <w:t>Axsome Therapeutics, Inc. 2025 Long-Term Incentive Plan (Incorporated by reference, Exhibit 10.4 to the Company's Quarterly Report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48">
              <w:r>
                <w:rPr>
                  <w:rFonts w:ascii="Times New Roman" w:cs="Times New Roman" w:eastAsia="Times New Roman" w:hAnsi="Times New Roman"/>
                  <w:sz w:val="18"/>
                  <w:szCs w:val="18"/>
                  <w:color w:val="auto"/>
                </w:rPr>
                <w:t>Form 10-Q, filed August 4, 2025).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740" w:type="dxa"/>
            <w:vAlign w:val="bottom"/>
            <w:gridSpan w:val="8"/>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928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49">
              <w:r>
                <w:rPr>
                  <w:rFonts w:ascii="Times New Roman" w:cs="Times New Roman" w:eastAsia="Times New Roman" w:hAnsi="Times New Roman"/>
                  <w:sz w:val="18"/>
                  <w:szCs w:val="18"/>
                  <w:color w:val="auto"/>
                </w:rPr>
                <w:t>Axsome Therapeutics, Inc. Form of Standard Restricted Stock Units Agreement pursuant to the 2025 Long-Term Incentive Plan</w:t>
              </w:r>
            </w:hyperlink>
          </w:p>
        </w:tc>
        <w:tc>
          <w:tcPr>
            <w:tcW w:w="8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49">
              <w:r>
                <w:rPr>
                  <w:rFonts w:ascii="Times New Roman" w:cs="Times New Roman" w:eastAsia="Times New Roman" w:hAnsi="Times New Roman"/>
                  <w:sz w:val="18"/>
                  <w:szCs w:val="18"/>
                  <w:color w:val="auto"/>
                </w:rPr>
                <w:t>(Incorporated by reference, Exhibit 10.5 to the Company's Quarterly Report on Form 10-Q, filed August 4, 2025).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20" w:type="dxa"/>
            <w:vAlign w:val="bottom"/>
            <w:gridSpan w:val="11"/>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924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50">
              <w:r>
                <w:rPr>
                  <w:rFonts w:ascii="Times New Roman" w:cs="Times New Roman" w:eastAsia="Times New Roman" w:hAnsi="Times New Roman"/>
                  <w:sz w:val="18"/>
                  <w:szCs w:val="18"/>
                  <w:color w:val="auto"/>
                </w:rPr>
                <w:t>Axsome Therapeutics, Inc. Form of Director Restricted Stock Units Agreement pursuant to the 2025 Long-Term Incentive Plan</w:t>
              </w:r>
            </w:hyperlink>
          </w:p>
        </w:tc>
        <w:tc>
          <w:tcPr>
            <w:tcW w:w="8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50">
              <w:r>
                <w:rPr>
                  <w:rFonts w:ascii="Times New Roman" w:cs="Times New Roman" w:eastAsia="Times New Roman" w:hAnsi="Times New Roman"/>
                  <w:sz w:val="18"/>
                  <w:szCs w:val="18"/>
                  <w:color w:val="auto"/>
                </w:rPr>
                <w:t>(Incorporated by reference, Exhibit 10.6 to the Company's Quarterly Report on Form 10-Q, filed August 4, 2025).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20" w:type="dxa"/>
            <w:vAlign w:val="bottom"/>
            <w:gridSpan w:val="11"/>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2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351">
              <w:r>
                <w:rPr>
                  <w:rFonts w:ascii="Times New Roman" w:cs="Times New Roman" w:eastAsia="Times New Roman" w:hAnsi="Times New Roman"/>
                  <w:sz w:val="18"/>
                  <w:szCs w:val="18"/>
                  <w:color w:val="auto"/>
                </w:rPr>
                <w:t>Axsome Therapeutics, Inc. Form of Executive Deferral Restricted Stock Units Agreement pursuant to the 2025 Long-Term Incentive Plan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51">
              <w:r>
                <w:rPr>
                  <w:rFonts w:ascii="Times New Roman" w:cs="Times New Roman" w:eastAsia="Times New Roman" w:hAnsi="Times New Roman"/>
                  <w:sz w:val="18"/>
                  <w:szCs w:val="18"/>
                  <w:color w:val="auto"/>
                </w:rPr>
                <w:t>(Incorporated by reference, Exhibit 10.7 to the Company's Quarterly Report on Form 10-Q, filed August 4, 2025).</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20" w:type="dxa"/>
            <w:vAlign w:val="bottom"/>
            <w:gridSpan w:val="11"/>
            <w:shd w:val="clear" w:color="auto" w:fill="0000EE"/>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40" w:type="dxa"/>
            <w:vAlign w:val="bottom"/>
          </w:tcPr>
          <w:p>
            <w:pPr>
              <w:jc w:val="center"/>
              <w:ind w:right="33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960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52">
              <w:r>
                <w:rPr>
                  <w:rFonts w:ascii="Times New Roman" w:cs="Times New Roman" w:eastAsia="Times New Roman" w:hAnsi="Times New Roman"/>
                  <w:sz w:val="18"/>
                  <w:szCs w:val="18"/>
                  <w:color w:val="auto"/>
                </w:rPr>
                <w:t>Axsome Therapeutics, Inc. Form of Standard Nonstatutory Stock Option Agreement pursuant to the 2025 Long-Term Incentive Plan</w:t>
              </w:r>
            </w:hyperlink>
          </w:p>
        </w:tc>
        <w:tc>
          <w:tcPr>
            <w:tcW w:w="4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gridSpan w:val="28"/>
          </w:tcPr>
          <w:p>
            <w:pPr>
              <w:spacing w:after="0" w:line="196" w:lineRule="exact"/>
              <w:rPr>
                <w:rFonts w:ascii="Times New Roman" w:cs="Times New Roman" w:eastAsia="Times New Roman" w:hAnsi="Times New Roman"/>
                <w:sz w:val="18"/>
                <w:szCs w:val="18"/>
                <w:color w:val="auto"/>
              </w:rPr>
            </w:pPr>
            <w:hyperlink r:id="rId352">
              <w:r>
                <w:rPr>
                  <w:rFonts w:ascii="Times New Roman" w:cs="Times New Roman" w:eastAsia="Times New Roman" w:hAnsi="Times New Roman"/>
                  <w:sz w:val="18"/>
                  <w:szCs w:val="18"/>
                  <w:color w:val="auto"/>
                </w:rPr>
                <w:t>(Incorporated by reference, Exhibit 10.8 to the Company's Quarterly Report on Form 10-Q, filed August 4, 2025).</w:t>
              </w:r>
            </w:hyperlink>
          </w:p>
        </w:tc>
        <w:tc>
          <w:tcPr>
            <w:tcW w:w="0" w:type="dxa"/>
            <w:vAlign w:val="bottom"/>
          </w:tcPr>
          <w:p>
            <w:pPr>
              <w:spacing w:after="0"/>
              <w:rPr>
                <w:sz w:val="1"/>
                <w:szCs w:val="1"/>
                <w:color w:val="auto"/>
              </w:rPr>
            </w:pPr>
          </w:p>
        </w:tc>
      </w:tr>
      <w:tr>
        <w:trPr>
          <w:trHeight w:val="61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40" w:type="dxa"/>
            <w:vAlign w:val="bottom"/>
            <w:tcBorders>
              <w:top w:val="single" w:sz="8" w:color="0000EE"/>
            </w:tcBorders>
            <w:gridSpan w:val="5"/>
          </w:tcPr>
          <w:p>
            <w:pPr>
              <w:ind w:left="432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9560" w:type="dxa"/>
            <w:vAlign w:val="bottom"/>
            <w:tcBorders>
              <w:bottom w:val="single" w:sz="8" w:color="0000EE"/>
            </w:tcBorders>
            <w:gridSpan w:val="16"/>
          </w:tcPr>
          <w:p>
            <w:pPr>
              <w:spacing w:after="0"/>
              <w:rPr>
                <w:rFonts w:ascii="Times New Roman" w:cs="Times New Roman" w:eastAsia="Times New Roman" w:hAnsi="Times New Roman"/>
                <w:sz w:val="18"/>
                <w:szCs w:val="18"/>
                <w:color w:val="auto"/>
              </w:rPr>
            </w:pPr>
            <w:hyperlink r:id="rId355">
              <w:r>
                <w:rPr>
                  <w:rFonts w:ascii="Times New Roman" w:cs="Times New Roman" w:eastAsia="Times New Roman" w:hAnsi="Times New Roman"/>
                  <w:sz w:val="18"/>
                  <w:szCs w:val="18"/>
                  <w:color w:val="auto"/>
                </w:rPr>
                <w:t>Axsome Therapeutics, Inc. Form of Director Nonstatutory Stock Option Agreement pursuant to the 2025 Long-Term Incentive Plan</w:t>
              </w:r>
            </w:hyperlink>
          </w:p>
        </w:tc>
        <w:tc>
          <w:tcPr>
            <w:tcW w:w="520" w:type="dxa"/>
            <w:vAlign w:val="bottom"/>
            <w:gridSpan w:val="15"/>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auto"/>
              </w:rPr>
            </w:pPr>
            <w:hyperlink r:id="rId355">
              <w:r>
                <w:rPr>
                  <w:rFonts w:ascii="Times New Roman" w:cs="Times New Roman" w:eastAsia="Times New Roman" w:hAnsi="Times New Roman"/>
                  <w:sz w:val="18"/>
                  <w:szCs w:val="18"/>
                  <w:color w:val="auto"/>
                </w:rPr>
                <w:t>(Incorporated by reference, Exhibit 10.9 to the Company's Quarterly Report on Form 10-Q, filed August 4, 2025).</w:t>
              </w:r>
            </w:hyperlink>
          </w:p>
        </w:tc>
      </w:tr>
      <w:tr>
        <w:trPr>
          <w:trHeight w:val="20"/>
        </w:trPr>
        <w:tc>
          <w:tcPr>
            <w:tcW w:w="11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0000" w:type="dxa"/>
            <w:vAlign w:val="bottom"/>
            <w:tcBorders>
              <w:bottom w:val="single" w:sz="8" w:color="0000EE"/>
            </w:tcBorders>
            <w:gridSpan w:val="28"/>
          </w:tcPr>
          <w:p>
            <w:pPr>
              <w:spacing w:after="0"/>
              <w:rPr>
                <w:rFonts w:ascii="Times New Roman" w:cs="Times New Roman" w:eastAsia="Times New Roman" w:hAnsi="Times New Roman"/>
                <w:sz w:val="18"/>
                <w:szCs w:val="18"/>
                <w:color w:val="auto"/>
              </w:rPr>
            </w:pPr>
            <w:hyperlink r:id="rId356">
              <w:r>
                <w:rPr>
                  <w:rFonts w:ascii="Times New Roman" w:cs="Times New Roman" w:eastAsia="Times New Roman" w:hAnsi="Times New Roman"/>
                  <w:sz w:val="18"/>
                  <w:szCs w:val="18"/>
                  <w:color w:val="auto"/>
                </w:rPr>
                <w:t>Axsome Therapeutics, Inc. Form of Performance-Based Restricted Stock Unit Agreement pursuant to the 2025 Long-Term Incentive Plan</w:t>
              </w:r>
            </w:hyperlink>
          </w:p>
        </w:tc>
        <w:tc>
          <w:tcPr>
            <w:tcW w:w="8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83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auto"/>
                <w:w w:val="99"/>
              </w:rPr>
            </w:pPr>
            <w:hyperlink r:id="rId356">
              <w:r>
                <w:rPr>
                  <w:rFonts w:ascii="Times New Roman" w:cs="Times New Roman" w:eastAsia="Times New Roman" w:hAnsi="Times New Roman"/>
                  <w:sz w:val="18"/>
                  <w:szCs w:val="18"/>
                  <w:color w:val="auto"/>
                  <w:w w:val="99"/>
                </w:rPr>
                <w:t>(Incorporated by reference, Exhibit 10.10 to the Company's Quarterly Report on Form 10-Q, filed August 4, 2025).</w:t>
              </w:r>
            </w:hyperlink>
          </w:p>
        </w:tc>
        <w:tc>
          <w:tcPr>
            <w:tcW w:w="1760" w:type="dxa"/>
            <w:vAlign w:val="bottom"/>
            <w:gridSpan w:val="21"/>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tcBorders>
              <w:bottom w:val="single" w:sz="8" w:color="0000EE"/>
            </w:tcBorders>
            <w:gridSpan w:val="31"/>
          </w:tcPr>
          <w:p>
            <w:pPr>
              <w:spacing w:after="0"/>
              <w:rPr>
                <w:rFonts w:ascii="Times New Roman" w:cs="Times New Roman" w:eastAsia="Times New Roman" w:hAnsi="Times New Roman"/>
                <w:sz w:val="18"/>
                <w:szCs w:val="18"/>
                <w:color w:val="auto"/>
              </w:rPr>
            </w:pPr>
            <w:hyperlink r:id="rId357">
              <w:r>
                <w:rPr>
                  <w:rFonts w:ascii="Times New Roman" w:cs="Times New Roman" w:eastAsia="Times New Roman" w:hAnsi="Times New Roman"/>
                  <w:sz w:val="18"/>
                  <w:szCs w:val="18"/>
                  <w:color w:val="auto"/>
                </w:rPr>
                <w:t>Axsome Therapeutics, Inc. 2023 Employee Stock Purchase Plan (Incorporated by reference, Exhibit 10.1 to the Company’s Current Report</w:t>
              </w:r>
            </w:hyperlink>
          </w:p>
        </w:tc>
      </w:tr>
      <w:tr>
        <w:trPr>
          <w:trHeight w:val="196"/>
        </w:trPr>
        <w:tc>
          <w:tcPr>
            <w:tcW w:w="1160" w:type="dxa"/>
            <w:vAlign w:val="bottom"/>
          </w:tcPr>
          <w:p>
            <w:pPr>
              <w:spacing w:after="0"/>
              <w:rPr>
                <w:sz w:val="17"/>
                <w:szCs w:val="17"/>
                <w:color w:val="auto"/>
              </w:rPr>
            </w:pPr>
          </w:p>
        </w:tc>
        <w:tc>
          <w:tcPr>
            <w:tcW w:w="26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357">
              <w:r>
                <w:rPr>
                  <w:rFonts w:ascii="Times New Roman" w:cs="Times New Roman" w:eastAsia="Times New Roman" w:hAnsi="Times New Roman"/>
                  <w:sz w:val="18"/>
                  <w:szCs w:val="18"/>
                  <w:color w:val="auto"/>
                  <w:w w:val="99"/>
                </w:rPr>
                <w:t>on Form 8-K, filed on June 8, 2023).</w:t>
              </w:r>
            </w:hyperlink>
          </w:p>
        </w:tc>
        <w:tc>
          <w:tcPr>
            <w:tcW w:w="7420" w:type="dxa"/>
            <w:vAlign w:val="bottom"/>
            <w:gridSpan w:val="28"/>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10.13++</w:t>
            </w:r>
          </w:p>
        </w:tc>
        <w:tc>
          <w:tcPr>
            <w:tcW w:w="9620" w:type="dxa"/>
            <w:vAlign w:val="bottom"/>
            <w:tcBorders>
              <w:bottom w:val="single" w:sz="8" w:color="0000EE"/>
            </w:tcBorders>
            <w:gridSpan w:val="18"/>
          </w:tcPr>
          <w:p>
            <w:pPr>
              <w:spacing w:after="0"/>
              <w:rPr>
                <w:rFonts w:ascii="Times New Roman" w:cs="Times New Roman" w:eastAsia="Times New Roman" w:hAnsi="Times New Roman"/>
                <w:sz w:val="18"/>
                <w:szCs w:val="18"/>
                <w:color w:val="auto"/>
              </w:rPr>
            </w:pPr>
            <w:hyperlink r:id="rId358">
              <w:r>
                <w:rPr>
                  <w:rFonts w:ascii="Times New Roman" w:cs="Times New Roman" w:eastAsia="Times New Roman" w:hAnsi="Times New Roman"/>
                  <w:sz w:val="18"/>
                  <w:szCs w:val="18"/>
                  <w:color w:val="auto"/>
                </w:rPr>
                <w:t>License Agreement, dated January 12, 2012, by and between the Company and Antecip Bioventures II LLC, as modified by the First</w:t>
              </w:r>
            </w:hyperlink>
          </w:p>
        </w:tc>
        <w:tc>
          <w:tcPr>
            <w:tcW w:w="460" w:type="dxa"/>
            <w:vAlign w:val="bottom"/>
            <w:gridSpan w:val="1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358">
              <w:r>
                <w:rPr>
                  <w:rFonts w:ascii="Times New Roman" w:cs="Times New Roman" w:eastAsia="Times New Roman" w:hAnsi="Times New Roman"/>
                  <w:sz w:val="18"/>
                  <w:szCs w:val="18"/>
                  <w:color w:val="auto"/>
                </w:rPr>
                <w:t>Amendment to License Agreement, dated August 21, 2015, by and between the Company and Antecip Bioventures II LLC (Incorporated</w:t>
              </w:r>
            </w:hyperlink>
          </w:p>
        </w:tc>
        <w:tc>
          <w:tcPr>
            <w:tcW w:w="12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358">
              <w:r>
                <w:rPr>
                  <w:rFonts w:ascii="Times New Roman" w:cs="Times New Roman" w:eastAsia="Times New Roman" w:hAnsi="Times New Roman"/>
                  <w:sz w:val="18"/>
                  <w:szCs w:val="18"/>
                  <w:color w:val="auto"/>
                  <w:w w:val="99"/>
                </w:rPr>
                <w:t>by reference, Exhibit 10.2 to the Company’s Registration Statement on Form S-1 (No. 333-207393), filed October 13, 2015).</w:t>
              </w:r>
            </w:hyperlink>
          </w:p>
        </w:tc>
        <w:tc>
          <w:tcPr>
            <w:tcW w:w="1060" w:type="dxa"/>
            <w:vAlign w:val="bottom"/>
            <w:gridSpan w:val="19"/>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w:t>
            </w:r>
          </w:p>
        </w:tc>
        <w:tc>
          <w:tcPr>
            <w:tcW w:w="9440" w:type="dxa"/>
            <w:vAlign w:val="bottom"/>
            <w:tcBorders>
              <w:bottom w:val="single" w:sz="8" w:color="0000EE"/>
            </w:tcBorders>
            <w:gridSpan w:val="15"/>
          </w:tcPr>
          <w:p>
            <w:pPr>
              <w:spacing w:after="0"/>
              <w:rPr>
                <w:rFonts w:ascii="Times New Roman" w:cs="Times New Roman" w:eastAsia="Times New Roman" w:hAnsi="Times New Roman"/>
                <w:sz w:val="18"/>
                <w:szCs w:val="18"/>
                <w:color w:val="auto"/>
              </w:rPr>
            </w:pPr>
            <w:hyperlink r:id="rId359">
              <w:r>
                <w:rPr>
                  <w:rFonts w:ascii="Times New Roman" w:cs="Times New Roman" w:eastAsia="Times New Roman" w:hAnsi="Times New Roman"/>
                  <w:sz w:val="18"/>
                  <w:szCs w:val="18"/>
                  <w:color w:val="auto"/>
                </w:rPr>
                <w:t>License Agreement, dated April 17, 2012, by and between the Company and Antecip Bioventures II LLC, as modified by the First</w:t>
              </w:r>
            </w:hyperlink>
          </w:p>
        </w:tc>
        <w:tc>
          <w:tcPr>
            <w:tcW w:w="640" w:type="dxa"/>
            <w:vAlign w:val="bottom"/>
            <w:gridSpan w:val="16"/>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359">
              <w:r>
                <w:rPr>
                  <w:rFonts w:ascii="Times New Roman" w:cs="Times New Roman" w:eastAsia="Times New Roman" w:hAnsi="Times New Roman"/>
                  <w:sz w:val="18"/>
                  <w:szCs w:val="18"/>
                  <w:color w:val="auto"/>
                </w:rPr>
                <w:t>Amendment to License Agreement, dated August 21, 2015, by and between the Company and Antecip Bioventures II LLC (Incorporated</w:t>
              </w:r>
            </w:hyperlink>
          </w:p>
        </w:tc>
        <w:tc>
          <w:tcPr>
            <w:tcW w:w="12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359">
              <w:r>
                <w:rPr>
                  <w:rFonts w:ascii="Times New Roman" w:cs="Times New Roman" w:eastAsia="Times New Roman" w:hAnsi="Times New Roman"/>
                  <w:sz w:val="18"/>
                  <w:szCs w:val="18"/>
                  <w:color w:val="auto"/>
                  <w:w w:val="99"/>
                </w:rPr>
                <w:t>by reference, Exhibit 10.3 to the Company’s Registration Statement on Form S-1 (No. 333-207393), filed October 13, 2015).</w:t>
              </w:r>
            </w:hyperlink>
          </w:p>
        </w:tc>
        <w:tc>
          <w:tcPr>
            <w:tcW w:w="1060" w:type="dxa"/>
            <w:vAlign w:val="bottom"/>
            <w:gridSpan w:val="19"/>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10.15++</w:t>
            </w:r>
          </w:p>
        </w:tc>
        <w:tc>
          <w:tcPr>
            <w:tcW w:w="9300" w:type="dxa"/>
            <w:vAlign w:val="bottom"/>
            <w:tcBorders>
              <w:bottom w:val="single" w:sz="8" w:color="0000EE"/>
            </w:tcBorders>
            <w:gridSpan w:val="14"/>
          </w:tcPr>
          <w:p>
            <w:pPr>
              <w:spacing w:after="0"/>
              <w:rPr>
                <w:rFonts w:ascii="Times New Roman" w:cs="Times New Roman" w:eastAsia="Times New Roman" w:hAnsi="Times New Roman"/>
                <w:sz w:val="18"/>
                <w:szCs w:val="18"/>
                <w:color w:val="auto"/>
              </w:rPr>
            </w:pPr>
            <w:hyperlink r:id="rId360">
              <w:r>
                <w:rPr>
                  <w:rFonts w:ascii="Times New Roman" w:cs="Times New Roman" w:eastAsia="Times New Roman" w:hAnsi="Times New Roman"/>
                  <w:sz w:val="18"/>
                  <w:szCs w:val="18"/>
                  <w:color w:val="auto"/>
                </w:rPr>
                <w:t>License Agreement, dated June 6, 2012, by and between the Company and Antecip Bioventures II LLC, as modified by the First</w:t>
              </w:r>
            </w:hyperlink>
          </w:p>
        </w:tc>
        <w:tc>
          <w:tcPr>
            <w:tcW w:w="780" w:type="dxa"/>
            <w:vAlign w:val="bottom"/>
            <w:gridSpan w:val="17"/>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6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auto"/>
              </w:rPr>
            </w:pPr>
            <w:hyperlink r:id="rId360">
              <w:r>
                <w:rPr>
                  <w:rFonts w:ascii="Times New Roman" w:cs="Times New Roman" w:eastAsia="Times New Roman" w:hAnsi="Times New Roman"/>
                  <w:sz w:val="18"/>
                  <w:szCs w:val="18"/>
                  <w:color w:val="auto"/>
                </w:rPr>
                <w:t>Amendment to License Agreement, dated August 21, 2015, by and between the Company and Antecip Bioventures II LLC (Incorporated</w:t>
              </w:r>
            </w:hyperlink>
          </w:p>
        </w:tc>
        <w:tc>
          <w:tcPr>
            <w:tcW w:w="120" w:type="dxa"/>
            <w:vAlign w:val="bottom"/>
            <w:gridSpan w:val="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0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auto"/>
                <w:w w:val="99"/>
              </w:rPr>
            </w:pPr>
            <w:hyperlink r:id="rId360">
              <w:r>
                <w:rPr>
                  <w:rFonts w:ascii="Times New Roman" w:cs="Times New Roman" w:eastAsia="Times New Roman" w:hAnsi="Times New Roman"/>
                  <w:sz w:val="18"/>
                  <w:szCs w:val="18"/>
                  <w:color w:val="auto"/>
                  <w:w w:val="99"/>
                </w:rPr>
                <w:t>by reference, Exhibit 10.4 to the Company’s Registration Statement on Form S-1 (No. 333-207393), filed October 13, 2015).</w:t>
              </w:r>
            </w:hyperlink>
          </w:p>
        </w:tc>
        <w:tc>
          <w:tcPr>
            <w:tcW w:w="1060" w:type="dxa"/>
            <w:vAlign w:val="bottom"/>
            <w:gridSpan w:val="19"/>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10.16+</w:t>
            </w:r>
          </w:p>
        </w:tc>
        <w:tc>
          <w:tcPr>
            <w:tcW w:w="920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Consulting Agreement, dated April 13, 2012, by and between the Company and Mark Coleman, M.D., as modified by the First</w:t>
              </w:r>
            </w:hyperlink>
          </w:p>
        </w:tc>
        <w:tc>
          <w:tcPr>
            <w:tcW w:w="880" w:type="dxa"/>
            <w:vAlign w:val="bottom"/>
            <w:gridSpan w:val="18"/>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5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auto"/>
              </w:rPr>
            </w:pPr>
            <w:hyperlink r:id="rId361">
              <w:r>
                <w:rPr>
                  <w:rFonts w:ascii="Times New Roman" w:cs="Times New Roman" w:eastAsia="Times New Roman" w:hAnsi="Times New Roman"/>
                  <w:sz w:val="18"/>
                  <w:szCs w:val="18"/>
                  <w:color w:val="auto"/>
                </w:rPr>
                <w:t>Amendment to Consulting Agreement, dated June 2, 2014, by and between the Company and Mark Coleman, M.D (Incorporated by</w:t>
              </w:r>
            </w:hyperlink>
          </w:p>
        </w:tc>
        <w:tc>
          <w:tcPr>
            <w:tcW w:w="500" w:type="dxa"/>
            <w:vAlign w:val="bottom"/>
            <w:gridSpan w:val="14"/>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88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auto"/>
                <w:w w:val="99"/>
              </w:rPr>
            </w:pPr>
            <w:hyperlink r:id="rId361">
              <w:r>
                <w:rPr>
                  <w:rFonts w:ascii="Times New Roman" w:cs="Times New Roman" w:eastAsia="Times New Roman" w:hAnsi="Times New Roman"/>
                  <w:sz w:val="18"/>
                  <w:szCs w:val="18"/>
                  <w:color w:val="auto"/>
                  <w:w w:val="99"/>
                </w:rPr>
                <w:t>reference, Exhibit 10.5 to the Company’s Registration Statement on Form S-1 (No. 333-207393), filed October 13, 2015).</w:t>
              </w:r>
            </w:hyperlink>
          </w:p>
        </w:tc>
        <w:tc>
          <w:tcPr>
            <w:tcW w:w="1280" w:type="dxa"/>
            <w:vAlign w:val="bottom"/>
            <w:gridSpan w:val="20"/>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10.17</w:t>
            </w:r>
          </w:p>
        </w:tc>
        <w:tc>
          <w:tcPr>
            <w:tcW w:w="9940" w:type="dxa"/>
            <w:vAlign w:val="bottom"/>
            <w:tcBorders>
              <w:bottom w:val="single" w:sz="8" w:color="0000EE"/>
            </w:tcBorders>
            <w:gridSpan w:val="26"/>
          </w:tcPr>
          <w:p>
            <w:pPr>
              <w:spacing w:after="0"/>
              <w:rPr>
                <w:rFonts w:ascii="Times New Roman" w:cs="Times New Roman" w:eastAsia="Times New Roman" w:hAnsi="Times New Roman"/>
                <w:sz w:val="18"/>
                <w:szCs w:val="18"/>
                <w:color w:val="auto"/>
              </w:rPr>
            </w:pPr>
            <w:hyperlink r:id="rId362">
              <w:r>
                <w:rPr>
                  <w:rFonts w:ascii="Times New Roman" w:cs="Times New Roman" w:eastAsia="Times New Roman" w:hAnsi="Times New Roman"/>
                  <w:sz w:val="18"/>
                  <w:szCs w:val="18"/>
                  <w:color w:val="auto"/>
                </w:rPr>
                <w:t>Form of Purchase Agreement, dated November 30, 2017, among Axsome Therapeutics, Inc. and the purchasers thereunder (Incorporated</w:t>
              </w:r>
            </w:hyperlink>
          </w:p>
        </w:tc>
        <w:tc>
          <w:tcPr>
            <w:tcW w:w="14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2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362">
              <w:r>
                <w:rPr>
                  <w:rFonts w:ascii="Times New Roman" w:cs="Times New Roman" w:eastAsia="Times New Roman" w:hAnsi="Times New Roman"/>
                  <w:sz w:val="18"/>
                  <w:szCs w:val="18"/>
                  <w:color w:val="auto"/>
                  <w:w w:val="99"/>
                </w:rPr>
                <w:t>by reference, Exhibit 10.1 to the Company’s Current Report on Form 8-K, filed December 4, 2017).</w:t>
              </w:r>
            </w:hyperlink>
          </w:p>
        </w:tc>
        <w:tc>
          <w:tcPr>
            <w:tcW w:w="2860" w:type="dxa"/>
            <w:vAlign w:val="bottom"/>
            <w:gridSpan w:val="23"/>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10.18+</w:t>
            </w:r>
          </w:p>
        </w:tc>
        <w:tc>
          <w:tcPr>
            <w:tcW w:w="10040" w:type="dxa"/>
            <w:vAlign w:val="bottom"/>
            <w:tcBorders>
              <w:bottom w:val="single" w:sz="8" w:color="0000EE"/>
            </w:tcBorders>
            <w:gridSpan w:val="30"/>
          </w:tcPr>
          <w:p>
            <w:pPr>
              <w:spacing w:after="0"/>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Nick Pizzie Offer Letter, dated April 16, 2018 (Incorporated by reference, Exhibit 10.1 to the Company’s Quarterly Report on Form 10-Q,</w:t>
              </w:r>
            </w:hyperlink>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auto"/>
              </w:rPr>
            </w:pPr>
            <w:hyperlink r:id="rId363">
              <w:r>
                <w:rPr>
                  <w:rFonts w:ascii="Times New Roman" w:cs="Times New Roman" w:eastAsia="Times New Roman" w:hAnsi="Times New Roman"/>
                  <w:sz w:val="18"/>
                  <w:szCs w:val="18"/>
                  <w:color w:val="auto"/>
                </w:rPr>
                <w:t>filed May 8, 2018).</w:t>
              </w:r>
            </w:hyperlink>
          </w:p>
        </w:tc>
      </w:tr>
      <w:tr>
        <w:trPr>
          <w:trHeight w:val="20"/>
        </w:trPr>
        <w:tc>
          <w:tcPr>
            <w:tcW w:w="11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10.19</w:t>
            </w:r>
          </w:p>
        </w:tc>
        <w:tc>
          <w:tcPr>
            <w:tcW w:w="976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64">
              <w:r>
                <w:rPr>
                  <w:rFonts w:ascii="Times New Roman" w:cs="Times New Roman" w:eastAsia="Times New Roman" w:hAnsi="Times New Roman"/>
                  <w:sz w:val="18"/>
                  <w:szCs w:val="18"/>
                  <w:color w:val="auto"/>
                </w:rPr>
                <w:t>Form of Purchase Agreement, dated September 27, 2018, by and among the Company and the investors party thereto (Incorporated by</w:t>
              </w:r>
            </w:hyperlink>
          </w:p>
        </w:tc>
        <w:tc>
          <w:tcPr>
            <w:tcW w:w="32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auto"/>
              </w:rPr>
            </w:pPr>
            <w:hyperlink r:id="rId364">
              <w:r>
                <w:rPr>
                  <w:rFonts w:ascii="Times New Roman" w:cs="Times New Roman" w:eastAsia="Times New Roman" w:hAnsi="Times New Roman"/>
                  <w:sz w:val="18"/>
                  <w:szCs w:val="18"/>
                  <w:color w:val="auto"/>
                </w:rPr>
                <w:t>reference, Exhibit 10.1 to the Company’s Current Report on Form 8-K, filed September 28, 2018).</w:t>
              </w:r>
            </w:hyperlink>
          </w:p>
        </w:tc>
      </w:tr>
      <w:tr>
        <w:trPr>
          <w:trHeight w:val="20"/>
        </w:trPr>
        <w:tc>
          <w:tcPr>
            <w:tcW w:w="116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80" w:type="dxa"/>
            <w:vAlign w:val="bottom"/>
            <w:tcBorders>
              <w:right w:val="single" w:sz="8" w:color="0000EE"/>
            </w:tcBorders>
            <w:shd w:val="clear" w:color="auto" w:fill="0000EE"/>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10.20+++</w:t>
            </w:r>
          </w:p>
        </w:tc>
        <w:tc>
          <w:tcPr>
            <w:tcW w:w="10020" w:type="dxa"/>
            <w:vAlign w:val="bottom"/>
            <w:tcBorders>
              <w:bottom w:val="single" w:sz="8" w:color="0000EE"/>
            </w:tcBorders>
            <w:gridSpan w:val="29"/>
          </w:tcPr>
          <w:p>
            <w:pPr>
              <w:spacing w:after="0"/>
              <w:rPr>
                <w:rFonts w:ascii="Times New Roman" w:cs="Times New Roman" w:eastAsia="Times New Roman" w:hAnsi="Times New Roman"/>
                <w:sz w:val="18"/>
                <w:szCs w:val="18"/>
                <w:color w:val="auto"/>
              </w:rPr>
            </w:pPr>
            <w:hyperlink r:id="rId365">
              <w:r>
                <w:rPr>
                  <w:rFonts w:ascii="Times New Roman" w:cs="Times New Roman" w:eastAsia="Times New Roman" w:hAnsi="Times New Roman"/>
                  <w:sz w:val="18"/>
                  <w:szCs w:val="18"/>
                  <w:color w:val="auto"/>
                </w:rPr>
                <w:t>License Agreement, dated January 10, 2020, by and between the Company and Pfizer Inc. (Incorporated by reference, Exhibit 10.15 to the</w:t>
              </w:r>
            </w:hyperlink>
          </w:p>
        </w:tc>
        <w:tc>
          <w:tcPr>
            <w:tcW w:w="6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47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auto"/>
                <w:w w:val="99"/>
              </w:rPr>
            </w:pPr>
            <w:hyperlink r:id="rId365">
              <w:r>
                <w:rPr>
                  <w:rFonts w:ascii="Times New Roman" w:cs="Times New Roman" w:eastAsia="Times New Roman" w:hAnsi="Times New Roman"/>
                  <w:sz w:val="18"/>
                  <w:szCs w:val="18"/>
                  <w:color w:val="auto"/>
                  <w:w w:val="99"/>
                </w:rPr>
                <w:t>Company’s Annual Report on Form 10-K, filed March 12 2020).</w:t>
              </w:r>
            </w:hyperlink>
          </w:p>
        </w:tc>
        <w:tc>
          <w:tcPr>
            <w:tcW w:w="5380" w:type="dxa"/>
            <w:vAlign w:val="bottom"/>
            <w:gridSpan w:val="26"/>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10.21</w:t>
            </w:r>
          </w:p>
        </w:tc>
        <w:tc>
          <w:tcPr>
            <w:tcW w:w="10080" w:type="dxa"/>
            <w:vAlign w:val="bottom"/>
            <w:tcBorders>
              <w:bottom w:val="single" w:sz="8" w:color="0000EE"/>
            </w:tcBorders>
            <w:gridSpan w:val="31"/>
          </w:tcPr>
          <w:p>
            <w:pPr>
              <w:spacing w:after="0"/>
              <w:rPr>
                <w:rFonts w:ascii="Times New Roman" w:cs="Times New Roman" w:eastAsia="Times New Roman" w:hAnsi="Times New Roman"/>
                <w:sz w:val="18"/>
                <w:szCs w:val="18"/>
                <w:color w:val="auto"/>
              </w:rPr>
            </w:pPr>
            <w:hyperlink r:id="rId366">
              <w:r>
                <w:rPr>
                  <w:rFonts w:ascii="Times New Roman" w:cs="Times New Roman" w:eastAsia="Times New Roman" w:hAnsi="Times New Roman"/>
                  <w:sz w:val="18"/>
                  <w:szCs w:val="18"/>
                  <w:color w:val="auto"/>
                </w:rPr>
                <w:t>Share Transfer Agreement by and between the Company and Pfizer Inc. (Incorporated by reference, Exhibit 10.1 to the Company’s Current</w:t>
              </w:r>
            </w:hyperlink>
          </w:p>
        </w:tc>
      </w:tr>
      <w:tr>
        <w:trPr>
          <w:trHeight w:val="196"/>
        </w:trPr>
        <w:tc>
          <w:tcPr>
            <w:tcW w:w="116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auto"/>
              </w:rPr>
            </w:pPr>
            <w:hyperlink r:id="rId366">
              <w:r>
                <w:rPr>
                  <w:rFonts w:ascii="Times New Roman" w:cs="Times New Roman" w:eastAsia="Times New Roman" w:hAnsi="Times New Roman"/>
                  <w:sz w:val="18"/>
                  <w:szCs w:val="18"/>
                  <w:color w:val="auto"/>
                </w:rPr>
                <w:t>Report on Form 8-K, filed January 13, 2020).</w:t>
              </w:r>
            </w:hyperlink>
          </w:p>
        </w:tc>
      </w:tr>
      <w:tr>
        <w:trPr>
          <w:trHeight w:val="20"/>
        </w:trPr>
        <w:tc>
          <w:tcPr>
            <w:tcW w:w="1160" w:type="dxa"/>
            <w:vAlign w:val="bottom"/>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40" w:type="dxa"/>
            <w:vAlign w:val="bottom"/>
            <w:gridSpan w:val="1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9840" w:type="dxa"/>
            <w:vAlign w:val="bottom"/>
            <w:tcBorders>
              <w:bottom w:val="single" w:sz="8" w:color="0000EE"/>
            </w:tcBorders>
            <w:gridSpan w:val="22"/>
          </w:tcPr>
          <w:p>
            <w:pPr>
              <w:spacing w:after="0"/>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Loan Agreement, dated May 8, 2025, by and among Axsome Therapeutics, Inc., certain subsidiaries of Axsome Therapeutics, Inc. from</w:t>
              </w:r>
            </w:hyperlink>
          </w:p>
        </w:tc>
        <w:tc>
          <w:tcPr>
            <w:tcW w:w="240" w:type="dxa"/>
            <w:vAlign w:val="bottom"/>
            <w:gridSpan w:val="9"/>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8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time to time party thereto, Wilmington Trust, National Association, as agent, Blackstone Alternative Credit Advisors LP and Blackstone</w:t>
              </w:r>
            </w:hyperlink>
          </w:p>
        </w:tc>
        <w:tc>
          <w:tcPr>
            <w:tcW w:w="200" w:type="dxa"/>
            <w:vAlign w:val="bottom"/>
            <w:gridSpan w:val="8"/>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99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Life Sciences Advisors L.L.C., as Blackstone Representative, and the lenders from time to time party thereto (Incorporated by reference,</w:t>
              </w:r>
            </w:hyperlink>
          </w:p>
        </w:tc>
        <w:tc>
          <w:tcPr>
            <w:tcW w:w="18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62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auto"/>
                <w:w w:val="99"/>
              </w:rPr>
            </w:pPr>
            <w:hyperlink r:id="rId367">
              <w:r>
                <w:rPr>
                  <w:rFonts w:ascii="Times New Roman" w:cs="Times New Roman" w:eastAsia="Times New Roman" w:hAnsi="Times New Roman"/>
                  <w:sz w:val="18"/>
                  <w:szCs w:val="18"/>
                  <w:color w:val="auto"/>
                  <w:w w:val="99"/>
                </w:rPr>
                <w:t>Exhibit 10.2 to the Company's Quarterly Report on Form 10-Q, filed August 4, 2025).</w:t>
              </w:r>
            </w:hyperlink>
          </w:p>
        </w:tc>
        <w:tc>
          <w:tcPr>
            <w:tcW w:w="3860" w:type="dxa"/>
            <w:vAlign w:val="bottom"/>
            <w:gridSpan w:val="25"/>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9960" w:type="dxa"/>
            <w:vAlign w:val="bottom"/>
            <w:tcBorders>
              <w:bottom w:val="single" w:sz="8" w:color="0000EE"/>
            </w:tcBorders>
            <w:gridSpan w:val="27"/>
          </w:tcPr>
          <w:p>
            <w:pPr>
              <w:spacing w:after="0"/>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Securities Purchase Agreement, dated May 8, 2025, by and among Axsome Therapeutics, Inc., Axis Aggregator, L.P., Blackstone Private</w:t>
              </w:r>
            </w:hyperlink>
          </w:p>
        </w:tc>
        <w:tc>
          <w:tcPr>
            <w:tcW w:w="12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99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auto"/>
              </w:rPr>
            </w:pPr>
            <w:hyperlink r:id="rId368">
              <w:r>
                <w:rPr>
                  <w:rFonts w:ascii="Times New Roman" w:cs="Times New Roman" w:eastAsia="Times New Roman" w:hAnsi="Times New Roman"/>
                  <w:sz w:val="18"/>
                  <w:szCs w:val="18"/>
                  <w:color w:val="auto"/>
                </w:rPr>
                <w:t>Credit Fund and Blackstone Secured Lending Fund (Incorporated by reference, Exhibit 10.3 to the Company's Quarterly Report on Form</w:t>
              </w:r>
            </w:hyperlink>
          </w:p>
        </w:tc>
        <w:tc>
          <w:tcPr>
            <w:tcW w:w="160" w:type="dxa"/>
            <w:vAlign w:val="bottom"/>
            <w:gridSpan w:val="6"/>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0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auto"/>
                <w:w w:val="99"/>
              </w:rPr>
            </w:pPr>
            <w:hyperlink r:id="rId368">
              <w:r>
                <w:rPr>
                  <w:rFonts w:ascii="Times New Roman" w:cs="Times New Roman" w:eastAsia="Times New Roman" w:hAnsi="Times New Roman"/>
                  <w:sz w:val="18"/>
                  <w:szCs w:val="18"/>
                  <w:color w:val="auto"/>
                  <w:w w:val="99"/>
                </w:rPr>
                <w:t>10-Q, filed August 4, 2025).</w:t>
              </w:r>
            </w:hyperlink>
          </w:p>
        </w:tc>
        <w:tc>
          <w:tcPr>
            <w:tcW w:w="8020" w:type="dxa"/>
            <w:vAlign w:val="bottom"/>
            <w:gridSpan w:val="29"/>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9760" w:type="dxa"/>
            <w:vAlign w:val="bottom"/>
            <w:tcBorders>
              <w:bottom w:val="single" w:sz="8" w:color="0000EE"/>
            </w:tcBorders>
            <w:gridSpan w:val="20"/>
          </w:tcPr>
          <w:p>
            <w:pPr>
              <w:spacing w:after="0"/>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Direct Agreement, dated May 8, 2025, by and among Axsome Therapeutics, Inc., Antecip Bioventures II LLC, and Wilmington Trust,</w:t>
              </w:r>
            </w:hyperlink>
          </w:p>
        </w:tc>
        <w:tc>
          <w:tcPr>
            <w:tcW w:w="320" w:type="dxa"/>
            <w:vAlign w:val="bottom"/>
            <w:gridSpan w:val="11"/>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auto"/>
              </w:rPr>
            </w:pPr>
            <w:hyperlink r:id="rId367">
              <w:r>
                <w:rPr>
                  <w:rFonts w:ascii="Times New Roman" w:cs="Times New Roman" w:eastAsia="Times New Roman" w:hAnsi="Times New Roman"/>
                  <w:sz w:val="18"/>
                  <w:szCs w:val="18"/>
                  <w:color w:val="auto"/>
                </w:rPr>
                <w:t>National Association (Incorporated by reference, Exhibit 10.2 to the Company’s Quarterly Report on Form 10-Q, filed August 4, 2025).</w:t>
              </w:r>
            </w:hyperlink>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9740" w:type="dxa"/>
            <w:vAlign w:val="bottom"/>
            <w:tcBorders>
              <w:top w:val="single" w:sz="8" w:color="0000EE"/>
              <w:bottom w:val="single" w:sz="8" w:color="0000EE"/>
            </w:tcBorders>
            <w:gridSpan w:val="19"/>
          </w:tcPr>
          <w:p>
            <w:pPr>
              <w:spacing w:after="0"/>
              <w:rPr>
                <w:rFonts w:ascii="Times New Roman" w:cs="Times New Roman" w:eastAsia="Times New Roman" w:hAnsi="Times New Roman"/>
                <w:sz w:val="18"/>
                <w:szCs w:val="18"/>
                <w:color w:val="auto"/>
              </w:rPr>
            </w:pPr>
            <w:hyperlink r:id="rId369">
              <w:r>
                <w:rPr>
                  <w:rFonts w:ascii="Times New Roman" w:cs="Times New Roman" w:eastAsia="Times New Roman" w:hAnsi="Times New Roman"/>
                  <w:sz w:val="18"/>
                  <w:szCs w:val="18"/>
                  <w:color w:val="auto"/>
                </w:rPr>
                <w:t>Asset Purchase Agreement, dated March 25, 2022, between Jazz Pharmaceuticals plc and Axsome Therapeutics, Inc. (Incorporated by</w:t>
              </w:r>
            </w:hyperlink>
          </w:p>
        </w:tc>
        <w:tc>
          <w:tcPr>
            <w:tcW w:w="60" w:type="dxa"/>
            <w:vAlign w:val="bottom"/>
            <w:tcBorders>
              <w:top w:val="single" w:sz="8" w:color="0000EE"/>
            </w:tcBorders>
            <w:gridSpan w:val="2"/>
          </w:tcPr>
          <w:p>
            <w:pPr>
              <w:spacing w:after="0"/>
              <w:rPr>
                <w:sz w:val="24"/>
                <w:szCs w:val="24"/>
                <w:color w:val="auto"/>
              </w:rPr>
            </w:pPr>
          </w:p>
        </w:tc>
        <w:tc>
          <w:tcPr>
            <w:tcW w:w="280" w:type="dxa"/>
            <w:vAlign w:val="bottom"/>
            <w:gridSpan w:val="10"/>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31"/>
          </w:tcPr>
          <w:p>
            <w:pPr>
              <w:spacing w:after="0" w:line="196" w:lineRule="exact"/>
              <w:rPr>
                <w:rFonts w:ascii="Times New Roman" w:cs="Times New Roman" w:eastAsia="Times New Roman" w:hAnsi="Times New Roman"/>
                <w:sz w:val="18"/>
                <w:szCs w:val="18"/>
                <w:color w:val="auto"/>
              </w:rPr>
            </w:pPr>
            <w:hyperlink r:id="rId369">
              <w:r>
                <w:rPr>
                  <w:rFonts w:ascii="Times New Roman" w:cs="Times New Roman" w:eastAsia="Times New Roman" w:hAnsi="Times New Roman"/>
                  <w:sz w:val="18"/>
                  <w:szCs w:val="18"/>
                  <w:color w:val="auto"/>
                </w:rPr>
                <w:t>reference, Exhibit 10.1 to the Company’s Current Report on Form 8-K, filed on March 31, 2022).</w:t>
              </w:r>
            </w:hyperlink>
          </w:p>
        </w:tc>
      </w:tr>
      <w:tr>
        <w:trPr>
          <w:trHeight w:val="520"/>
        </w:trPr>
        <w:tc>
          <w:tcPr>
            <w:tcW w:w="1160" w:type="dxa"/>
            <w:vAlign w:val="bottom"/>
          </w:tcPr>
          <w:p>
            <w:pPr>
              <w:spacing w:after="0"/>
              <w:rPr>
                <w:sz w:val="24"/>
                <w:szCs w:val="24"/>
                <w:color w:val="auto"/>
              </w:rPr>
            </w:pPr>
          </w:p>
        </w:tc>
        <w:tc>
          <w:tcPr>
            <w:tcW w:w="4700" w:type="dxa"/>
            <w:vAlign w:val="bottom"/>
            <w:tcBorders>
              <w:top w:val="single" w:sz="8" w:color="0000EE"/>
            </w:tcBorders>
            <w:gridSpan w:val="5"/>
          </w:tcPr>
          <w:p>
            <w:pPr>
              <w:ind w:left="4320"/>
              <w:spacing w:after="0"/>
              <w:rPr>
                <w:sz w:val="20"/>
                <w:szCs w:val="20"/>
                <w:color w:val="auto"/>
              </w:rPr>
            </w:pPr>
            <w:r>
              <w:rPr>
                <w:rFonts w:ascii="Times New Roman" w:cs="Times New Roman" w:eastAsia="Times New Roman" w:hAnsi="Times New Roman"/>
                <w:sz w:val="18"/>
                <w:szCs w:val="18"/>
                <w:color w:val="auto"/>
              </w:rPr>
              <w:t>133</w:t>
            </w:r>
          </w:p>
        </w:tc>
        <w:tc>
          <w:tcPr>
            <w:tcW w:w="152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9600" w:type="dxa"/>
            <w:vAlign w:val="bottom"/>
            <w:tcBorders>
              <w:bottom w:val="single" w:sz="8" w:color="0000EE"/>
            </w:tcBorders>
            <w:gridSpan w:val="10"/>
          </w:tcPr>
          <w:p>
            <w:pPr>
              <w:spacing w:after="0"/>
              <w:rPr>
                <w:rFonts w:ascii="Times New Roman" w:cs="Times New Roman" w:eastAsia="Times New Roman" w:hAnsi="Times New Roman"/>
                <w:sz w:val="18"/>
                <w:szCs w:val="18"/>
                <w:color w:val="auto"/>
              </w:rPr>
            </w:pPr>
            <w:hyperlink r:id="rId372">
              <w:r>
                <w:rPr>
                  <w:rFonts w:ascii="Times New Roman" w:cs="Times New Roman" w:eastAsia="Times New Roman" w:hAnsi="Times New Roman"/>
                  <w:sz w:val="18"/>
                  <w:szCs w:val="18"/>
                  <w:color w:val="auto"/>
                </w:rPr>
                <w:t>License Agreement, dated February 21, 2023, by and between Axsome Malta Ltd. and Atnahs Pharma UK Limited (Incorporated by</w:t>
              </w:r>
            </w:hyperlink>
          </w:p>
        </w:tc>
        <w:tc>
          <w:tcPr>
            <w:tcW w:w="480" w:type="dxa"/>
            <w:vAlign w:val="bottom"/>
            <w:gridSpan w:val="7"/>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7"/>
          </w:tcPr>
          <w:p>
            <w:pPr>
              <w:spacing w:after="0" w:line="196" w:lineRule="exact"/>
              <w:rPr>
                <w:rFonts w:ascii="Times New Roman" w:cs="Times New Roman" w:eastAsia="Times New Roman" w:hAnsi="Times New Roman"/>
                <w:sz w:val="18"/>
                <w:szCs w:val="18"/>
                <w:color w:val="auto"/>
              </w:rPr>
            </w:pPr>
            <w:hyperlink r:id="rId372">
              <w:r>
                <w:rPr>
                  <w:rFonts w:ascii="Times New Roman" w:cs="Times New Roman" w:eastAsia="Times New Roman" w:hAnsi="Times New Roman"/>
                  <w:sz w:val="18"/>
                  <w:szCs w:val="18"/>
                  <w:color w:val="auto"/>
                </w:rPr>
                <w:t>reference, Exhibit 10.1 to the Company’s Quarterly Report on Form 10-Q, filed May 9, 2023).</w:t>
              </w:r>
            </w:hyperlink>
          </w:p>
        </w:tc>
      </w:tr>
      <w:tr>
        <w:trPr>
          <w:trHeight w:val="20"/>
        </w:trPr>
        <w:tc>
          <w:tcPr>
            <w:tcW w:w="116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10.27+++</w:t>
            </w:r>
          </w:p>
        </w:tc>
        <w:tc>
          <w:tcPr>
            <w:tcW w:w="100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73">
              <w:r>
                <w:rPr>
                  <w:rFonts w:ascii="Times New Roman" w:cs="Times New Roman" w:eastAsia="Times New Roman" w:hAnsi="Times New Roman"/>
                  <w:sz w:val="18"/>
                  <w:szCs w:val="18"/>
                  <w:color w:val="auto"/>
                </w:rPr>
                <w:t>Sublease, dated February 21, 2023, between Advance Magazine Publishers d/b/a Condé Nast and Axsome Therapeutics, Inc. (Incorporated</w:t>
              </w:r>
            </w:hyperlink>
          </w:p>
        </w:tc>
      </w:tr>
      <w:tr>
        <w:trPr>
          <w:trHeight w:val="196"/>
        </w:trPr>
        <w:tc>
          <w:tcPr>
            <w:tcW w:w="1160" w:type="dxa"/>
            <w:vAlign w:val="bottom"/>
          </w:tcPr>
          <w:p>
            <w:pPr>
              <w:spacing w:after="0"/>
              <w:rPr>
                <w:sz w:val="17"/>
                <w:szCs w:val="17"/>
                <w:color w:val="auto"/>
              </w:rPr>
            </w:pPr>
          </w:p>
        </w:tc>
        <w:tc>
          <w:tcPr>
            <w:tcW w:w="70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auto"/>
                <w:w w:val="99"/>
              </w:rPr>
            </w:pPr>
            <w:hyperlink r:id="rId373">
              <w:r>
                <w:rPr>
                  <w:rFonts w:ascii="Times New Roman" w:cs="Times New Roman" w:eastAsia="Times New Roman" w:hAnsi="Times New Roman"/>
                  <w:sz w:val="18"/>
                  <w:szCs w:val="18"/>
                  <w:color w:val="auto"/>
                  <w:w w:val="99"/>
                </w:rPr>
                <w:t>by reference, Exhibit 10.3 to the Company’s Quarterly Report on Form 10-Q, filed May 9, 2023).</w:t>
              </w:r>
            </w:hyperlink>
          </w:p>
        </w:tc>
        <w:tc>
          <w:tcPr>
            <w:tcW w:w="3040" w:type="dxa"/>
            <w:vAlign w:val="bottom"/>
            <w:gridSpan w:val="9"/>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10.28+++</w:t>
            </w:r>
          </w:p>
        </w:tc>
        <w:tc>
          <w:tcPr>
            <w:tcW w:w="10080" w:type="dxa"/>
            <w:vAlign w:val="bottom"/>
            <w:tcBorders>
              <w:bottom w:val="single" w:sz="8" w:color="0000EE"/>
            </w:tcBorders>
            <w:gridSpan w:val="17"/>
          </w:tcPr>
          <w:p>
            <w:pPr>
              <w:spacing w:after="0"/>
              <w:rPr>
                <w:rFonts w:ascii="Times New Roman" w:cs="Times New Roman" w:eastAsia="Times New Roman" w:hAnsi="Times New Roman"/>
                <w:sz w:val="18"/>
                <w:szCs w:val="18"/>
                <w:color w:val="auto"/>
              </w:rPr>
            </w:pPr>
            <w:hyperlink r:id="rId374">
              <w:r>
                <w:rPr>
                  <w:rFonts w:ascii="Times New Roman" w:cs="Times New Roman" w:eastAsia="Times New Roman" w:hAnsi="Times New Roman"/>
                  <w:sz w:val="18"/>
                  <w:szCs w:val="18"/>
                  <w:color w:val="auto"/>
                </w:rPr>
                <w:t>Amendment to Sublease, dated January 17, 2025, between Advance Magazine Publishers Inc. d/b/a Condé Nast and Axsome Therapeutics,</w:t>
              </w:r>
            </w:hyperlink>
          </w:p>
        </w:tc>
      </w:tr>
      <w:tr>
        <w:trPr>
          <w:trHeight w:val="196"/>
        </w:trPr>
        <w:tc>
          <w:tcPr>
            <w:tcW w:w="1160" w:type="dxa"/>
            <w:vAlign w:val="bottom"/>
          </w:tcPr>
          <w:p>
            <w:pPr>
              <w:spacing w:after="0"/>
              <w:rPr>
                <w:sz w:val="17"/>
                <w:szCs w:val="17"/>
                <w:color w:val="auto"/>
              </w:rPr>
            </w:pPr>
          </w:p>
        </w:tc>
        <w:tc>
          <w:tcPr>
            <w:tcW w:w="83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auto"/>
                <w:w w:val="99"/>
              </w:rPr>
            </w:pPr>
            <w:hyperlink r:id="rId374">
              <w:r>
                <w:rPr>
                  <w:rFonts w:ascii="Times New Roman" w:cs="Times New Roman" w:eastAsia="Times New Roman" w:hAnsi="Times New Roman"/>
                  <w:sz w:val="18"/>
                  <w:szCs w:val="18"/>
                  <w:color w:val="auto"/>
                  <w:w w:val="99"/>
                </w:rPr>
                <w:t>Inc. (Incorporated by reference, Exhibit 10.1 to the Company's Quarterly Report on Form 10-Q, filed May 5, 2025).</w:t>
              </w:r>
            </w:hyperlink>
          </w:p>
        </w:tc>
        <w:tc>
          <w:tcPr>
            <w:tcW w:w="1720" w:type="dxa"/>
            <w:vAlign w:val="bottom"/>
            <w:gridSpan w:val="8"/>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19.1</w:t>
            </w:r>
          </w:p>
        </w:tc>
        <w:tc>
          <w:tcPr>
            <w:tcW w:w="9940" w:type="dxa"/>
            <w:vAlign w:val="bottom"/>
            <w:tcBorders>
              <w:bottom w:val="single" w:sz="8" w:color="0000EE"/>
            </w:tcBorders>
            <w:gridSpan w:val="14"/>
          </w:tcPr>
          <w:p>
            <w:pPr>
              <w:spacing w:after="0"/>
              <w:rPr>
                <w:rFonts w:ascii="Times New Roman" w:cs="Times New Roman" w:eastAsia="Times New Roman" w:hAnsi="Times New Roman"/>
                <w:sz w:val="18"/>
                <w:szCs w:val="18"/>
                <w:color w:val="auto"/>
                <w:w w:val="99"/>
              </w:rPr>
            </w:pPr>
            <w:hyperlink r:id="rId375">
              <w:r>
                <w:rPr>
                  <w:rFonts w:ascii="Times New Roman" w:cs="Times New Roman" w:eastAsia="Times New Roman" w:hAnsi="Times New Roman"/>
                  <w:sz w:val="18"/>
                  <w:szCs w:val="18"/>
                  <w:color w:val="auto"/>
                  <w:w w:val="99"/>
                </w:rPr>
                <w:t>Axsome Therapeutics, Inc. Insider Trading Policy (Incorporated by reference, Exhibit 19.1 to the Company’s Annual Report on Form 10-</w:t>
              </w:r>
            </w:hyperlink>
          </w:p>
        </w:tc>
        <w:tc>
          <w:tcPr>
            <w:tcW w:w="140" w:type="dxa"/>
            <w:vAlign w:val="bottom"/>
            <w:gridSpan w:val="3"/>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0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auto"/>
                <w:w w:val="99"/>
              </w:rPr>
            </w:pPr>
            <w:hyperlink r:id="rId375">
              <w:r>
                <w:rPr>
                  <w:rFonts w:ascii="Times New Roman" w:cs="Times New Roman" w:eastAsia="Times New Roman" w:hAnsi="Times New Roman"/>
                  <w:sz w:val="18"/>
                  <w:szCs w:val="18"/>
                  <w:color w:val="auto"/>
                  <w:w w:val="99"/>
                </w:rPr>
                <w:t>K, filed February 18, 2025).</w:t>
              </w:r>
            </w:hyperlink>
          </w:p>
        </w:tc>
        <w:tc>
          <w:tcPr>
            <w:tcW w:w="8040" w:type="dxa"/>
            <w:vAlign w:val="bottom"/>
            <w:gridSpan w:val="14"/>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2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9"/>
              </w:rPr>
              <w:t>Subsidiaries of the Company.</w:t>
            </w:r>
          </w:p>
        </w:tc>
        <w:tc>
          <w:tcPr>
            <w:tcW w:w="7940" w:type="dxa"/>
            <w:vAlign w:val="bottom"/>
            <w:gridSpan w:val="13"/>
          </w:tcPr>
          <w:p>
            <w:pPr>
              <w:spacing w:after="0"/>
              <w:rPr>
                <w:sz w:val="24"/>
                <w:szCs w:val="24"/>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26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9"/>
              </w:rPr>
              <w:t>Consent of Deloitte &amp; Touche LLP.</w:t>
            </w:r>
          </w:p>
        </w:tc>
        <w:tc>
          <w:tcPr>
            <w:tcW w:w="7480" w:type="dxa"/>
            <w:vAlign w:val="bottom"/>
            <w:gridSpan w:val="12"/>
          </w:tcPr>
          <w:p>
            <w:pPr>
              <w:spacing w:after="0"/>
              <w:rPr>
                <w:sz w:val="24"/>
                <w:szCs w:val="24"/>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97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Rule 13a-14(a)/15d-14(a), as adopted pursuant to Section 302 of the Sarbanes-</w:t>
            </w:r>
          </w:p>
        </w:tc>
        <w:tc>
          <w:tcPr>
            <w:tcW w:w="380" w:type="dxa"/>
            <w:vAlign w:val="bottom"/>
            <w:gridSpan w:val="5"/>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680" w:type="dxa"/>
            <w:vAlign w:val="bottom"/>
            <w:gridSpan w:val="16"/>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13a-14(a)/15d-14(a), as adopted pursuant to Section 302 of the Sarbanes-</w:t>
            </w:r>
          </w:p>
        </w:tc>
      </w:tr>
      <w:tr>
        <w:trPr>
          <w:trHeight w:val="196"/>
        </w:trPr>
        <w:tc>
          <w:tcPr>
            <w:tcW w:w="116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Oxley Act of 2002.</w:t>
            </w:r>
          </w:p>
        </w:tc>
        <w:tc>
          <w:tcPr>
            <w:tcW w:w="8240" w:type="dxa"/>
            <w:vAlign w:val="bottom"/>
            <w:tcBorders>
              <w:top w:val="single" w:sz="8" w:color="0000EE"/>
            </w:tcBorders>
            <w:gridSpan w:val="10"/>
          </w:tcPr>
          <w:p>
            <w:pPr>
              <w:spacing w:after="0"/>
              <w:rPr>
                <w:sz w:val="17"/>
                <w:szCs w:val="17"/>
                <w:color w:val="auto"/>
              </w:rPr>
            </w:pPr>
          </w:p>
        </w:tc>
        <w:tc>
          <w:tcPr>
            <w:tcW w:w="440" w:type="dxa"/>
            <w:vAlign w:val="bottom"/>
            <w:gridSpan w:val="6"/>
          </w:tcPr>
          <w:p>
            <w:pPr>
              <w:spacing w:after="0"/>
              <w:rPr>
                <w:sz w:val="17"/>
                <w:szCs w:val="17"/>
                <w:color w:val="auto"/>
              </w:rPr>
            </w:pPr>
          </w:p>
        </w:tc>
      </w:tr>
      <w:tr>
        <w:trPr>
          <w:trHeight w:val="290"/>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§1350, as adopted pursuant to Section 906 of the Sarbanes-Oxley Act of</w:t>
            </w:r>
          </w:p>
        </w:tc>
        <w:tc>
          <w:tcPr>
            <w:tcW w:w="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9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2002 (furnished herewith).</w:t>
            </w:r>
          </w:p>
        </w:tc>
        <w:tc>
          <w:tcPr>
            <w:tcW w:w="8140" w:type="dxa"/>
            <w:vAlign w:val="bottom"/>
            <w:gridSpan w:val="15"/>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99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§1350, as adopted pursuant to Section 906 of the Sarbanes-Oxley Act of</w:t>
            </w:r>
          </w:p>
        </w:tc>
        <w:tc>
          <w:tcPr>
            <w:tcW w:w="10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9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2002 (furnished herewith).</w:t>
            </w:r>
          </w:p>
        </w:tc>
        <w:tc>
          <w:tcPr>
            <w:tcW w:w="8140" w:type="dxa"/>
            <w:vAlign w:val="bottom"/>
            <w:gridSpan w:val="15"/>
          </w:tcPr>
          <w:p>
            <w:pPr>
              <w:spacing w:after="0"/>
              <w:rPr>
                <w:sz w:val="17"/>
                <w:szCs w:val="17"/>
                <w:color w:val="auto"/>
              </w:rPr>
            </w:pPr>
          </w:p>
        </w:tc>
      </w:tr>
      <w:tr>
        <w:trPr>
          <w:trHeight w:val="291"/>
        </w:trPr>
        <w:tc>
          <w:tcPr>
            <w:tcW w:w="1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97.1</w:t>
            </w:r>
          </w:p>
        </w:tc>
        <w:tc>
          <w:tcPr>
            <w:tcW w:w="9780" w:type="dxa"/>
            <w:vAlign w:val="bottom"/>
            <w:tcBorders>
              <w:bottom w:val="single" w:sz="8" w:color="0000EE"/>
            </w:tcBorders>
            <w:gridSpan w:val="13"/>
          </w:tcPr>
          <w:p>
            <w:pPr>
              <w:spacing w:after="0"/>
              <w:rPr>
                <w:rFonts w:ascii="Times New Roman" w:cs="Times New Roman" w:eastAsia="Times New Roman" w:hAnsi="Times New Roman"/>
                <w:sz w:val="18"/>
                <w:szCs w:val="18"/>
                <w:color w:val="auto"/>
              </w:rPr>
            </w:pPr>
            <w:hyperlink r:id="rId376">
              <w:r>
                <w:rPr>
                  <w:rFonts w:ascii="Times New Roman" w:cs="Times New Roman" w:eastAsia="Times New Roman" w:hAnsi="Times New Roman"/>
                  <w:sz w:val="18"/>
                  <w:szCs w:val="18"/>
                  <w:color w:val="auto"/>
                </w:rPr>
                <w:t>Axsome Therapeutics, Inc. Dodd-Frank Clawback Policy (Incorporated by reference, Exhibit 97.1 to the Company’s Annual Report on</w:t>
              </w:r>
            </w:hyperlink>
          </w:p>
        </w:tc>
        <w:tc>
          <w:tcPr>
            <w:tcW w:w="300" w:type="dxa"/>
            <w:vAlign w:val="bottom"/>
            <w:gridSpan w:val="4"/>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0080" w:type="dxa"/>
            <w:vAlign w:val="bottom"/>
            <w:gridSpan w:val="17"/>
          </w:tcPr>
          <w:p>
            <w:pPr>
              <w:spacing w:after="0" w:line="196" w:lineRule="exact"/>
              <w:rPr>
                <w:rFonts w:ascii="Times New Roman" w:cs="Times New Roman" w:eastAsia="Times New Roman" w:hAnsi="Times New Roman"/>
                <w:sz w:val="18"/>
                <w:szCs w:val="18"/>
                <w:color w:val="auto"/>
              </w:rPr>
            </w:pPr>
            <w:hyperlink r:id="rId376">
              <w:r>
                <w:rPr>
                  <w:rFonts w:ascii="Times New Roman" w:cs="Times New Roman" w:eastAsia="Times New Roman" w:hAnsi="Times New Roman"/>
                  <w:sz w:val="18"/>
                  <w:szCs w:val="18"/>
                  <w:color w:val="auto"/>
                </w:rPr>
                <w:t>Form 10-K, filed February 23, 2024).</w:t>
              </w:r>
            </w:hyperlink>
          </w:p>
        </w:tc>
      </w:tr>
      <w:tr>
        <w:trPr>
          <w:trHeight w:val="20"/>
        </w:trPr>
        <w:tc>
          <w:tcPr>
            <w:tcW w:w="1160" w:type="dxa"/>
            <w:vAlign w:val="bottom"/>
          </w:tcPr>
          <w:p>
            <w:pPr>
              <w:spacing w:after="0" w:line="20" w:lineRule="exact"/>
              <w:rPr>
                <w:sz w:val="1"/>
                <w:szCs w:val="1"/>
                <w:color w:val="auto"/>
              </w:rPr>
            </w:pPr>
          </w:p>
        </w:tc>
        <w:tc>
          <w:tcPr>
            <w:tcW w:w="2700" w:type="dxa"/>
            <w:vAlign w:val="bottom"/>
            <w:gridSpan w:val="6"/>
            <w:shd w:val="clear" w:color="auto" w:fill="0000EE"/>
          </w:tcPr>
          <w:p>
            <w:pPr>
              <w:spacing w:after="0" w:line="20" w:lineRule="exact"/>
              <w:rPr>
                <w:sz w:val="1"/>
                <w:szCs w:val="1"/>
                <w:color w:val="auto"/>
              </w:rPr>
            </w:pPr>
          </w:p>
        </w:tc>
        <w:tc>
          <w:tcPr>
            <w:tcW w:w="7380" w:type="dxa"/>
            <w:vAlign w:val="bottom"/>
            <w:gridSpan w:val="11"/>
          </w:tcPr>
          <w:p>
            <w:pPr>
              <w:spacing w:after="0" w:line="20" w:lineRule="exact"/>
              <w:rPr>
                <w:sz w:val="1"/>
                <w:szCs w:val="1"/>
                <w:color w:val="auto"/>
              </w:rPr>
            </w:pPr>
          </w:p>
        </w:tc>
      </w:tr>
      <w:tr>
        <w:trPr>
          <w:trHeight w:val="313"/>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10"/>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tc>
      </w:tr>
    </w:tbl>
    <w:p>
      <w:pPr>
        <w:spacing w:after="0" w:line="144"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rFonts w:ascii="Times New Roman" w:cs="Times New Roman" w:eastAsia="Times New Roman" w:hAnsi="Times New Roman"/>
          <w:sz w:val="18"/>
          <w:szCs w:val="18"/>
          <w:color w:val="auto"/>
        </w:rPr>
      </w:pPr>
    </w:p>
    <w:p>
      <w:pPr>
        <w:ind w:left="760" w:right="440" w:hanging="752"/>
        <w:spacing w:after="0" w:line="282" w:lineRule="auto"/>
        <w:tabs>
          <w:tab w:leader="none" w:pos="37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with respect to certain portions of this exhibit. Omitted portions have been filed separately with the U.S. Securities and Exchange Commission.</w:t>
      </w:r>
    </w:p>
    <w:p>
      <w:pPr>
        <w:spacing w:after="0" w:line="54" w:lineRule="exact"/>
        <w:rPr>
          <w:sz w:val="20"/>
          <w:szCs w:val="20"/>
          <w:color w:val="auto"/>
        </w:rPr>
      </w:pPr>
    </w:p>
    <w:p>
      <w:pPr>
        <w:ind w:right="3520" w:firstLine="8"/>
        <w:spacing w:after="0" w:line="407" w:lineRule="auto"/>
        <w:tabs>
          <w:tab w:leader="none" w:pos="3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pursuant to Item 601(b)(10)(iv) of Regulation S-K. ** Filed herewith.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We may voluntarily include a summary of information required by Form 10-K under this Item 16. We have elected not to include such summary information.</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 on this 23rd day of February 2026.</w:t>
      </w:r>
    </w:p>
    <w:p>
      <w:pPr>
        <w:spacing w:after="0" w:line="200" w:lineRule="exact"/>
        <w:rPr>
          <w:sz w:val="20"/>
          <w:szCs w:val="20"/>
          <w:color w:val="auto"/>
        </w:rPr>
      </w:pPr>
    </w:p>
    <w:p>
      <w:pPr>
        <w:spacing w:after="0" w:line="205"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25" w:lineRule="exact"/>
        <w:rPr>
          <w:sz w:val="20"/>
          <w:szCs w:val="20"/>
          <w:color w:val="auto"/>
        </w:rPr>
      </w:pPr>
    </w:p>
    <w:p>
      <w:pPr>
        <w:ind w:left="5680"/>
        <w:spacing w:after="0"/>
        <w:tabs>
          <w:tab w:leader="none" w:pos="7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17145</wp:posOffset>
            </wp:positionV>
            <wp:extent cx="31203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9">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Herriot Tabuteau, M.D.</w:t>
      </w:r>
    </w:p>
    <w:p>
      <w:pPr>
        <w:spacing w:after="0" w:line="2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by the following persons on behalf of the registrant and in the capacities and on the dates indicated:</w:t>
      </w:r>
    </w:p>
    <w:p>
      <w:pPr>
        <w:sectPr>
          <w:pgSz w:w="11900" w:h="16838" w:orient="portrait"/>
          <w:cols w:equalWidth="0" w:num="1">
            <w:col w:w="11180"/>
          </w:cols>
          <w:pgMar w:left="320" w:top="114" w:right="399" w:bottom="1440" w:gutter="0" w:footer="0" w:header="0"/>
        </w:sectPr>
      </w:pPr>
    </w:p>
    <w:p>
      <w:pPr>
        <w:spacing w:after="0" w:line="1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36830</wp:posOffset>
            </wp:positionV>
            <wp:extent cx="24517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517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Herriot Tabuteau, M.D.</w:t>
      </w:r>
    </w:p>
    <w:p>
      <w:pPr>
        <w:spacing w:after="0" w:line="34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517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Nick Pizzie</w:t>
      </w:r>
    </w:p>
    <w:p>
      <w:pPr>
        <w:spacing w:after="0" w:line="37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Roger Jeffs,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517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Roger Jeffs, Ph.D.</w:t>
      </w:r>
    </w:p>
    <w:p>
      <w:pPr>
        <w:spacing w:after="0" w:line="2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Mark Coleman,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5173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Mark Coleman, M.D.</w:t>
      </w:r>
    </w:p>
    <w:p>
      <w:pPr>
        <w:spacing w:after="0" w:line="26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 Mark Saad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17145</wp:posOffset>
            </wp:positionV>
            <wp:extent cx="24517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Mark Saad</w:t>
      </w:r>
    </w:p>
    <w:p>
      <w:pPr>
        <w:spacing w:after="0" w:line="25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7"/>
          <w:szCs w:val="17"/>
          <w:color w:val="auto"/>
        </w:rPr>
        <w:t>/s/ Susan Mahony,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24765</wp:posOffset>
            </wp:positionV>
            <wp:extent cx="24517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6">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Susan Mahony, Ph.D., M.B.A.</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7"/>
        </w:trPr>
        <w:tc>
          <w:tcPr>
            <w:tcW w:w="46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1"/>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(Principal</w:t>
            </w:r>
          </w:p>
        </w:tc>
        <w:tc>
          <w:tcPr>
            <w:tcW w:w="22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February 23, 2026</w:t>
            </w:r>
          </w:p>
        </w:tc>
        <w:tc>
          <w:tcPr>
            <w:tcW w:w="0" w:type="dxa"/>
            <w:vAlign w:val="bottom"/>
          </w:tcPr>
          <w:p>
            <w:pPr>
              <w:spacing w:after="0"/>
              <w:rPr>
                <w:sz w:val="1"/>
                <w:szCs w:val="1"/>
                <w:color w:val="auto"/>
              </w:rPr>
            </w:pPr>
          </w:p>
        </w:tc>
      </w:tr>
      <w:tr>
        <w:trPr>
          <w:trHeight w:val="126"/>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2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February 23, 2026</w:t>
            </w:r>
          </w:p>
        </w:tc>
        <w:tc>
          <w:tcPr>
            <w:tcW w:w="0" w:type="dxa"/>
            <w:vAlign w:val="bottom"/>
          </w:tcPr>
          <w:p>
            <w:pPr>
              <w:spacing w:after="0"/>
              <w:rPr>
                <w:sz w:val="1"/>
                <w:szCs w:val="1"/>
                <w:color w:val="auto"/>
              </w:rPr>
            </w:pPr>
          </w:p>
        </w:tc>
      </w:tr>
      <w:tr>
        <w:trPr>
          <w:trHeight w:val="122"/>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6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2"/>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23, 2026</w:t>
            </w:r>
          </w:p>
        </w:tc>
        <w:tc>
          <w:tcPr>
            <w:tcW w:w="0" w:type="dxa"/>
            <w:vAlign w:val="bottom"/>
          </w:tcPr>
          <w:p>
            <w:pPr>
              <w:spacing w:after="0"/>
              <w:rPr>
                <w:sz w:val="1"/>
                <w:szCs w:val="1"/>
                <w:color w:val="auto"/>
              </w:rPr>
            </w:pPr>
          </w:p>
        </w:tc>
      </w:tr>
      <w:tr>
        <w:trPr>
          <w:trHeight w:val="715"/>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23, 2026</w:t>
            </w:r>
          </w:p>
        </w:tc>
        <w:tc>
          <w:tcPr>
            <w:tcW w:w="0" w:type="dxa"/>
            <w:vAlign w:val="bottom"/>
          </w:tcPr>
          <w:p>
            <w:pPr>
              <w:spacing w:after="0"/>
              <w:rPr>
                <w:sz w:val="1"/>
                <w:szCs w:val="1"/>
                <w:color w:val="auto"/>
              </w:rPr>
            </w:pPr>
          </w:p>
        </w:tc>
      </w:tr>
      <w:tr>
        <w:trPr>
          <w:trHeight w:val="7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23, 2026</w:t>
            </w:r>
          </w:p>
        </w:tc>
        <w:tc>
          <w:tcPr>
            <w:tcW w:w="0" w:type="dxa"/>
            <w:vAlign w:val="bottom"/>
          </w:tcPr>
          <w:p>
            <w:pPr>
              <w:spacing w:after="0"/>
              <w:rPr>
                <w:sz w:val="1"/>
                <w:szCs w:val="1"/>
                <w:color w:val="auto"/>
              </w:rPr>
            </w:pPr>
          </w:p>
        </w:tc>
      </w:tr>
      <w:tr>
        <w:trPr>
          <w:trHeight w:val="715"/>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February 23, 2026</w:t>
            </w:r>
          </w:p>
        </w:tc>
        <w:tc>
          <w:tcPr>
            <w:tcW w:w="0" w:type="dxa"/>
            <w:vAlign w:val="bottom"/>
          </w:tcPr>
          <w:p>
            <w:pPr>
              <w:spacing w:after="0"/>
              <w:rPr>
                <w:sz w:val="1"/>
                <w:szCs w:val="1"/>
                <w:color w:val="auto"/>
              </w:rPr>
            </w:pPr>
          </w:p>
        </w:tc>
      </w:tr>
    </w:tbl>
    <w:p>
      <w:pPr>
        <w:spacing w:after="0" w:line="307" w:lineRule="exact"/>
        <w:rPr>
          <w:sz w:val="20"/>
          <w:szCs w:val="20"/>
          <w:color w:val="auto"/>
        </w:rPr>
      </w:pPr>
    </w:p>
    <w:p>
      <w:pPr>
        <w:sectPr>
          <w:pgSz w:w="11900" w:h="16838" w:orient="portrait"/>
          <w:cols w:equalWidth="0" w:num="2">
            <w:col w:w="3560" w:space="720"/>
            <w:col w:w="6900"/>
          </w:cols>
          <w:pgMar w:left="320" w:top="114" w:right="399" w:bottom="1440" w:gutter="0" w:footer="0" w:header="0"/>
          <w:type w:val="continuous"/>
        </w:sect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type w:val="continuous"/>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21.1</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Subsidiaries of the Company</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120" w:type="dxa"/>
            <w:vAlign w:val="bottom"/>
            <w:tcBorders>
              <w:top w:val="single" w:sz="8" w:color="auto"/>
              <w:bottom w:val="single" w:sz="8" w:color="auto"/>
            </w:tcBorders>
          </w:tcPr>
          <w:p>
            <w:pPr>
              <w:spacing w:after="0"/>
              <w:rPr>
                <w:sz w:val="23"/>
                <w:szCs w:val="23"/>
                <w:color w:val="auto"/>
              </w:rPr>
            </w:pPr>
          </w:p>
        </w:tc>
        <w:tc>
          <w:tcPr>
            <w:tcW w:w="460" w:type="dxa"/>
            <w:vAlign w:val="bottom"/>
            <w:tcBorders>
              <w:top w:val="single" w:sz="8" w:color="auto"/>
              <w:bottom w:val="single" w:sz="8" w:color="auto"/>
            </w:tcBorders>
          </w:tcPr>
          <w:p>
            <w:pPr>
              <w:spacing w:after="0"/>
              <w:rPr>
                <w:sz w:val="23"/>
                <w:szCs w:val="23"/>
                <w:color w:val="auto"/>
              </w:rPr>
            </w:pPr>
          </w:p>
        </w:tc>
        <w:tc>
          <w:tcPr>
            <w:tcW w:w="1640" w:type="dxa"/>
            <w:vAlign w:val="bottom"/>
            <w:tcBorders>
              <w:top w:val="single" w:sz="8" w:color="auto"/>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67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right w:val="single" w:sz="8" w:color="auto"/>
            </w:tcBorders>
            <w:gridSpan w:val="4"/>
          </w:tcPr>
          <w:p>
            <w:pPr>
              <w:ind w:left="120"/>
              <w:spacing w:after="0" w:line="133" w:lineRule="exact"/>
              <w:rPr>
                <w:sz w:val="20"/>
                <w:szCs w:val="20"/>
                <w:color w:val="auto"/>
              </w:rPr>
            </w:pPr>
            <w:r>
              <w:rPr>
                <w:rFonts w:ascii="Times New Roman" w:cs="Times New Roman" w:eastAsia="Times New Roman" w:hAnsi="Times New Roman"/>
                <w:sz w:val="15"/>
                <w:szCs w:val="15"/>
                <w:b w:val="1"/>
                <w:bCs w:val="1"/>
                <w:color w:val="auto"/>
              </w:rPr>
              <w:t>Name</w:t>
            </w:r>
          </w:p>
        </w:tc>
        <w:tc>
          <w:tcPr>
            <w:tcW w:w="2220" w:type="dxa"/>
            <w:vAlign w:val="bottom"/>
            <w:tcBorders>
              <w:right w:val="single" w:sz="8" w:color="auto"/>
            </w:tcBorders>
            <w:gridSpan w:val="3"/>
          </w:tcPr>
          <w:p>
            <w:pPr>
              <w:ind w:left="80"/>
              <w:spacing w:after="0" w:line="133" w:lineRule="exact"/>
              <w:rPr>
                <w:sz w:val="20"/>
                <w:szCs w:val="20"/>
                <w:color w:val="auto"/>
              </w:rPr>
            </w:pPr>
            <w:r>
              <w:rPr>
                <w:rFonts w:ascii="Times New Roman" w:cs="Times New Roman" w:eastAsia="Times New Roman" w:hAnsi="Times New Roman"/>
                <w:sz w:val="15"/>
                <w:szCs w:val="15"/>
                <w:b w:val="1"/>
                <w:bCs w:val="1"/>
                <w:color w:val="auto"/>
              </w:rPr>
              <w:t>Jurisdiction</w:t>
            </w:r>
          </w:p>
        </w:tc>
        <w:tc>
          <w:tcPr>
            <w:tcW w:w="6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120" w:type="dxa"/>
            <w:vAlign w:val="bottom"/>
            <w:tcBorders>
              <w:left w:val="single" w:sz="8" w:color="auto"/>
              <w:bottom w:val="single" w:sz="8" w:color="auto"/>
            </w:tcBorders>
          </w:tcPr>
          <w:p>
            <w:pPr>
              <w:spacing w:after="0"/>
              <w:rPr>
                <w:sz w:val="6"/>
                <w:szCs w:val="6"/>
                <w:color w:val="auto"/>
              </w:rPr>
            </w:pPr>
          </w:p>
        </w:tc>
        <w:tc>
          <w:tcPr>
            <w:tcW w:w="460" w:type="dxa"/>
            <w:vAlign w:val="bottom"/>
            <w:tcBorders>
              <w:top w:val="single" w:sz="8" w:color="auto"/>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0" w:type="dxa"/>
            <w:vAlign w:val="bottom"/>
            <w:tcBorders>
              <w:top w:val="single" w:sz="8" w:color="auto"/>
              <w:bottom w:val="single" w:sz="8" w:color="auto"/>
            </w:tcBorders>
          </w:tcPr>
          <w:p>
            <w:pPr>
              <w:spacing w:after="0"/>
              <w:rPr>
                <w:sz w:val="6"/>
                <w:szCs w:val="6"/>
                <w:color w:val="auto"/>
              </w:rPr>
            </w:pPr>
          </w:p>
        </w:tc>
        <w:tc>
          <w:tcPr>
            <w:tcW w:w="1220" w:type="dxa"/>
            <w:vAlign w:val="bottom"/>
            <w:tcBorders>
              <w:bottom w:val="single" w:sz="8" w:color="auto"/>
              <w:right w:val="single" w:sz="8" w:color="auto"/>
            </w:tcBorders>
          </w:tcPr>
          <w:p>
            <w:pPr>
              <w:spacing w:after="0"/>
              <w:rPr>
                <w:sz w:val="6"/>
                <w:szCs w:val="6"/>
                <w:color w:val="auto"/>
              </w:rPr>
            </w:pPr>
          </w:p>
        </w:tc>
        <w:tc>
          <w:tcPr>
            <w:tcW w:w="674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280" w:type="dxa"/>
            <w:vAlign w:val="bottom"/>
            <w:tcBorders>
              <w:left w:val="single" w:sz="8" w:color="auto"/>
              <w:right w:val="single" w:sz="8" w:color="auto"/>
            </w:tcBorders>
            <w:gridSpan w:val="4"/>
          </w:tcPr>
          <w:p>
            <w:pPr>
              <w:ind w:left="120"/>
              <w:spacing w:after="0" w:line="154" w:lineRule="exact"/>
              <w:rPr>
                <w:sz w:val="20"/>
                <w:szCs w:val="20"/>
                <w:color w:val="auto"/>
              </w:rPr>
            </w:pPr>
            <w:r>
              <w:rPr>
                <w:rFonts w:ascii="Times New Roman" w:cs="Times New Roman" w:eastAsia="Times New Roman" w:hAnsi="Times New Roman"/>
                <w:sz w:val="17"/>
                <w:szCs w:val="17"/>
                <w:color w:val="auto"/>
              </w:rPr>
              <w:t>Axsome International</w:t>
            </w:r>
          </w:p>
        </w:tc>
        <w:tc>
          <w:tcPr>
            <w:tcW w:w="2220" w:type="dxa"/>
            <w:vAlign w:val="bottom"/>
            <w:tcBorders>
              <w:right w:val="single" w:sz="8" w:color="auto"/>
            </w:tcBorders>
            <w:gridSpan w:val="3"/>
          </w:tcPr>
          <w:p>
            <w:pPr>
              <w:ind w:left="80"/>
              <w:spacing w:after="0" w:line="154" w:lineRule="exact"/>
              <w:rPr>
                <w:sz w:val="20"/>
                <w:szCs w:val="20"/>
                <w:color w:val="auto"/>
              </w:rPr>
            </w:pPr>
            <w:r>
              <w:rPr>
                <w:rFonts w:ascii="Times New Roman" w:cs="Times New Roman" w:eastAsia="Times New Roman" w:hAnsi="Times New Roman"/>
                <w:sz w:val="17"/>
                <w:szCs w:val="17"/>
                <w:color w:val="auto"/>
              </w:rPr>
              <w:t>Delaware</w:t>
            </w:r>
          </w:p>
        </w:tc>
        <w:tc>
          <w:tcPr>
            <w:tcW w:w="6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Holdings LLC</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gridSpan w:val="4"/>
          </w:tcPr>
          <w:p>
            <w:pPr>
              <w:ind w:left="120"/>
              <w:spacing w:after="0" w:line="191" w:lineRule="exact"/>
              <w:rPr>
                <w:sz w:val="20"/>
                <w:szCs w:val="20"/>
                <w:color w:val="auto"/>
              </w:rPr>
            </w:pPr>
            <w:r>
              <w:rPr>
                <w:rFonts w:ascii="Times New Roman" w:cs="Times New Roman" w:eastAsia="Times New Roman" w:hAnsi="Times New Roman"/>
                <w:sz w:val="18"/>
                <w:szCs w:val="18"/>
                <w:color w:val="auto"/>
              </w:rPr>
              <w:t>Axsome Malta Holdings</w:t>
            </w:r>
          </w:p>
        </w:tc>
        <w:tc>
          <w:tcPr>
            <w:tcW w:w="2220" w:type="dxa"/>
            <w:vAlign w:val="bottom"/>
            <w:tcBorders>
              <w:right w:val="single" w:sz="8" w:color="auto"/>
            </w:tcBorders>
            <w:gridSpan w:val="3"/>
          </w:tcPr>
          <w:p>
            <w:pPr>
              <w:ind w:left="80"/>
              <w:spacing w:after="0" w:line="191" w:lineRule="exact"/>
              <w:rPr>
                <w:sz w:val="20"/>
                <w:szCs w:val="20"/>
                <w:color w:val="auto"/>
              </w:rPr>
            </w:pPr>
            <w:r>
              <w:rPr>
                <w:rFonts w:ascii="Times New Roman" w:cs="Times New Roman" w:eastAsia="Times New Roman" w:hAnsi="Times New Roman"/>
                <w:sz w:val="18"/>
                <w:szCs w:val="18"/>
                <w:color w:val="auto"/>
              </w:rPr>
              <w:t>Malta</w:t>
            </w:r>
          </w:p>
        </w:tc>
        <w:tc>
          <w:tcPr>
            <w:tcW w:w="6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Ltd.</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6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Axsome Malta Ltd.</w:t>
            </w:r>
          </w:p>
        </w:tc>
        <w:tc>
          <w:tcPr>
            <w:tcW w:w="22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Malta</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Axsome Canada, Inc.</w:t>
            </w:r>
          </w:p>
        </w:tc>
        <w:tc>
          <w:tcPr>
            <w:tcW w:w="2220" w:type="dxa"/>
            <w:vAlign w:val="bottom"/>
            <w:tcBorders>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3"/>
        </w:trPr>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Verdana" w:cs="Verdana" w:eastAsia="Verdana" w:hAnsi="Verdana"/>
          <w:sz w:val="16"/>
          <w:szCs w:val="16"/>
          <w:b w:val="1"/>
          <w:bCs w:val="1"/>
          <w:color w:val="auto"/>
        </w:rPr>
        <w:t>CONSENT OF INDEPENDENT REGISTERED PUBLIC ACCOUNTING FIRM</w:t>
      </w:r>
    </w:p>
    <w:p>
      <w:pPr>
        <w:spacing w:after="0" w:line="203" w:lineRule="exact"/>
        <w:rPr>
          <w:sz w:val="20"/>
          <w:szCs w:val="20"/>
          <w:color w:val="auto"/>
        </w:rPr>
      </w:pPr>
    </w:p>
    <w:p>
      <w:pPr>
        <w:ind w:right="80"/>
        <w:spacing w:after="0" w:line="234" w:lineRule="auto"/>
        <w:rPr>
          <w:sz w:val="20"/>
          <w:szCs w:val="20"/>
          <w:color w:val="auto"/>
        </w:rPr>
      </w:pPr>
      <w:r>
        <w:rPr>
          <w:rFonts w:ascii="Arial" w:cs="Arial" w:eastAsia="Arial" w:hAnsi="Arial"/>
          <w:sz w:val="20"/>
          <w:szCs w:val="20"/>
          <w:color w:val="auto"/>
        </w:rPr>
        <w:t>We consent to the incorporation by reference in Registration Statement No. 333-291228 on Form S-3 and Registration Statement Nos. 333-217002, 333-208579, 333-230296, 333-226824, 333-238174, 333-256019, 333-264621, 333-271741, 333-272891, 333-281249 and 333-289385 on Form S-8 of our reports dated February 23, 2026, relating to the financial statements of Axsome Therapeutics, Inc. and the effectiveness of Axsome Therapeutics, Inc.'s internal control over financial reporting appearing in this Annual Report on Form 10-K for the year ended December 31, 2025.</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Morristown, New Jersey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February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Herriot Tabuteau, certify that:</w:t>
      </w:r>
    </w:p>
    <w:p>
      <w:pPr>
        <w:spacing w:after="0" w:line="225" w:lineRule="exact"/>
        <w:rPr>
          <w:sz w:val="20"/>
          <w:szCs w:val="20"/>
          <w:color w:val="auto"/>
        </w:rPr>
      </w:pPr>
    </w:p>
    <w:p>
      <w:pPr>
        <w:ind w:left="220" w:hanging="212"/>
        <w:spacing w:after="0"/>
        <w:tabs>
          <w:tab w:leader="none" w:pos="2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Axsome Therapeutics, Inc.;</w:t>
      </w:r>
    </w:p>
    <w:p>
      <w:pPr>
        <w:spacing w:after="0" w:line="225" w:lineRule="exact"/>
        <w:rPr>
          <w:rFonts w:ascii="Times New Roman" w:cs="Times New Roman" w:eastAsia="Times New Roman" w:hAnsi="Times New Roman"/>
          <w:sz w:val="18"/>
          <w:szCs w:val="18"/>
          <w:color w:val="auto"/>
        </w:rPr>
      </w:pPr>
    </w:p>
    <w:p>
      <w:pPr>
        <w:ind w:left="320" w:right="480" w:hanging="312"/>
        <w:spacing w:after="0" w:line="266" w:lineRule="auto"/>
        <w:tabs>
          <w:tab w:leader="none" w:pos="2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right="520" w:hanging="312"/>
        <w:spacing w:after="0" w:line="282" w:lineRule="auto"/>
        <w:tabs>
          <w:tab w:leader="none" w:pos="22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2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80" w:right="260" w:hanging="458"/>
        <w:spacing w:after="0" w:line="266" w:lineRule="auto"/>
        <w:tabs>
          <w:tab w:leader="none" w:pos="7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80" w:right="580" w:hanging="458"/>
        <w:spacing w:after="0" w:line="266" w:lineRule="auto"/>
        <w:tabs>
          <w:tab w:leader="none" w:pos="78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80" w:hanging="458"/>
        <w:spacing w:after="0" w:line="282" w:lineRule="auto"/>
        <w:tabs>
          <w:tab w:leader="none" w:pos="5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780" w:right="40" w:hanging="458"/>
        <w:spacing w:after="0" w:line="266" w:lineRule="auto"/>
        <w:tabs>
          <w:tab w:leader="none" w:pos="5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0" w:right="420" w:hanging="312"/>
        <w:spacing w:after="0" w:line="282" w:lineRule="auto"/>
        <w:tabs>
          <w:tab w:leader="none" w:pos="2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80" w:right="400" w:hanging="458"/>
        <w:spacing w:after="0" w:line="282" w:lineRule="auto"/>
        <w:tabs>
          <w:tab w:leader="none" w:pos="5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80" w:right="340" w:hanging="458"/>
        <w:spacing w:after="0" w:line="282" w:lineRule="auto"/>
        <w:tabs>
          <w:tab w:leader="none" w:pos="54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478"/>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PERIODIC REPORT PURSUANT TO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Nick Pizzie, certify that:</w:t>
      </w:r>
    </w:p>
    <w:p>
      <w:pPr>
        <w:spacing w:after="0" w:line="225" w:lineRule="exact"/>
        <w:rPr>
          <w:sz w:val="20"/>
          <w:szCs w:val="20"/>
          <w:color w:val="auto"/>
        </w:rPr>
      </w:pPr>
    </w:p>
    <w:p>
      <w:pPr>
        <w:ind w:left="220" w:hanging="212"/>
        <w:spacing w:after="0"/>
        <w:tabs>
          <w:tab w:leader="none" w:pos="2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Axsome Therapeutics, Inc.;</w:t>
      </w:r>
    </w:p>
    <w:p>
      <w:pPr>
        <w:spacing w:after="0" w:line="225" w:lineRule="exact"/>
        <w:rPr>
          <w:rFonts w:ascii="Times New Roman" w:cs="Times New Roman" w:eastAsia="Times New Roman" w:hAnsi="Times New Roman"/>
          <w:sz w:val="18"/>
          <w:szCs w:val="18"/>
          <w:color w:val="auto"/>
        </w:rPr>
      </w:pPr>
    </w:p>
    <w:p>
      <w:pPr>
        <w:ind w:left="320" w:right="480" w:hanging="312"/>
        <w:spacing w:after="0" w:line="266" w:lineRule="auto"/>
        <w:tabs>
          <w:tab w:leader="none" w:pos="2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right="520" w:hanging="312"/>
        <w:spacing w:after="0" w:line="282" w:lineRule="auto"/>
        <w:tabs>
          <w:tab w:leader="none" w:pos="2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2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780" w:right="260" w:hanging="458"/>
        <w:spacing w:after="0" w:line="266" w:lineRule="auto"/>
        <w:tabs>
          <w:tab w:leader="none" w:pos="7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780" w:right="580" w:hanging="458"/>
        <w:spacing w:after="0" w:line="266" w:lineRule="auto"/>
        <w:tabs>
          <w:tab w:leader="none" w:pos="7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780" w:hanging="458"/>
        <w:spacing w:after="0" w:line="282" w:lineRule="auto"/>
        <w:tabs>
          <w:tab w:leader="none" w:pos="5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780" w:right="40" w:hanging="458"/>
        <w:spacing w:after="0" w:line="266" w:lineRule="auto"/>
        <w:tabs>
          <w:tab w:leader="none" w:pos="5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0" w:right="420" w:hanging="312"/>
        <w:spacing w:after="0" w:line="282" w:lineRule="auto"/>
        <w:tabs>
          <w:tab w:leader="none" w:pos="22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80" w:right="400" w:hanging="458"/>
        <w:spacing w:after="0" w:line="282" w:lineRule="auto"/>
        <w:tabs>
          <w:tab w:leader="none" w:pos="5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80" w:right="340" w:hanging="458"/>
        <w:spacing w:after="0" w:line="282" w:lineRule="auto"/>
        <w:tabs>
          <w:tab w:leader="none" w:pos="54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Pizzie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Nick Pizzie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478"/>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STATEMENT OF PRINCIPAL EXECUTIVE OFFICER OF</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Axsome Therapeutics, Inc. (the “Company”) on Form 10-K for the year ended December 31, 2025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76" w:lineRule="exact"/>
        <w:rPr>
          <w:sz w:val="20"/>
          <w:szCs w:val="20"/>
          <w:color w:val="auto"/>
        </w:rPr>
      </w:pPr>
    </w:p>
    <w:p>
      <w:pPr>
        <w:ind w:left="840" w:hanging="338"/>
        <w:spacing w:after="0"/>
        <w:tabs>
          <w:tab w:leader="none" w:pos="8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00" w:right="740" w:firstLine="2"/>
        <w:spacing w:after="0" w:line="282" w:lineRule="auto"/>
        <w:tabs>
          <w:tab w:leader="none" w:pos="8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94"/>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 OF PRINCIPAL FINANCIAL OFFICER OF</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49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Axsome Therapeutics, Inc. (the “Company”) on Form 10-K for the year ended December 31, 2025 as filed with the Securities and Exchange Commission (the “Report”), I, Nick Pizzie, Chief Financial Officer of the Company, certify, pursuant to 18 U.S.C. §1350, as adopted pursuant to §906 of the Sarbanes-Oxley Act of 2002, that, based on my knowledge:</w:t>
      </w:r>
    </w:p>
    <w:p>
      <w:pPr>
        <w:spacing w:after="0" w:line="176" w:lineRule="exact"/>
        <w:rPr>
          <w:sz w:val="20"/>
          <w:szCs w:val="20"/>
          <w:color w:val="auto"/>
        </w:rPr>
      </w:pPr>
    </w:p>
    <w:p>
      <w:pPr>
        <w:ind w:left="840" w:hanging="338"/>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00" w:right="740" w:firstLine="2"/>
        <w:spacing w:after="0" w:line="282" w:lineRule="auto"/>
        <w:tabs>
          <w:tab w:leader="none" w:pos="83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Nick Pizzie</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Nick Pizzie</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694"/>
        </w:trPr>
        <w:tc>
          <w:tcPr>
            <w:tcW w:w="56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80" w:name="page181"/>
    <w:bookmarkEnd w:id="1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2"/>
    </w:lvl>
  </w:abstractNum>
  <w:abstractNum w:abstractNumId="7">
    <w:nsid w:val="6CEAF087"/>
    <w:multiLevelType w:val="hybridMultilevel"/>
    <w:lvl w:ilvl="0">
      <w:lvlJc w:val="left"/>
      <w:lvlText w:val="(%1)"/>
      <w:numFmt w:val="decimal"/>
      <w:start w:val="2"/>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3"/>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
      <w:numFmt w:val="bullet"/>
      <w:start w:val="1"/>
    </w:lvl>
    <w:lvl w:ilvl="1">
      <w:lvlJc w:val="left"/>
      <w:lvlText w:val="++"/>
      <w:numFmt w:val="bullet"/>
      <w:start w:val="1"/>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7" Type="http://schemas.openxmlformats.org/officeDocument/2006/relationships/image" Target="media/image334.png"/><Relationship Id="rId378" Type="http://schemas.openxmlformats.org/officeDocument/2006/relationships/image" Target="media/image335.png"/><Relationship Id="rId379" Type="http://schemas.openxmlformats.org/officeDocument/2006/relationships/image" Target="media/image336.png"/><Relationship Id="rId380" Type="http://schemas.openxmlformats.org/officeDocument/2006/relationships/image" Target="media/image337.png"/><Relationship Id="rId381" Type="http://schemas.openxmlformats.org/officeDocument/2006/relationships/image" Target="media/image338.png"/><Relationship Id="rId382" Type="http://schemas.openxmlformats.org/officeDocument/2006/relationships/image" Target="media/image339.png"/><Relationship Id="rId383" Type="http://schemas.openxmlformats.org/officeDocument/2006/relationships/image" Target="media/image340.png"/><Relationship Id="rId384" Type="http://schemas.openxmlformats.org/officeDocument/2006/relationships/image" Target="media/image341.png"/><Relationship Id="rId385" Type="http://schemas.openxmlformats.org/officeDocument/2006/relationships/image" Target="media/image342.png"/><Relationship Id="rId386" Type="http://schemas.openxmlformats.org/officeDocument/2006/relationships/image" Target="media/image343.png"/><Relationship Id="rId387" Type="http://schemas.openxmlformats.org/officeDocument/2006/relationships/image" Target="media/image344.png"/><Relationship Id="rId388" Type="http://schemas.openxmlformats.org/officeDocument/2006/relationships/image" Target="media/image345.png"/><Relationship Id="rId389" Type="http://schemas.openxmlformats.org/officeDocument/2006/relationships/image" Target="media/image346.png"/><Relationship Id="rId390" Type="http://schemas.openxmlformats.org/officeDocument/2006/relationships/image" Target="media/image347.png"/><Relationship Id="rId391" Type="http://schemas.openxmlformats.org/officeDocument/2006/relationships/image" Target="media/image348.png"/><Relationship Id="rId392" Type="http://schemas.openxmlformats.org/officeDocument/2006/relationships/image" Target="media/image349.png"/><Relationship Id="rId393" Type="http://schemas.openxmlformats.org/officeDocument/2006/relationships/image" Target="media/image350.png"/><Relationship Id="rId394" Type="http://schemas.openxmlformats.org/officeDocument/2006/relationships/image" Target="media/image351.png"/><Relationship Id="rId395" Type="http://schemas.openxmlformats.org/officeDocument/2006/relationships/image" Target="media/image352.png"/><Relationship Id="rId396" Type="http://schemas.openxmlformats.org/officeDocument/2006/relationships/image" Target="media/image353.png"/><Relationship Id="rId397" Type="http://schemas.openxmlformats.org/officeDocument/2006/relationships/image" Target="media/image354.png"/><Relationship Id="rId398" Type="http://schemas.openxmlformats.org/officeDocument/2006/relationships/image" Target="media/image355.png"/><Relationship Id="rId337" Type="http://schemas.openxmlformats.org/officeDocument/2006/relationships/hyperlink" Target="https://www.sec.gov/Archives/edgar/data/1579428/000110465915081125/a15-24048_1ex3d1.htm" TargetMode="External"/><Relationship Id="rId338" Type="http://schemas.openxmlformats.org/officeDocument/2006/relationships/hyperlink" Target="https://www.sec.gov/Archives/edgar/data/1579428/000110465915081125/a15-24048_1ex3d2.htm" TargetMode="External"/><Relationship Id="rId339" Type="http://schemas.openxmlformats.org/officeDocument/2006/relationships/hyperlink" Target="https://www.sec.gov/Archives/edgar/data/1579428/000104746915008199/a2226320zex-4_1.htm" TargetMode="External"/><Relationship Id="rId340" Type="http://schemas.openxmlformats.org/officeDocument/2006/relationships/hyperlink" Target="https://www.sec.gov/Archives/edgar/data/1579428/000155837020012949/axsm-20200930xex10d4.htm" TargetMode="External"/><Relationship Id="rId341" Type="http://schemas.openxmlformats.org/officeDocument/2006/relationships/hyperlink" Target="https://www.sec.gov/Archives/edgar/data/1579428/000155837020002573/axsm-20191231ex4132a1d5e.htm" TargetMode="External"/><Relationship Id="rId342" Type="http://schemas.openxmlformats.org/officeDocument/2006/relationships/hyperlink" Target="https://www.sec.gov/Archives/edgar/data/1579428/000095017022016143/axsm-ex10_1.htm" TargetMode="External"/><Relationship Id="rId343" Type="http://schemas.openxmlformats.org/officeDocument/2006/relationships/hyperlink" Target="https://www.sec.gov/Archives/edgar/data/1579428/000119312525262696/axsm-ex4_7.htm" TargetMode="External"/><Relationship Id="rId344" Type="http://schemas.openxmlformats.org/officeDocument/2006/relationships/hyperlink" Target="https://www.sec.gov/Archives/edgar/data/1579428/000095017024019118/axsm-ex10_2.htm" TargetMode="External"/><Relationship Id="rId345" Type="http://schemas.openxmlformats.org/officeDocument/2006/relationships/hyperlink" Target="https://www.sec.gov/Archives/edgar/data/1579428/000110465915085196/a15-24973_1ex99d2.htm" TargetMode="External"/><Relationship Id="rId346" Type="http://schemas.openxmlformats.org/officeDocument/2006/relationships/hyperlink" Target="https://www.sec.gov/Archives/edgar/data/1579428/000155837020006307/axsm-20200508xex99d3.htm" TargetMode="External"/><Relationship Id="rId347" Type="http://schemas.openxmlformats.org/officeDocument/2006/relationships/hyperlink" Target="https://www.sec.gov/Archives/edgar/data/1579428/000155837020006307/axsm-20200508xex99d4.htm" TargetMode="External"/><Relationship Id="rId348" Type="http://schemas.openxmlformats.org/officeDocument/2006/relationships/hyperlink" Target="https://www.sec.gov/Archives/edgar/data/1579428/000095017025102148/axsm-ex10_4.htm" TargetMode="External"/><Relationship Id="rId349" Type="http://schemas.openxmlformats.org/officeDocument/2006/relationships/hyperlink" Target="https://www.sec.gov/Archives/edgar/data/1579428/000095017025102148/axsm-ex10_5.htm" TargetMode="External"/><Relationship Id="rId350" Type="http://schemas.openxmlformats.org/officeDocument/2006/relationships/hyperlink" Target="https://www.sec.gov/Archives/edgar/data/1579428/000095017025102148/axsm-ex10_6.htm" TargetMode="External"/><Relationship Id="rId351" Type="http://schemas.openxmlformats.org/officeDocument/2006/relationships/hyperlink" Target="https://www.sec.gov/Archives/edgar/data/1579428/000095017025102148/axsm-ex10_7.htm" TargetMode="External"/><Relationship Id="rId352" Type="http://schemas.openxmlformats.org/officeDocument/2006/relationships/hyperlink" Target="https://www.sec.gov/Archives/edgar/data/1579428/000095017025102148/axsm-ex10_8.htm" TargetMode="External"/><Relationship Id="rId355" Type="http://schemas.openxmlformats.org/officeDocument/2006/relationships/hyperlink" Target="https://www.sec.gov/Archives/edgar/data/1579428/000095017025102148/axsm-ex10_9.htm" TargetMode="External"/><Relationship Id="rId356" Type="http://schemas.openxmlformats.org/officeDocument/2006/relationships/hyperlink" Target="https://www.sec.gov/Archives/edgar/data/1579428/000095017025102148/axsm-ex10_10.htm" TargetMode="External"/><Relationship Id="rId357" Type="http://schemas.openxmlformats.org/officeDocument/2006/relationships/hyperlink" Target="https://www.sec.gov/Archives/edgar/data/1579428/000095017023027059/axsm-ex10_1.htm" TargetMode="External"/><Relationship Id="rId358" Type="http://schemas.openxmlformats.org/officeDocument/2006/relationships/hyperlink" Target="https://www.sec.gov/Archives/edgar/data/1579428/000104746915007821/a2226220zex-10_2.htm" TargetMode="External"/><Relationship Id="rId359" Type="http://schemas.openxmlformats.org/officeDocument/2006/relationships/hyperlink" Target="https://www.sec.gov/Archives/edgar/data/1579428/000104746915007821/a2226220zex-10_3.htm" TargetMode="External"/><Relationship Id="rId360" Type="http://schemas.openxmlformats.org/officeDocument/2006/relationships/hyperlink" Target="https://www.sec.gov/Archives/edgar/data/1579428/000104746915007821/a2226220zex-10_4.htm" TargetMode="External"/><Relationship Id="rId361" Type="http://schemas.openxmlformats.org/officeDocument/2006/relationships/hyperlink" Target="https://www.sec.gov/Archives/edgar/data/1579428/000104746915007821/a2226220zex-10_5.htm" TargetMode="External"/><Relationship Id="rId362" Type="http://schemas.openxmlformats.org/officeDocument/2006/relationships/hyperlink" Target="https://www.sec.gov/Archives/edgar/data/1579428/000110465917071533/a17-27901_1ex10d1.htm" TargetMode="External"/><Relationship Id="rId363" Type="http://schemas.openxmlformats.org/officeDocument/2006/relationships/hyperlink" Target="https://www.sec.gov/Archives/edgar/data/1579428/000155837018004333/axsm-20180331ex101d19ec4.htm" TargetMode="External"/><Relationship Id="rId364" Type="http://schemas.openxmlformats.org/officeDocument/2006/relationships/hyperlink" Target="https://www.sec.gov/Archives/edgar/data/1579428/000110465918059225/a18-36094_1ex10d1.htm" TargetMode="External"/><Relationship Id="rId365" Type="http://schemas.openxmlformats.org/officeDocument/2006/relationships/hyperlink" Target="https://www.sec.gov/Archives/edgar/data/1579428/000155837020002573/axsm-20191231ex1015f938b.htm" TargetMode="External"/><Relationship Id="rId366" Type="http://schemas.openxmlformats.org/officeDocument/2006/relationships/hyperlink" Target="https://www.sec.gov/Archives/edgar/data/1579428/000110465920003255/tm203196d1_ex10-1.htm" TargetMode="External"/><Relationship Id="rId367" Type="http://schemas.openxmlformats.org/officeDocument/2006/relationships/hyperlink" Target="https://www.sec.gov/Archives/edgar/data/1579428/000095017025102148/axsm-ex10_2.htm" TargetMode="External"/><Relationship Id="rId368" Type="http://schemas.openxmlformats.org/officeDocument/2006/relationships/hyperlink" Target="https://www.sec.gov/Archives/edgar/data/1579428/000095017025102148/axsm-ex10_3.htm" TargetMode="External"/><Relationship Id="rId369" Type="http://schemas.openxmlformats.org/officeDocument/2006/relationships/hyperlink" Target="https://www.sec.gov/Archives/edgar/data/1579428/000095017022005231/axsm-ex99_1.htm" TargetMode="External"/><Relationship Id="rId372" Type="http://schemas.openxmlformats.org/officeDocument/2006/relationships/hyperlink" Target="https://www.sec.gov/Archives/edgar/data/1579428/000095017023018976/axsm-ex10_1.htm" TargetMode="External"/><Relationship Id="rId373" Type="http://schemas.openxmlformats.org/officeDocument/2006/relationships/hyperlink" Target="https://www.sec.gov/Archives/edgar/data/1579428/000095017023018976/axsm-ex10_3.htm" TargetMode="External"/><Relationship Id="rId374" Type="http://schemas.openxmlformats.org/officeDocument/2006/relationships/hyperlink" Target="https://www.sec.gov/Archives/edgar/data/1579428/000095017025063634/axsm-ex10_1.htm" TargetMode="External"/><Relationship Id="rId375" Type="http://schemas.openxmlformats.org/officeDocument/2006/relationships/hyperlink" Target="https://www.sec.gov/Archives/edgar/data/1579428/000095017025022457/axsm-ex19_1.htm" TargetMode="External"/><Relationship Id="rId376" Type="http://schemas.openxmlformats.org/officeDocument/2006/relationships/hyperlink" Target="https://www.sec.gov/Archives/edgar/data/1579428/000095017024019118/axsm-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2026-02-23T16:20:50Z</dcterms:created>
  <dcterms:modified xsi:type="dcterms:W3CDTF">2026-02-23T16:20:50Z</dcterms:modified>
</cp:coreProperties>
</file>