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18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52"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9, 2022</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27"/>
        </w:trPr>
        <w:tc>
          <w:tcPr>
            <w:tcW w:w="3300" w:type="dxa"/>
            <w:vAlign w:val="bottom"/>
          </w:tcPr>
          <w:p>
            <w:pPr>
              <w:jc w:val="center"/>
              <w:ind w:right="7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3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300" w:type="dxa"/>
            <w:vAlign w:val="bottom"/>
          </w:tcPr>
          <w:p>
            <w:pPr>
              <w:jc w:val="center"/>
              <w:ind w:right="7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0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80" w:type="dxa"/>
            <w:vAlign w:val="bottom"/>
          </w:tcPr>
          <w:p>
            <w:pPr>
              <w:spacing w:after="0"/>
              <w:rPr>
                <w:sz w:val="16"/>
                <w:szCs w:val="16"/>
                <w:color w:val="auto"/>
              </w:rPr>
            </w:pPr>
          </w:p>
        </w:tc>
        <w:tc>
          <w:tcPr>
            <w:tcW w:w="2300" w:type="dxa"/>
            <w:vAlign w:val="bottom"/>
          </w:tcPr>
          <w:p>
            <w:pPr>
              <w:jc w:val="center"/>
              <w:ind w:left="10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3300" w:type="dxa"/>
            <w:vAlign w:val="bottom"/>
          </w:tcPr>
          <w:p>
            <w:pPr>
              <w:jc w:val="center"/>
              <w:ind w:right="779"/>
              <w:spacing w:after="0"/>
              <w:rPr>
                <w:sz w:val="20"/>
                <w:szCs w:val="20"/>
                <w:color w:val="auto"/>
              </w:rPr>
            </w:pPr>
            <w:r>
              <w:rPr>
                <w:rFonts w:ascii="Times New Roman" w:cs="Times New Roman" w:eastAsia="Times New Roman" w:hAnsi="Times New Roman"/>
                <w:sz w:val="18"/>
                <w:szCs w:val="18"/>
                <w:b w:val="1"/>
                <w:bCs w:val="1"/>
                <w:color w:val="auto"/>
                <w:w w:val="97"/>
              </w:rPr>
              <w:t>22 Cortlandt Street, 16</w:t>
            </w:r>
            <w:r>
              <w:rPr>
                <w:rFonts w:ascii="Times New Roman" w:cs="Times New Roman" w:eastAsia="Times New Roman" w:hAnsi="Times New Roman"/>
                <w:sz w:val="24"/>
                <w:szCs w:val="24"/>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41"/>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680" w:type="dxa"/>
            <w:vAlign w:val="bottom"/>
          </w:tcPr>
          <w:p>
            <w:pPr>
              <w:spacing w:after="0"/>
              <w:rPr>
                <w:sz w:val="20"/>
                <w:szCs w:val="20"/>
                <w:color w:val="auto"/>
              </w:rPr>
            </w:pPr>
          </w:p>
        </w:tc>
        <w:tc>
          <w:tcPr>
            <w:tcW w:w="2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90"/>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6"/>
                <w:szCs w:val="16"/>
                <w:color w:val="auto"/>
              </w:rPr>
            </w:pPr>
          </w:p>
        </w:tc>
        <w:tc>
          <w:tcPr>
            <w:tcW w:w="2300" w:type="dxa"/>
            <w:vAlign w:val="bottom"/>
          </w:tcPr>
          <w:p>
            <w:pPr>
              <w:jc w:val="center"/>
              <w:ind w:left="10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189865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right="3520" w:firstLine="21"/>
        <w:spacing w:after="0" w:line="474" w:lineRule="auto"/>
        <w:tabs>
          <w:tab w:leader="none" w:pos="47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AXSM</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bl>
    <w:p>
      <w:pPr>
        <w:spacing w:after="0" w:line="113" w:lineRule="exact"/>
        <w:rPr>
          <w:sz w:val="24"/>
          <w:szCs w:val="24"/>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6"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1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previously disclosed in the Current Report on Form 8-K filed by Axsome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on March 25, 2022, the Company entered into an Asset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with Jazz Pharmaceuticals plc (</w:t>
      </w:r>
      <w:r>
        <w:rPr>
          <w:rFonts w:ascii="Times New Roman" w:cs="Times New Roman" w:eastAsia="Times New Roman" w:hAnsi="Times New Roman"/>
          <w:sz w:val="18"/>
          <w:szCs w:val="18"/>
          <w:u w:val="single" w:color="auto"/>
          <w:color w:val="auto"/>
        </w:rPr>
        <w:t>Jazz Pharmaceuticals</w:t>
      </w:r>
      <w:r>
        <w:rPr>
          <w:rFonts w:ascii="Times New Roman" w:cs="Times New Roman" w:eastAsia="Times New Roman" w:hAnsi="Times New Roman"/>
          <w:sz w:val="18"/>
          <w:szCs w:val="18"/>
          <w:color w:val="auto"/>
        </w:rPr>
        <w:t>), pursuant to which the Company acquired Sunosi® (“</w:t>
      </w:r>
      <w:r>
        <w:rPr>
          <w:rFonts w:ascii="Times New Roman" w:cs="Times New Roman" w:eastAsia="Times New Roman" w:hAnsi="Times New Roman"/>
          <w:sz w:val="18"/>
          <w:szCs w:val="18"/>
          <w:u w:val="single" w:color="auto"/>
          <w:color w:val="auto"/>
        </w:rPr>
        <w:t>Sunosi</w:t>
      </w:r>
      <w:r>
        <w:rPr>
          <w:rFonts w:ascii="Times New Roman" w:cs="Times New Roman" w:eastAsia="Times New Roman" w:hAnsi="Times New Roman"/>
          <w:sz w:val="18"/>
          <w:szCs w:val="18"/>
          <w:color w:val="auto"/>
        </w:rPr>
        <w:t>”) from Jazz Pharmaceuticals.</w:t>
      </w:r>
    </w:p>
    <w:p>
      <w:pPr>
        <w:spacing w:after="0" w:line="16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May 9, 2022, the Company filed a Current Report on Form 8-K (the “</w:t>
      </w:r>
      <w:r>
        <w:rPr>
          <w:rFonts w:ascii="Times New Roman" w:cs="Times New Roman" w:eastAsia="Times New Roman" w:hAnsi="Times New Roman"/>
          <w:sz w:val="18"/>
          <w:szCs w:val="18"/>
          <w:u w:val="single" w:color="auto"/>
          <w:color w:val="auto"/>
        </w:rPr>
        <w:t>Initial Filing</w:t>
      </w:r>
      <w:r>
        <w:rPr>
          <w:rFonts w:ascii="Times New Roman" w:cs="Times New Roman" w:eastAsia="Times New Roman" w:hAnsi="Times New Roman"/>
          <w:sz w:val="18"/>
          <w:szCs w:val="18"/>
          <w:color w:val="auto"/>
        </w:rPr>
        <w:t>”) to report, among other things, that the initial closing contemplated by the Purchase Agreement occurred on May 9, 2022, following the satisfaction or waiver of the closing conditions under the Purchase Agreement.</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This Current Report on Form 8-K/A (this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amends the Initial Filing to provide the financial statements and pro forma financial information required by Items 9.01(a) and 9.01(b) of Form 8-K that were previously omitted from the Initial Filing in reliance on Items 9.01(a)(4) and 9.01(b)(2) of Form 8-K. This Amendment No. 1 does not amend any other item of the Initial Filing and all other information previously reported in or filed with the Initial Filing is hereby incorporated by reference to this Amendment No. 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tab/>
        <w:t>Financial Statement of Business Acquired</w:t>
      </w:r>
    </w:p>
    <w:p>
      <w:pPr>
        <w:spacing w:after="0" w:line="21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 audited abbreviated financial statements of the Sunosi product of Jazz Pharmaceuticals plc as of December 31, 2021 and 2020, and for the years then ended, and the related notes and the related independent auditors’ report thereon, are filed herewith as Exhibit 99.1 and incorporated herein by reference.</w:t>
      </w:r>
    </w:p>
    <w:p>
      <w:pPr>
        <w:spacing w:after="0" w:line="169"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The unaudited abbreviated financial statements of the Sunosi product of Jazz Pharmaceuticals plc as of March 31, 2022, and for the three-month periods ended March 31, 2022 and 2021 and the unaudited notes related thereto, are filed herewith as Exhibit 99.2 and incorporated herein by reference.</w:t>
      </w:r>
    </w:p>
    <w:p>
      <w:pPr>
        <w:spacing w:after="0" w:line="176"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18"/>
          <w:szCs w:val="18"/>
          <w:color w:val="auto"/>
        </w:rPr>
        <w:t>Although the sequential closing of the Specified Ex-U.S. Assets (as defined in the Purchase Agreement) has not yet occurred, the foregoing financial statements include information relating to both the U.S. Territory (as defined in the Purchase Agreement) and the ex-U.S. Territory. The Company is filing such financial statements on a consolidated basis because the businesses are related, and the closing of the Specified Ex-U.S. Assets is probable.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16"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Certain unaudited pro forma financial information as of, and for the three months ended March 31, 2022 and 2021 and for the year ended December 31, 2021 are filed herewith as Exhibit 99.3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380" w:type="dxa"/>
            <w:vAlign w:val="bottom"/>
            <w:gridSpan w:val="6"/>
          </w:tcPr>
          <w:p>
            <w:pPr>
              <w:ind w:left="8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3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KPMG, independent auditors of Sunosi.</w:t>
            </w:r>
          </w:p>
        </w:tc>
      </w:tr>
      <w:tr>
        <w:trPr>
          <w:trHeight w:val="20"/>
        </w:trPr>
        <w:tc>
          <w:tcPr>
            <w:tcW w:w="1160" w:type="dxa"/>
            <w:vAlign w:val="bottom"/>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EE"/>
            </w:tcBorders>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Audited abbreviated financial statements of the Sunosi product of Jazz Pharmaceuticals plc as of December 31, 2021 and 2020, and for the</w:t>
            </w:r>
          </w:p>
        </w:tc>
      </w:tr>
      <w:tr>
        <w:trPr>
          <w:trHeight w:val="169"/>
        </w:trPr>
        <w:tc>
          <w:tcPr>
            <w:tcW w:w="1160" w:type="dxa"/>
            <w:vAlign w:val="bottom"/>
          </w:tcPr>
          <w:p>
            <w:pPr>
              <w:spacing w:after="0"/>
              <w:rPr>
                <w:sz w:val="14"/>
                <w:szCs w:val="14"/>
                <w:color w:val="auto"/>
              </w:rPr>
            </w:pPr>
          </w:p>
        </w:tc>
        <w:tc>
          <w:tcPr>
            <w:tcW w:w="1006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years then ended, and the related notes and the related independent auditors’ report thereon.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43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Unaudited abbreviated financial statements of the Sunosi product of Jazz Pharmaceuticals plc as of March 31, 2022, and for the three-</w:t>
            </w:r>
          </w:p>
        </w:tc>
      </w:tr>
      <w:tr>
        <w:trPr>
          <w:trHeight w:val="169"/>
        </w:trPr>
        <w:tc>
          <w:tcPr>
            <w:tcW w:w="1160" w:type="dxa"/>
            <w:vAlign w:val="bottom"/>
          </w:tcPr>
          <w:p>
            <w:pPr>
              <w:spacing w:after="0"/>
              <w:rPr>
                <w:sz w:val="14"/>
                <w:szCs w:val="14"/>
                <w:color w:val="auto"/>
              </w:rPr>
            </w:pPr>
          </w:p>
        </w:tc>
        <w:tc>
          <w:tcPr>
            <w:tcW w:w="1010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month periods ended March 31, 2022 and 2021 and the unaudited notes related thereto.</w:t>
            </w:r>
          </w:p>
        </w:tc>
        <w:tc>
          <w:tcPr>
            <w:tcW w:w="2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4340" w:type="dxa"/>
            <w:vAlign w:val="bottom"/>
            <w:tcBorders>
              <w:right w:val="single" w:sz="8" w:color="0000EE"/>
            </w:tcBorders>
            <w:gridSpan w:val="2"/>
            <w:shd w:val="clear" w:color="auto" w:fill="0000FF"/>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99.3</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Unaudited pro forma combined financial information as of, and for the three months ended March 31, 2022 and 2021 and for the year</w:t>
            </w:r>
          </w:p>
        </w:tc>
      </w:tr>
      <w:tr>
        <w:trPr>
          <w:trHeight w:val="169"/>
        </w:trPr>
        <w:tc>
          <w:tcPr>
            <w:tcW w:w="1160" w:type="dxa"/>
            <w:vAlign w:val="bottom"/>
          </w:tcPr>
          <w:p>
            <w:pPr>
              <w:spacing w:after="0"/>
              <w:rPr>
                <w:sz w:val="14"/>
                <w:szCs w:val="14"/>
                <w:color w:val="auto"/>
              </w:rPr>
            </w:pPr>
          </w:p>
        </w:tc>
        <w:tc>
          <w:tcPr>
            <w:tcW w:w="1008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ended December 31, 2021.</w:t>
            </w:r>
          </w:p>
        </w:tc>
        <w:tc>
          <w:tcPr>
            <w:tcW w:w="40" w:type="dxa"/>
            <w:vAlign w:val="bottom"/>
            <w:gridSpan w:val="2"/>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ind w:left="1160" w:hanging="1139"/>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1" w:lineRule="exact"/>
        <w:rPr>
          <w:rFonts w:ascii="Times New Roman" w:cs="Times New Roman" w:eastAsia="Times New Roman" w:hAnsi="Times New Roman"/>
          <w:sz w:val="18"/>
          <w:szCs w:val="18"/>
          <w:color w:val="auto"/>
        </w:rPr>
      </w:pPr>
    </w:p>
    <w:p>
      <w:pPr>
        <w:ind w:left="5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2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July 21, 2022</w:t>
            </w:r>
          </w:p>
        </w:tc>
        <w:tc>
          <w:tcPr>
            <w:tcW w:w="1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By:</w:t>
            </w:r>
          </w:p>
        </w:tc>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225"/>
        </w:trPr>
        <w:tc>
          <w:tcPr>
            <w:tcW w:w="7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Name:</w:t>
            </w: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7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Title:</w:t>
            </w: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749"/>
        </w:trPr>
        <w:tc>
          <w:tcPr>
            <w:tcW w:w="7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Auditor</w:t>
      </w:r>
    </w:p>
    <w:p>
      <w:pPr>
        <w:spacing w:after="0" w:line="2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on Form S-3 (No. 333-235372) and Form S-8 (Nos. 333-208579, 333-217002, 333-226824, 333-230296, 333-238174, 333-256019 and 333-264621) of Axsome Therapeutics, Inc. of our report dated May 3, 2022 with respect to the abbreviated financial statements of the Sunosi product of Jazz Pharmaceuticals plc, which report appears in the Form 8-K/A of Axsome Therapeutics, Inc. filed July 21, 2022.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Dublin, Ireland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181818"/>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(solriamfetol)</w:t>
      </w:r>
    </w:p>
    <w:p>
      <w:pPr>
        <w:ind w:left="3040"/>
        <w:spacing w:after="0"/>
        <w:rPr>
          <w:sz w:val="20"/>
          <w:szCs w:val="20"/>
          <w:color w:val="auto"/>
        </w:rPr>
      </w:pPr>
      <w:r>
        <w:rPr>
          <w:rFonts w:ascii="Times New Roman" w:cs="Times New Roman" w:eastAsia="Times New Roman" w:hAnsi="Times New Roman"/>
          <w:sz w:val="18"/>
          <w:szCs w:val="18"/>
          <w:color w:val="auto"/>
        </w:rPr>
        <w:t>(A Product of Jazz Pharmaceuticals plc)</w:t>
      </w:r>
    </w:p>
    <w:p>
      <w:pPr>
        <w:spacing w:after="0" w:line="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Abbreviated Financial Statements</w:t>
      </w:r>
    </w:p>
    <w:p>
      <w:pPr>
        <w:spacing w:after="0" w:line="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As of and for the Years Ended December 31, 2021 and 2020</w:t>
      </w:r>
    </w:p>
    <w:p>
      <w:pPr>
        <w:ind w:left="2820"/>
        <w:spacing w:after="0"/>
        <w:rPr>
          <w:sz w:val="20"/>
          <w:szCs w:val="20"/>
          <w:color w:val="auto"/>
        </w:rPr>
      </w:pPr>
      <w:r>
        <w:rPr>
          <w:rFonts w:ascii="Times New Roman" w:cs="Times New Roman" w:eastAsia="Times New Roman" w:hAnsi="Times New Roman"/>
          <w:sz w:val="18"/>
          <w:szCs w:val="18"/>
          <w:color w:val="auto"/>
        </w:rPr>
        <w:t>(With Independent Auditors’ Report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2058035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7380" w:type="dxa"/>
            <w:vAlign w:val="bottom"/>
            <w:gridSpan w:val="2"/>
          </w:tcPr>
          <w:p>
            <w:pPr>
              <w:jc w:val="right"/>
              <w:ind w:right="3890"/>
              <w:spacing w:after="0"/>
              <w:rPr>
                <w:sz w:val="20"/>
                <w:szCs w:val="20"/>
                <w:color w:val="auto"/>
              </w:rPr>
            </w:pPr>
            <w:r>
              <w:rPr>
                <w:rFonts w:ascii="Times New Roman" w:cs="Times New Roman" w:eastAsia="Times New Roman" w:hAnsi="Times New Roman"/>
                <w:sz w:val="18"/>
                <w:szCs w:val="18"/>
                <w:b w:val="1"/>
                <w:bCs w:val="1"/>
                <w:color w:val="auto"/>
              </w:rPr>
              <w:t>Index to Abbreviated Financial Statements</w:t>
            </w:r>
          </w:p>
        </w:tc>
        <w:tc>
          <w:tcPr>
            <w:tcW w:w="20" w:type="dxa"/>
            <w:vAlign w:val="bottom"/>
          </w:tcPr>
          <w:p>
            <w:pPr>
              <w:spacing w:after="0"/>
              <w:rPr>
                <w:sz w:val="20"/>
                <w:szCs w:val="20"/>
                <w:color w:val="auto"/>
              </w:rPr>
            </w:pPr>
          </w:p>
        </w:tc>
      </w:tr>
      <w:tr>
        <w:trPr>
          <w:trHeight w:val="553"/>
        </w:trPr>
        <w:tc>
          <w:tcPr>
            <w:tcW w:w="38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20" w:type="dxa"/>
            <w:vAlign w:val="bottom"/>
          </w:tcPr>
          <w:p>
            <w:pPr>
              <w:spacing w:after="0"/>
              <w:rPr>
                <w:sz w:val="24"/>
                <w:szCs w:val="24"/>
                <w:color w:val="auto"/>
              </w:rPr>
            </w:pPr>
          </w:p>
        </w:tc>
      </w:tr>
      <w:tr>
        <w:trPr>
          <w:trHeight w:val="372"/>
        </w:trPr>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Independent Auditors’ Report</w:t>
            </w:r>
          </w:p>
        </w:tc>
        <w:tc>
          <w:tcPr>
            <w:tcW w:w="73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r>
      <w:tr>
        <w:trPr>
          <w:trHeight w:val="36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Abbreviated Financial Statements:</w:t>
            </w:r>
          </w:p>
        </w:tc>
        <w:tc>
          <w:tcPr>
            <w:tcW w:w="6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Statements of Assets Acquired</w:t>
            </w:r>
          </w:p>
        </w:tc>
        <w:tc>
          <w:tcPr>
            <w:tcW w:w="73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r>
      <w:tr>
        <w:trPr>
          <w:trHeight w:val="364"/>
        </w:trPr>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Statements of Revenues and Direct Expenses</w:t>
            </w:r>
          </w:p>
        </w:tc>
        <w:tc>
          <w:tcPr>
            <w:tcW w:w="73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r>
      <w:tr>
        <w:trPr>
          <w:trHeight w:val="364"/>
        </w:trPr>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Notes to Abbreviated Financial Statements</w:t>
            </w:r>
          </w:p>
        </w:tc>
        <w:tc>
          <w:tcPr>
            <w:tcW w:w="73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r>
      <w:tr>
        <w:trPr>
          <w:trHeight w:val="1411"/>
        </w:trPr>
        <w:tc>
          <w:tcPr>
            <w:tcW w:w="384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88900</wp:posOffset>
            </wp:positionV>
            <wp:extent cx="2297430" cy="10883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29743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INDEPENDENT AUDITORS’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194" w:lineRule="exact"/>
        <w:rPr>
          <w:sz w:val="20"/>
          <w:szCs w:val="20"/>
          <w:color w:val="auto"/>
        </w:rPr>
      </w:pPr>
    </w:p>
    <w:p>
      <w:pPr>
        <w:ind w:right="1100"/>
        <w:spacing w:after="0" w:line="485" w:lineRule="auto"/>
        <w:rPr>
          <w:sz w:val="20"/>
          <w:szCs w:val="20"/>
          <w:color w:val="auto"/>
        </w:rPr>
      </w:pPr>
      <w:r>
        <w:rPr>
          <w:rFonts w:ascii="Arial" w:cs="Arial" w:eastAsia="Arial" w:hAnsi="Arial"/>
          <w:sz w:val="18"/>
          <w:szCs w:val="18"/>
          <w:b w:val="1"/>
          <w:bCs w:val="1"/>
          <w:color w:val="auto"/>
        </w:rPr>
        <w:t xml:space="preserve">REPORT ON ABBREVIATED FINANCIAL STATEMENTS OF THE SUNOSI PRODUCT OF JAZZ PHARMACEUTICALS PLC </w:t>
      </w:r>
      <w:r>
        <w:rPr>
          <w:rFonts w:ascii="Arial" w:cs="Arial" w:eastAsia="Arial" w:hAnsi="Arial"/>
          <w:sz w:val="18"/>
          <w:szCs w:val="18"/>
          <w:b w:val="1"/>
          <w:bCs w:val="1"/>
          <w:i w:val="1"/>
          <w:iCs w:val="1"/>
          <w:color w:val="auto"/>
        </w:rPr>
        <w:t>Opinion</w:t>
      </w:r>
    </w:p>
    <w:p>
      <w:pPr>
        <w:jc w:val="both"/>
        <w:ind w:left="20" w:hanging="9"/>
        <w:spacing w:after="0" w:line="261" w:lineRule="auto"/>
        <w:rPr>
          <w:sz w:val="20"/>
          <w:szCs w:val="20"/>
          <w:color w:val="auto"/>
        </w:rPr>
      </w:pPr>
      <w:r>
        <w:rPr>
          <w:rFonts w:ascii="Arial" w:cs="Arial" w:eastAsia="Arial" w:hAnsi="Arial"/>
          <w:sz w:val="18"/>
          <w:szCs w:val="18"/>
          <w:color w:val="auto"/>
        </w:rPr>
        <w:t>We have audited the abbreviated financial statements of the Sunosi product of Jazz Pharmaceuticals plc (the Reporting Entity), which comprise the statement of assets acquired as of December 31, 2021 and 2020, and the related statement of revenues and direct expenses for each of the years then ended, and the related notes to the abbreviated financial statements.</w:t>
      </w:r>
    </w:p>
    <w:p>
      <w:pPr>
        <w:spacing w:after="0" w:line="162" w:lineRule="exact"/>
        <w:rPr>
          <w:sz w:val="20"/>
          <w:szCs w:val="20"/>
          <w:color w:val="auto"/>
        </w:rPr>
      </w:pPr>
    </w:p>
    <w:p>
      <w:pPr>
        <w:jc w:val="both"/>
        <w:ind w:left="20" w:hanging="9"/>
        <w:spacing w:after="0" w:line="268" w:lineRule="auto"/>
        <w:rPr>
          <w:sz w:val="20"/>
          <w:szCs w:val="20"/>
          <w:color w:val="auto"/>
        </w:rPr>
      </w:pPr>
      <w:r>
        <w:rPr>
          <w:rFonts w:ascii="Arial" w:cs="Arial" w:eastAsia="Arial" w:hAnsi="Arial"/>
          <w:sz w:val="18"/>
          <w:szCs w:val="18"/>
          <w:color w:val="auto"/>
        </w:rPr>
        <w:t>In our opinion, the accompanying abbreviated financial statements present fairly, in all material respects, the financial position and the results of operations of the Reporting Entity as of and for each of the years ended December 31, 2021 and 2020 in accordance with U.S. generally accepted accounting principles.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30" w:lineRule="exact"/>
        <w:rPr>
          <w:sz w:val="20"/>
          <w:szCs w:val="20"/>
          <w:color w:val="auto"/>
        </w:rPr>
      </w:pPr>
    </w:p>
    <w:p>
      <w:pPr>
        <w:jc w:val="both"/>
        <w:ind w:left="20" w:hanging="9"/>
        <w:spacing w:after="0" w:line="256"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(U.S. GAAS). Our responsibilities under those standards are further described in the Auditors’ Responsibilities for the Audit of the Abbreviated Financial Statements section of our report. We are required to be independent of the Reporting Entity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 – Basis of Preparation</w:t>
      </w:r>
    </w:p>
    <w:p>
      <w:pPr>
        <w:spacing w:after="0" w:line="27" w:lineRule="exact"/>
        <w:rPr>
          <w:sz w:val="20"/>
          <w:szCs w:val="20"/>
          <w:color w:val="auto"/>
        </w:rPr>
      </w:pPr>
    </w:p>
    <w:p>
      <w:pPr>
        <w:jc w:val="both"/>
        <w:ind w:left="20" w:hanging="9"/>
        <w:spacing w:after="0" w:line="255" w:lineRule="auto"/>
        <w:rPr>
          <w:sz w:val="20"/>
          <w:szCs w:val="20"/>
          <w:color w:val="auto"/>
        </w:rPr>
      </w:pPr>
      <w:r>
        <w:rPr>
          <w:rFonts w:ascii="Arial" w:cs="Arial" w:eastAsia="Arial" w:hAnsi="Arial"/>
          <w:sz w:val="18"/>
          <w:szCs w:val="18"/>
          <w:color w:val="auto"/>
        </w:rPr>
        <w:t>As discussed in note 2(a) to the abbreviated financial statements, which describes the basis of preparation, the abbreviated financial statements were prepared for the purpose of complying with the rules and regulations of the Securities and Exchange Commission for inclusion in the Current Report on Form 8-K of Axsome Therapeutics, Inc. As a result, the abbreviated financial statements may not be suitable for another purpose. Our opinion is not modified with respect to this matter.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of Management for the Abbreviated Financial Statements</w:t>
      </w:r>
    </w:p>
    <w:p>
      <w:pPr>
        <w:spacing w:after="0" w:line="27" w:lineRule="exact"/>
        <w:rPr>
          <w:sz w:val="20"/>
          <w:szCs w:val="20"/>
          <w:color w:val="auto"/>
        </w:rPr>
      </w:pPr>
    </w:p>
    <w:p>
      <w:pPr>
        <w:jc w:val="both"/>
        <w:ind w:left="20" w:hanging="9"/>
        <w:spacing w:after="0" w:line="258" w:lineRule="auto"/>
        <w:rPr>
          <w:sz w:val="20"/>
          <w:szCs w:val="20"/>
          <w:color w:val="auto"/>
        </w:rPr>
      </w:pPr>
      <w:r>
        <w:rPr>
          <w:rFonts w:ascii="Arial" w:cs="Arial" w:eastAsia="Arial" w:hAnsi="Arial"/>
          <w:sz w:val="18"/>
          <w:szCs w:val="18"/>
          <w:color w:val="auto"/>
        </w:rPr>
        <w:t>Management is responsible for the preparation and fair presentation of the abbreviated financial statements in accordance with U.S. generally accepted accounting principles, and for the design, implementation, and maintenance of internal control relevant to the preparation and fair presentation of the abbreviated financial statements that are free from material misstatement, whether due to fraud or error.</w:t>
      </w:r>
    </w:p>
    <w:p>
      <w:pPr>
        <w:spacing w:after="0" w:line="165" w:lineRule="exact"/>
        <w:rPr>
          <w:sz w:val="20"/>
          <w:szCs w:val="20"/>
          <w:color w:val="auto"/>
        </w:rPr>
      </w:pPr>
    </w:p>
    <w:p>
      <w:pPr>
        <w:jc w:val="both"/>
        <w:ind w:left="20" w:hanging="9"/>
        <w:spacing w:after="0" w:line="268" w:lineRule="auto"/>
        <w:rPr>
          <w:sz w:val="20"/>
          <w:szCs w:val="20"/>
          <w:color w:val="auto"/>
        </w:rPr>
      </w:pPr>
      <w:r>
        <w:rPr>
          <w:rFonts w:ascii="Arial" w:cs="Arial" w:eastAsia="Arial" w:hAnsi="Arial"/>
          <w:sz w:val="18"/>
          <w:szCs w:val="18"/>
          <w:color w:val="auto"/>
        </w:rPr>
        <w:t>In preparing the abbreviated financial statements, management is required to evaluate whether there are conditions or events, considered in the aggregate, that raise substantial doubt about the Reporting Entity’s ability to continue as a going concern for one year after the date that the abbreviated financial statements are available to be issued.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120015</wp:posOffset>
            </wp:positionV>
            <wp:extent cx="202311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3110" cy="26543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left="20" w:right="1000" w:hanging="9"/>
        <w:spacing w:after="0" w:line="295" w:lineRule="auto"/>
        <w:rPr>
          <w:sz w:val="20"/>
          <w:szCs w:val="20"/>
          <w:color w:val="auto"/>
        </w:rPr>
      </w:pPr>
      <w:r>
        <w:rPr>
          <w:rFonts w:ascii="Arial" w:cs="Arial" w:eastAsia="Arial" w:hAnsi="Arial"/>
          <w:sz w:val="18"/>
          <w:szCs w:val="18"/>
          <w:b w:val="1"/>
          <w:bCs w:val="1"/>
          <w:color w:val="auto"/>
        </w:rPr>
        <w:t xml:space="preserve">INDEPENDENT AUDITORS’ REPORT ON ABBREVIATED FINANCIAL STATEMENTS OF THE SUNOSI PRODUCT OF JAZZ PHARMACEUTICALS PLC </w:t>
      </w:r>
      <w:r>
        <w:rPr>
          <w:rFonts w:ascii="Arial" w:cs="Arial" w:eastAsia="Arial" w:hAnsi="Arial"/>
          <w:sz w:val="18"/>
          <w:szCs w:val="18"/>
          <w:color w:val="auto"/>
        </w:rPr>
        <w:t>(continued)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Responsibilities for the Audit of the Abbreviated Financial Statements</w:t>
      </w:r>
    </w:p>
    <w:p>
      <w:pPr>
        <w:spacing w:after="0" w:line="27" w:lineRule="exact"/>
        <w:rPr>
          <w:sz w:val="20"/>
          <w:szCs w:val="20"/>
          <w:color w:val="auto"/>
        </w:rPr>
      </w:pPr>
    </w:p>
    <w:p>
      <w:pPr>
        <w:jc w:val="both"/>
        <w:ind w:left="20" w:hanging="14"/>
        <w:spacing w:after="0" w:line="253" w:lineRule="auto"/>
        <w:rPr>
          <w:sz w:val="20"/>
          <w:szCs w:val="20"/>
          <w:color w:val="auto"/>
        </w:rPr>
      </w:pPr>
      <w:r>
        <w:rPr>
          <w:rFonts w:ascii="Arial" w:cs="Arial" w:eastAsia="Arial" w:hAnsi="Arial"/>
          <w:sz w:val="18"/>
          <w:szCs w:val="18"/>
          <w:color w:val="auto"/>
        </w:rPr>
        <w:t>Our objectives are to obtain reasonable assurance about whether the abbreviated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abbreviated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In performing an audit in accordance with U.S. GAAS, we:</w:t>
      </w:r>
    </w:p>
    <w:p>
      <w:pPr>
        <w:spacing w:after="0" w:line="266"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Exercise professional judgment and maintain professional skepticism throughout the audit.</w:t>
      </w:r>
    </w:p>
    <w:p>
      <w:pPr>
        <w:spacing w:after="0" w:line="26" w:lineRule="exact"/>
        <w:rPr>
          <w:rFonts w:ascii="Times New Roman" w:cs="Times New Roman" w:eastAsia="Times New Roman" w:hAnsi="Times New Roman"/>
          <w:sz w:val="18"/>
          <w:szCs w:val="18"/>
          <w:color w:val="auto"/>
        </w:rPr>
      </w:pPr>
    </w:p>
    <w:p>
      <w:pPr>
        <w:jc w:val="both"/>
        <w:ind w:left="760" w:hanging="378"/>
        <w:spacing w:after="0" w:line="244"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Identify and assess the risks of material misstatement of the abbreviated financial statements, whether due to fraud or error, and design and perform audit procedures responsive to those risks. Such procedures include examining, on a test basis, evidence regarding the amounts and disclosures in the abbreviated financial statements.</w:t>
      </w:r>
    </w:p>
    <w:p>
      <w:pPr>
        <w:spacing w:after="0" w:line="2" w:lineRule="exact"/>
        <w:rPr>
          <w:rFonts w:ascii="Times New Roman" w:cs="Times New Roman" w:eastAsia="Times New Roman" w:hAnsi="Times New Roman"/>
          <w:sz w:val="18"/>
          <w:szCs w:val="18"/>
          <w:color w:val="auto"/>
        </w:rPr>
      </w:pPr>
    </w:p>
    <w:p>
      <w:pPr>
        <w:jc w:val="both"/>
        <w:ind w:left="760" w:right="20" w:hanging="378"/>
        <w:spacing w:after="0" w:line="239"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Obtain an understanding of internal control relevant to the audit in order to design audit procedures that are appropriate in the circumstances, but not for the purpose of expressing an opinion on the effectiveness of the Reporting Entity’s internal control. Accordingly, no such opinion is expressed.</w:t>
      </w:r>
    </w:p>
    <w:p>
      <w:pPr>
        <w:spacing w:after="0" w:line="1" w:lineRule="exact"/>
        <w:rPr>
          <w:rFonts w:ascii="Times New Roman" w:cs="Times New Roman" w:eastAsia="Times New Roman" w:hAnsi="Times New Roman"/>
          <w:sz w:val="18"/>
          <w:szCs w:val="18"/>
          <w:color w:val="auto"/>
        </w:rPr>
      </w:pPr>
    </w:p>
    <w:p>
      <w:pPr>
        <w:ind w:left="760" w:right="20" w:hanging="378"/>
        <w:spacing w:after="0" w:line="242"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Evaluate the appropriateness of accounting policies used and the reasonableness of significant accounting estimates made by management, as well as evaluate the overall presentation of the abbreviated financial statements.</w:t>
      </w:r>
    </w:p>
    <w:p>
      <w:pPr>
        <w:ind w:left="760" w:hanging="378"/>
        <w:spacing w:after="0" w:line="265"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Conclude whether, in our judgment, there are conditions or events, considered in the aggregate, that raise substantial doubt about the Reporting Entity’s ability to continue as a going concern for a reasonable period of time.</w:t>
      </w:r>
    </w:p>
    <w:p>
      <w:pPr>
        <w:spacing w:after="0" w:line="172" w:lineRule="exact"/>
        <w:rPr>
          <w:sz w:val="20"/>
          <w:szCs w:val="20"/>
          <w:color w:val="auto"/>
        </w:rPr>
      </w:pPr>
    </w:p>
    <w:p>
      <w:pPr>
        <w:ind w:left="20" w:hanging="9"/>
        <w:spacing w:after="0" w:line="287" w:lineRule="auto"/>
        <w:rPr>
          <w:sz w:val="20"/>
          <w:szCs w:val="20"/>
          <w:color w:val="auto"/>
        </w:rPr>
      </w:pPr>
      <w:r>
        <w:rPr>
          <w:rFonts w:ascii="Arial" w:cs="Arial" w:eastAsia="Arial" w:hAnsi="Arial"/>
          <w:sz w:val="18"/>
          <w:szCs w:val="18"/>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96925" cy="471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692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3, 2022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540"/>
        <w:spacing w:after="0"/>
        <w:rPr>
          <w:sz w:val="20"/>
          <w:szCs w:val="20"/>
          <w:color w:val="auto"/>
        </w:rPr>
      </w:pPr>
      <w:r>
        <w:rPr>
          <w:rFonts w:ascii="Times New Roman" w:cs="Times New Roman" w:eastAsia="Times New Roman" w:hAnsi="Times New Roman"/>
          <w:sz w:val="18"/>
          <w:szCs w:val="18"/>
          <w:b w:val="1"/>
          <w:bCs w:val="1"/>
          <w:color w:val="auto"/>
        </w:rPr>
        <w:t>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(solriamfetol)</w:t>
      </w:r>
    </w:p>
    <w:p>
      <w:pPr>
        <w:spacing w:after="0" w:line="5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(A Product of Jazz Pharmaceuticals plc)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Statements of Assets Acquired</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3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74,243</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82,098</w:t>
            </w: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3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21,557</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16,224</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49"/>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96,212</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-25400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-7620</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abbreviated financial statements.</w:t>
      </w:r>
    </w:p>
    <w:p>
      <w:pPr>
        <w:spacing w:after="0" w:line="38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60" w:top="128" w:right="779" w:bottom="1440" w:gutter="0" w:footer="0" w:header="0"/>
        </w:sectPr>
      </w:pPr>
    </w:p>
    <w:bookmarkStart w:id="9" w:name="page10"/>
    <w:bookmarkEnd w:id="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(solriamfetol)</w:t>
      </w:r>
    </w:p>
    <w:p>
      <w:pPr>
        <w:spacing w:after="0" w:line="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 Product of Jazz Pharmaceuticals plc)</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Statements of Revenues and Direct Expenses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38"/>
        </w:trPr>
        <w:tc>
          <w:tcPr>
            <w:tcW w:w="6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3"/>
        </w:trPr>
        <w:tc>
          <w:tcPr>
            <w:tcW w:w="6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66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Product sales, net</w:t>
            </w:r>
          </w:p>
        </w:tc>
        <w:tc>
          <w:tcPr>
            <w:tcW w:w="480" w:type="dxa"/>
            <w:vAlign w:val="bottom"/>
            <w:shd w:val="clear" w:color="auto" w:fill="CFF0FC"/>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57,914</w:t>
            </w:r>
          </w:p>
        </w:tc>
        <w:tc>
          <w:tcPr>
            <w:tcW w:w="600" w:type="dxa"/>
            <w:vAlign w:val="bottom"/>
            <w:gridSpan w:val="2"/>
            <w:shd w:val="clear" w:color="auto" w:fill="CFF0FC"/>
          </w:tcPr>
          <w:p>
            <w:pPr>
              <w:jc w:val="center"/>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28,333</w:t>
            </w:r>
          </w:p>
        </w:tc>
      </w:tr>
      <w:tr>
        <w:trPr>
          <w:trHeight w:val="203"/>
        </w:trPr>
        <w:tc>
          <w:tcPr>
            <w:tcW w:w="6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Direct expenses:</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660" w:type="dxa"/>
            <w:vAlign w:val="bottom"/>
            <w:shd w:val="clear" w:color="auto" w:fill="CFF0FC"/>
          </w:tcPr>
          <w:p>
            <w:pPr>
              <w:ind w:left="280"/>
              <w:spacing w:after="0" w:line="202" w:lineRule="exact"/>
              <w:rPr>
                <w:sz w:val="20"/>
                <w:szCs w:val="20"/>
                <w:color w:val="auto"/>
              </w:rPr>
            </w:pPr>
            <w:r>
              <w:rPr>
                <w:rFonts w:ascii="Times New Roman" w:cs="Times New Roman" w:eastAsia="Times New Roman" w:hAnsi="Times New Roman"/>
                <w:sz w:val="18"/>
                <w:szCs w:val="18"/>
                <w:color w:val="auto"/>
              </w:rPr>
              <w:t>Cost of product sales</w:t>
            </w:r>
          </w:p>
        </w:tc>
        <w:tc>
          <w:tcPr>
            <w:tcW w:w="4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14,137</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7,240</w:t>
            </w:r>
          </w:p>
        </w:tc>
      </w:tr>
      <w:tr>
        <w:trPr>
          <w:trHeight w:val="203"/>
        </w:trPr>
        <w:tc>
          <w:tcPr>
            <w:tcW w:w="666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217,822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147,551</w:t>
            </w:r>
          </w:p>
        </w:tc>
      </w:tr>
      <w:tr>
        <w:trPr>
          <w:trHeight w:val="203"/>
        </w:trPr>
        <w:tc>
          <w:tcPr>
            <w:tcW w:w="6660" w:type="dxa"/>
            <w:vAlign w:val="bottom"/>
            <w:shd w:val="clear" w:color="auto" w:fill="CFF0FC"/>
          </w:tcPr>
          <w:p>
            <w:pPr>
              <w:ind w:left="280"/>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18,039</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20,264</w:t>
            </w:r>
          </w:p>
        </w:tc>
      </w:tr>
      <w:tr>
        <w:trPr>
          <w:trHeight w:val="203"/>
        </w:trPr>
        <w:tc>
          <w:tcPr>
            <w:tcW w:w="666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4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7,855</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7,798</w:t>
            </w:r>
          </w:p>
        </w:tc>
      </w:tr>
      <w:tr>
        <w:trPr>
          <w:trHeight w:val="196"/>
        </w:trPr>
        <w:tc>
          <w:tcPr>
            <w:tcW w:w="66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direct expenses</w:t>
            </w:r>
          </w:p>
        </w:tc>
        <w:tc>
          <w:tcPr>
            <w:tcW w:w="4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257,853</w:t>
            </w:r>
          </w:p>
        </w:tc>
        <w:tc>
          <w:tcPr>
            <w:tcW w:w="1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182,853</w:t>
            </w: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 expenses in excess of product sales, net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(199,939)</w:t>
            </w: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(154,520)</w:t>
            </w:r>
          </w:p>
        </w:tc>
      </w:tr>
      <w:tr>
        <w:trPr>
          <w:trHeight w:val="20"/>
        </w:trPr>
        <w:tc>
          <w:tcPr>
            <w:tcW w:w="6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-170815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abbreviated financial statements.</w:t>
      </w:r>
    </w:p>
    <w:p>
      <w:pPr>
        <w:spacing w:after="0" w:line="1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60" w:top="128" w:right="779" w:bottom="1440" w:gutter="0" w:footer="0" w:header="0"/>
        </w:sectPr>
      </w:pPr>
    </w:p>
    <w:bookmarkStart w:id="10" w:name="page11"/>
    <w:bookmarkEnd w:id="10"/>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(solriamfetol)</w:t>
      </w:r>
    </w:p>
    <w:p>
      <w:pPr>
        <w:spacing w:after="0" w:line="5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 Product of Jazz Pharmaceuticals plc)</w:t>
      </w:r>
    </w:p>
    <w:p>
      <w:pPr>
        <w:spacing w:after="0" w:line="3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Notes to Abbreviated Financial Statements</w:t>
      </w:r>
    </w:p>
    <w:p>
      <w:pPr>
        <w:spacing w:after="0" w:line="203" w:lineRule="exact"/>
        <w:rPr>
          <w:sz w:val="20"/>
          <w:szCs w:val="20"/>
          <w:color w:val="auto"/>
        </w:rPr>
      </w:pPr>
    </w:p>
    <w:p>
      <w:pPr>
        <w:ind w:left="360" w:hanging="353"/>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left="380" w:firstLine="740"/>
        <w:spacing w:after="0" w:line="258" w:lineRule="auto"/>
        <w:rPr>
          <w:sz w:val="20"/>
          <w:szCs w:val="20"/>
          <w:color w:val="auto"/>
        </w:rPr>
      </w:pPr>
      <w:r>
        <w:rPr>
          <w:rFonts w:ascii="Times New Roman" w:cs="Times New Roman" w:eastAsia="Times New Roman" w:hAnsi="Times New Roman"/>
          <w:sz w:val="18"/>
          <w:szCs w:val="18"/>
          <w:color w:val="auto"/>
        </w:rPr>
        <w:t>Jazz Pharmaceuticals plc (the “Company” or “Jazz Pharmaceuticals” or “we”)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183" w:lineRule="exact"/>
        <w:rPr>
          <w:sz w:val="20"/>
          <w:szCs w:val="20"/>
          <w:color w:val="auto"/>
        </w:rPr>
      </w:pPr>
    </w:p>
    <w:p>
      <w:pPr>
        <w:jc w:val="both"/>
        <w:ind w:left="380" w:firstLine="740"/>
        <w:spacing w:after="0" w:line="266" w:lineRule="auto"/>
        <w:rPr>
          <w:sz w:val="20"/>
          <w:szCs w:val="20"/>
          <w:color w:val="auto"/>
        </w:rPr>
      </w:pPr>
      <w:r>
        <w:rPr>
          <w:rFonts w:ascii="Times New Roman" w:cs="Times New Roman" w:eastAsia="Times New Roman" w:hAnsi="Times New Roman"/>
          <w:sz w:val="18"/>
          <w:szCs w:val="18"/>
          <w:color w:val="auto"/>
        </w:rPr>
        <w:t>We market Sunosi® (solriamfetol), a product approved by the U.S. Food and Drug Administration, in the U.S., Canada, the European Union and Great Britain to improve wakefulness in adult patients with Excessive Daytime Sleepiness associated with narcolepsy or obstructive sleep apnea.</w:t>
      </w:r>
    </w:p>
    <w:p>
      <w:pPr>
        <w:spacing w:after="0" w:line="189" w:lineRule="exact"/>
        <w:rPr>
          <w:sz w:val="20"/>
          <w:szCs w:val="20"/>
          <w:color w:val="auto"/>
        </w:rPr>
      </w:pPr>
    </w:p>
    <w:p>
      <w:pPr>
        <w:jc w:val="both"/>
        <w:ind w:left="380" w:firstLine="740"/>
        <w:spacing w:after="0" w:line="254" w:lineRule="auto"/>
        <w:rPr>
          <w:sz w:val="20"/>
          <w:szCs w:val="20"/>
          <w:color w:val="auto"/>
        </w:rPr>
      </w:pPr>
      <w:r>
        <w:rPr>
          <w:rFonts w:ascii="Times New Roman" w:cs="Times New Roman" w:eastAsia="Times New Roman" w:hAnsi="Times New Roman"/>
          <w:sz w:val="18"/>
          <w:szCs w:val="18"/>
          <w:color w:val="auto"/>
        </w:rPr>
        <w:t>On March 25, 2022, Jazz Pharmaceuticals entered into an Asset Purchase Agreement (the “Agreement”) with Axsome Therapeutics Inc, or Axsome, pursuant to which Axsome will acquire Sunosi. Under the terms of the Agreement, Axsome will receive the rights to Sunosi in all of the existing territories available to Jazz Pharmaceuticals. Jazz Pharmaceuticals will receive from Axsome a total upfront payment of $53.0 million, a high single-digit royalty on Axsome’s U.S. net sales of Sunosi in the current indication, and a mid single-digit royalty on Axsome’s U.S. net sales of Sunosi in future indications.</w:t>
      </w:r>
    </w:p>
    <w:p>
      <w:pPr>
        <w:spacing w:after="0" w:line="197" w:lineRule="exact"/>
        <w:rPr>
          <w:sz w:val="20"/>
          <w:szCs w:val="20"/>
          <w:color w:val="auto"/>
        </w:rPr>
      </w:pPr>
    </w:p>
    <w:p>
      <w:pPr>
        <w:ind w:left="360" w:hanging="353"/>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360" w:hanging="353"/>
        <w:spacing w:after="0"/>
        <w:tabs>
          <w:tab w:leader="none" w:pos="3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380" w:firstLine="740"/>
        <w:spacing w:after="0" w:line="253" w:lineRule="auto"/>
        <w:rPr>
          <w:sz w:val="20"/>
          <w:szCs w:val="20"/>
          <w:color w:val="auto"/>
        </w:rPr>
      </w:pPr>
      <w:r>
        <w:rPr>
          <w:rFonts w:ascii="Times New Roman" w:cs="Times New Roman" w:eastAsia="Times New Roman" w:hAnsi="Times New Roman"/>
          <w:sz w:val="18"/>
          <w:szCs w:val="18"/>
          <w:color w:val="auto"/>
        </w:rPr>
        <w:t>The accompanying statement of assets acquired as of December 31, 2021 and 2020, and of revenues and direct expenses for the years then ended of the Sunosi product of Jazz Pharmaceuticals (the “Abbreviated Financial Statements”) represent an incomplete presentation of Sunosi assets, liabilities, revenues and expenses and are therefore not intended to represent the financial condition, results of operations or cash flows of Sunosi. These Abbreviated Financial Statements are based upon the Agreement and relief under SEC Rule 3-05, Significant Acquisition Carveout Financial Statement Reporting Requirements, as amended, as the acquisition by Axsome meets the criteria established by the Securities and Exchange Commission to provide abbreviated financial statements in lieu of full financial statements of the acquired business.</w:t>
      </w:r>
    </w:p>
    <w:p>
      <w:pPr>
        <w:spacing w:after="0" w:line="203" w:lineRule="exact"/>
        <w:rPr>
          <w:sz w:val="20"/>
          <w:szCs w:val="20"/>
          <w:color w:val="auto"/>
        </w:rPr>
      </w:pPr>
    </w:p>
    <w:p>
      <w:pPr>
        <w:jc w:val="both"/>
        <w:ind w:left="380" w:firstLine="740"/>
        <w:spacing w:after="0" w:line="254" w:lineRule="auto"/>
        <w:rPr>
          <w:sz w:val="20"/>
          <w:szCs w:val="20"/>
          <w:color w:val="auto"/>
        </w:rPr>
      </w:pPr>
      <w:r>
        <w:rPr>
          <w:rFonts w:ascii="Times New Roman" w:cs="Times New Roman" w:eastAsia="Times New Roman" w:hAnsi="Times New Roman"/>
          <w:sz w:val="18"/>
          <w:szCs w:val="18"/>
          <w:color w:val="auto"/>
        </w:rPr>
        <w:t>The statements of assets acquired only present the assets acquired in accordance with the Agreement. Liabilities as of December 31, 2021 and 2020 will not be assumed under the Agreement. The statements of revenues and direct expenses present only those revenues and expenses related to the certain assets to be acquired. The Abbreviated Financial Statements were derived from the historical accounting records of Jazz Pharmaceuticals and were prepared in accordance with the basis of accounting described in these Notes, which is in accordance with accounting principles generally accepted in the United States of America (“U.S. GAAP”).</w:t>
      </w:r>
    </w:p>
    <w:p>
      <w:pPr>
        <w:spacing w:after="0" w:line="201" w:lineRule="exact"/>
        <w:rPr>
          <w:sz w:val="20"/>
          <w:szCs w:val="20"/>
          <w:color w:val="auto"/>
        </w:rPr>
      </w:pPr>
    </w:p>
    <w:p>
      <w:pPr>
        <w:jc w:val="both"/>
        <w:ind w:left="380" w:firstLine="740"/>
        <w:spacing w:after="0" w:line="254" w:lineRule="auto"/>
        <w:rPr>
          <w:sz w:val="20"/>
          <w:szCs w:val="20"/>
          <w:color w:val="auto"/>
        </w:rPr>
      </w:pPr>
      <w:r>
        <w:rPr>
          <w:rFonts w:ascii="Times New Roman" w:cs="Times New Roman" w:eastAsia="Times New Roman" w:hAnsi="Times New Roman"/>
          <w:sz w:val="18"/>
          <w:szCs w:val="18"/>
          <w:color w:val="auto"/>
        </w:rPr>
        <w:t>Sunosi was not operated as a separate business or division of Jazz Pharmaceuticals. It was a fully integrated part of Jazz Pharmaceuticals’ consolidated business and operations and did not represent a substantial portion of Jazz Pharmaceuticals’ assets and liabilities. It is impracticable to prepare complete financial statements related to Sunosi as Jazz Pharmaceuticals never accounted for Sunosi on a stand-alone basis or as a separate division or subsidiary, nor has the Company maintained the distinct and separate books and records necessary to prepare full stand-alone or carve-out financial statements and it would be impracticable to do so.</w:t>
      </w:r>
    </w:p>
    <w:p>
      <w:pPr>
        <w:spacing w:after="0" w:line="37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28" w:right="339" w:bottom="1440" w:gutter="0" w:footer="0" w:header="0"/>
        </w:sectPr>
      </w:pPr>
    </w:p>
    <w:bookmarkStart w:id="11" w:name="page12"/>
    <w:bookmarkEnd w:id="11"/>
    <w:p>
      <w:pPr>
        <w:jc w:val="both"/>
        <w:ind w:left="380" w:firstLine="734"/>
        <w:spacing w:after="0" w:line="254" w:lineRule="auto"/>
        <w:rPr>
          <w:sz w:val="20"/>
          <w:szCs w:val="20"/>
          <w:color w:val="auto"/>
        </w:rPr>
      </w:pPr>
      <w:r>
        <w:rPr>
          <w:rFonts w:ascii="Times New Roman" w:cs="Times New Roman" w:eastAsia="Times New Roman" w:hAnsi="Times New Roman"/>
          <w:sz w:val="18"/>
          <w:szCs w:val="18"/>
          <w:color w:val="auto"/>
        </w:rPr>
        <w:t>The statements of revenues and direct expenses include the revenue and related costs that directly relate to Sunosi as well as an allocation of direct costs that can be attributed to this product. The operations of Sunosi rely, to varying degrees, on Jazz Pharmaceuticals for manufacturing and distribution, quality and regulatory support and marketing and sales activities and such expenses have been allocated to Sunosi in these Abbreviated Financial Statements. The allocations were based on a specific identification basis or, when specific identification was not practicable, a proportional cost allocation method, depending on the nature of the services rendered. Management considers that such allocations have been made on a reasonable basis but may not necessarily be indicative of the costs that would have been incurred if Sunosi had been operated on a stand-alone basis for the periods presented. The statements of revenues and direct expenses do not include corporate overhead, such as accounting, human resources, treasury and legal support, or a provision for income taxes as Sunosi never functioned on a stand-alone basis. Accordingly, no allocation of these support fees or income taxes has been made to Sunosi.</w:t>
      </w:r>
    </w:p>
    <w:p>
      <w:pPr>
        <w:spacing w:after="0" w:line="188" w:lineRule="exact"/>
        <w:rPr>
          <w:sz w:val="20"/>
          <w:szCs w:val="20"/>
          <w:color w:val="auto"/>
        </w:rPr>
      </w:pPr>
    </w:p>
    <w:p>
      <w:pPr>
        <w:jc w:val="both"/>
        <w:ind w:left="380" w:firstLine="740"/>
        <w:spacing w:after="0" w:line="261" w:lineRule="auto"/>
        <w:rPr>
          <w:sz w:val="20"/>
          <w:szCs w:val="20"/>
          <w:color w:val="auto"/>
        </w:rPr>
      </w:pPr>
      <w:r>
        <w:rPr>
          <w:rFonts w:ascii="Times New Roman" w:cs="Times New Roman" w:eastAsia="Times New Roman" w:hAnsi="Times New Roman"/>
          <w:sz w:val="18"/>
          <w:szCs w:val="18"/>
          <w:color w:val="auto"/>
        </w:rPr>
        <w:t>During the fiscal years ended December 31, 2021 and 2020, Sunosi did not have any stand-alone financing requirements, and any cash generated was collected at the consolidated level by Jazz Pharmaceuticals. As Sunosi has historically been managed as part of the operations of Jazz Pharmaceuticals and has not been operated on a stand-alone basis, it is not practical to prepare historical cash flow information regarding Sunosi’s operating, investing, and financing cash flows. As such, a statement of cash flows was not prepared.</w:t>
      </w:r>
    </w:p>
    <w:p>
      <w:pPr>
        <w:spacing w:after="0" w:line="176" w:lineRule="exact"/>
        <w:rPr>
          <w:sz w:val="20"/>
          <w:szCs w:val="20"/>
          <w:color w:val="auto"/>
        </w:rPr>
      </w:pPr>
    </w:p>
    <w:p>
      <w:pPr>
        <w:ind w:left="360" w:hanging="353"/>
        <w:spacing w:after="0"/>
        <w:tabs>
          <w:tab w:leader="none" w:pos="3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 and Assumptions in the Preparation of Financial Statements</w:t>
      </w:r>
    </w:p>
    <w:p>
      <w:pPr>
        <w:spacing w:after="0" w:line="229" w:lineRule="exact"/>
        <w:rPr>
          <w:sz w:val="20"/>
          <w:szCs w:val="20"/>
          <w:color w:val="auto"/>
        </w:rPr>
      </w:pPr>
    </w:p>
    <w:p>
      <w:pPr>
        <w:jc w:val="both"/>
        <w:ind w:left="380" w:firstLine="7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about future events and assumptions that may affect the following: (i) the reported amounts of assets acquired and (ii) the reported amounts of revenues, including sales discounts and allowances, and direct expenses and related disclosures at the date of the abbreviated financial statements during each reporting period.</w:t>
      </w:r>
    </w:p>
    <w:p>
      <w:pPr>
        <w:spacing w:after="0" w:line="180" w:lineRule="exact"/>
        <w:rPr>
          <w:sz w:val="20"/>
          <w:szCs w:val="20"/>
          <w:color w:val="auto"/>
        </w:rPr>
      </w:pPr>
    </w:p>
    <w:p>
      <w:pPr>
        <w:jc w:val="both"/>
        <w:ind w:left="380" w:firstLine="740"/>
        <w:spacing w:after="0" w:line="282" w:lineRule="auto"/>
        <w:rPr>
          <w:sz w:val="20"/>
          <w:szCs w:val="20"/>
          <w:color w:val="auto"/>
        </w:rPr>
      </w:pPr>
      <w:r>
        <w:rPr>
          <w:rFonts w:ascii="Times New Roman" w:cs="Times New Roman" w:eastAsia="Times New Roman" w:hAnsi="Times New Roman"/>
          <w:sz w:val="18"/>
          <w:szCs w:val="18"/>
          <w:color w:val="auto"/>
        </w:rPr>
        <w:t>Future events and their effects cannot be determined with certainty. Therefore, the determination of estimates requires the exercise of judgment. Actual results could differ from those estimates, and any such differences could be material.</w:t>
      </w:r>
    </w:p>
    <w:p>
      <w:pPr>
        <w:spacing w:after="0" w:line="158" w:lineRule="exact"/>
        <w:rPr>
          <w:sz w:val="20"/>
          <w:szCs w:val="20"/>
          <w:color w:val="auto"/>
        </w:rPr>
      </w:pPr>
    </w:p>
    <w:p>
      <w:pPr>
        <w:ind w:left="360" w:hanging="353"/>
        <w:spacing w:after="0"/>
        <w:tabs>
          <w:tab w:leader="none" w:pos="3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380" w:firstLine="740"/>
        <w:spacing w:after="0" w:line="258"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our customers, in an amount that reflects the consideration we expect to be entitled to in exchange for those goods or services. 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41" w:lineRule="exact"/>
        <w:rPr>
          <w:sz w:val="20"/>
          <w:szCs w:val="20"/>
          <w:color w:val="auto"/>
        </w:rPr>
      </w:pPr>
    </w:p>
    <w:p>
      <w:pPr>
        <w:jc w:val="both"/>
        <w:ind w:left="380" w:firstLine="740"/>
        <w:spacing w:after="0" w:line="282" w:lineRule="auto"/>
        <w:rPr>
          <w:sz w:val="20"/>
          <w:szCs w:val="20"/>
          <w:color w:val="auto"/>
        </w:rPr>
      </w:pPr>
      <w:r>
        <w:rPr>
          <w:rFonts w:ascii="Times New Roman" w:cs="Times New Roman" w:eastAsia="Times New Roman" w:hAnsi="Times New Roman"/>
          <w:sz w:val="18"/>
          <w:szCs w:val="18"/>
          <w:color w:val="auto"/>
        </w:rPr>
        <w:t>Product sales revenue is recognized when control has transferred to the customer, which occurs at a point in time, which is typically on delivery to the customer.</w:t>
      </w:r>
    </w:p>
    <w:p>
      <w:pPr>
        <w:spacing w:after="0" w:line="35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21" w:right="339" w:bottom="1440" w:gutter="0" w:footer="0" w:header="0"/>
        </w:sectPr>
      </w:pPr>
    </w:p>
    <w:bookmarkStart w:id="12" w:name="page13"/>
    <w:bookmarkEnd w:id="12"/>
    <w:p>
      <w:pPr>
        <w:ind w:left="38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241" w:lineRule="exact"/>
        <w:rPr>
          <w:sz w:val="20"/>
          <w:szCs w:val="20"/>
          <w:color w:val="auto"/>
        </w:rPr>
      </w:pPr>
    </w:p>
    <w:p>
      <w:pPr>
        <w:jc w:val="both"/>
        <w:ind w:left="380" w:firstLine="740"/>
        <w:spacing w:after="0" w:line="252" w:lineRule="auto"/>
        <w:rPr>
          <w:sz w:val="20"/>
          <w:szCs w:val="20"/>
          <w:color w:val="auto"/>
        </w:rPr>
      </w:pPr>
      <w:r>
        <w:rPr>
          <w:rFonts w:ascii="Times New Roman" w:cs="Times New Roman" w:eastAsia="Times New Roman" w:hAnsi="Times New Roman"/>
          <w:sz w:val="18"/>
          <w:szCs w:val="18"/>
          <w:color w:val="auto"/>
        </w:rPr>
        <w:t>Revenues from sales of products are recorded at the net sales price, which includes estimates of variable consideration for which reserves are established and which relate to returns, specialty distributor fees, wholesaler fees, prompt payment discounts, government rebates, government chargebacks, coupon programs and rebates under managed care plans and commercial payor contracts. Calculating certain of these reserves involves estimates and judgments and we determine their expected value based on sales or invoice data, contractual terms, historical utilization rates, new information regarding changes in these programs’ regulations and guidelines that would impact the amount of the actual rebates, our expectations regarding future utilization rates for these programs and channel inventory data.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We reassess our reserves for variable consideration at each reporting date.</w:t>
      </w:r>
    </w:p>
    <w:p>
      <w:pPr>
        <w:spacing w:after="0" w:line="199" w:lineRule="exact"/>
        <w:rPr>
          <w:sz w:val="20"/>
          <w:szCs w:val="20"/>
          <w:color w:val="auto"/>
        </w:rPr>
      </w:pPr>
    </w:p>
    <w:p>
      <w:pPr>
        <w:ind w:left="360" w:hanging="353"/>
        <w:spacing w:after="0"/>
        <w:tabs>
          <w:tab w:leader="none" w:pos="36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of Product Sales</w:t>
      </w:r>
    </w:p>
    <w:p>
      <w:pPr>
        <w:spacing w:after="0" w:line="216" w:lineRule="exact"/>
        <w:rPr>
          <w:sz w:val="20"/>
          <w:szCs w:val="20"/>
          <w:color w:val="auto"/>
        </w:rPr>
      </w:pPr>
    </w:p>
    <w:p>
      <w:pPr>
        <w:jc w:val="both"/>
        <w:ind w:left="380" w:firstLine="740"/>
        <w:spacing w:after="0" w:line="266" w:lineRule="auto"/>
        <w:rPr>
          <w:sz w:val="20"/>
          <w:szCs w:val="20"/>
          <w:color w:val="auto"/>
        </w:rPr>
      </w:pPr>
      <w:r>
        <w:rPr>
          <w:rFonts w:ascii="Times New Roman" w:cs="Times New Roman" w:eastAsia="Times New Roman" w:hAnsi="Times New Roman"/>
          <w:sz w:val="18"/>
          <w:szCs w:val="18"/>
          <w:color w:val="auto"/>
        </w:rPr>
        <w:t>Cost of product sales includes third party manufacturing and distribution costs, the cost of drug substance, royalties due to third parties on product sales, regulatory user fees, product liability insurance, freight, shipping, handling and storage costs and salaries and related costs of employees involved with production.</w:t>
      </w:r>
    </w:p>
    <w:p>
      <w:pPr>
        <w:spacing w:after="0" w:line="185" w:lineRule="exact"/>
        <w:rPr>
          <w:sz w:val="20"/>
          <w:szCs w:val="20"/>
          <w:color w:val="auto"/>
        </w:rPr>
      </w:pPr>
    </w:p>
    <w:p>
      <w:pPr>
        <w:ind w:left="360" w:hanging="353"/>
        <w:spacing w:after="0"/>
        <w:tabs>
          <w:tab w:leader="none" w:pos="36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16" w:lineRule="exact"/>
        <w:rPr>
          <w:sz w:val="20"/>
          <w:szCs w:val="20"/>
          <w:color w:val="auto"/>
        </w:rPr>
      </w:pPr>
    </w:p>
    <w:p>
      <w:pPr>
        <w:ind w:left="380" w:right="20" w:firstLine="7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include sales and marketing costs together with allocated expenses primarily related to salaries and benefits. Costs associated with selling, general and administrative are expensed as incurred.</w:t>
      </w:r>
    </w:p>
    <w:p>
      <w:pPr>
        <w:spacing w:after="0" w:line="171" w:lineRule="exact"/>
        <w:rPr>
          <w:sz w:val="20"/>
          <w:szCs w:val="20"/>
          <w:color w:val="auto"/>
        </w:rPr>
      </w:pPr>
    </w:p>
    <w:p>
      <w:pPr>
        <w:ind w:left="360" w:hanging="353"/>
        <w:spacing w:after="0"/>
        <w:tabs>
          <w:tab w:leader="none" w:pos="36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left="380" w:firstLine="74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related to clinical studies and outside services and personnel expenses. Clinical study and outside services costs relate primarily to services performed by clinical research organizations, clinical studies performed at clinical sites, materials and supplies, and other third party fees. Personnel expenses relate primarily to salaries and benefits. Research and development costs are expensed as incurred.</w:t>
      </w:r>
    </w:p>
    <w:p>
      <w:pPr>
        <w:spacing w:after="0" w:line="196" w:lineRule="exact"/>
        <w:rPr>
          <w:sz w:val="20"/>
          <w:szCs w:val="20"/>
          <w:color w:val="auto"/>
        </w:rPr>
      </w:pPr>
    </w:p>
    <w:p>
      <w:pPr>
        <w:ind w:left="360" w:hanging="353"/>
        <w:spacing w:after="0"/>
        <w:tabs>
          <w:tab w:leader="none" w:pos="36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left="380" w:firstLine="740"/>
        <w:spacing w:after="0" w:line="253" w:lineRule="auto"/>
        <w:rPr>
          <w:sz w:val="20"/>
          <w:szCs w:val="20"/>
          <w:color w:val="auto"/>
        </w:rPr>
      </w:pPr>
      <w:r>
        <w:rPr>
          <w:rFonts w:ascii="Times New Roman" w:cs="Times New Roman" w:eastAsia="Times New Roman" w:hAnsi="Times New Roman"/>
          <w:sz w:val="18"/>
          <w:szCs w:val="18"/>
          <w:color w:val="auto"/>
        </w:rPr>
        <w:t>Intangible assets consist of purchased developed technology and are amortized on a straight-line basis over their estimated useful lives.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may not be recoverable. An impairment loss would be recognized when estimated undiscounted future cash flows expected to result from the use of an asset and its eventual disposition are less than its carrying amount. The amount of any impairment is measured as the difference between the carrying amount and the fair value of the impaired asset.</w:t>
      </w:r>
    </w:p>
    <w:p>
      <w:pPr>
        <w:spacing w:after="0" w:line="199" w:lineRule="exact"/>
        <w:rPr>
          <w:sz w:val="20"/>
          <w:szCs w:val="20"/>
          <w:color w:val="auto"/>
        </w:rPr>
      </w:pPr>
    </w:p>
    <w:p>
      <w:pPr>
        <w:ind w:left="360" w:hanging="353"/>
        <w:spacing w:after="0"/>
        <w:tabs>
          <w:tab w:leader="none" w:pos="36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Inventories</w:t>
      </w:r>
    </w:p>
    <w:p>
      <w:pPr>
        <w:spacing w:after="0" w:line="216" w:lineRule="exact"/>
        <w:rPr>
          <w:sz w:val="20"/>
          <w:szCs w:val="20"/>
          <w:color w:val="auto"/>
        </w:rPr>
      </w:pPr>
    </w:p>
    <w:p>
      <w:pPr>
        <w:jc w:val="both"/>
        <w:ind w:left="380" w:firstLine="740"/>
        <w:spacing w:after="0" w:line="266"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Cost is determined using the firstin, first-out method. Inventory is written down if it has become obsolete, has a cost basis in excess of its expected net realizable value or is in excess of expected sales. The estimate of excess quantities is subjective and primarily dependent on estimates of future demand.</w:t>
      </w:r>
    </w:p>
    <w:p>
      <w:pPr>
        <w:spacing w:after="0" w:line="185" w:lineRule="exact"/>
        <w:rPr>
          <w:sz w:val="20"/>
          <w:szCs w:val="20"/>
          <w:color w:val="auto"/>
        </w:rPr>
      </w:pPr>
    </w:p>
    <w:p>
      <w:pPr>
        <w:ind w:left="360" w:hanging="353"/>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18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19" w:right="339" w:bottom="1440" w:gutter="0" w:footer="0" w:header="0"/>
        </w:sectPr>
      </w:pPr>
    </w:p>
    <w:bookmarkStart w:id="13" w:name="page14"/>
    <w:bookmarkEnd w:id="13"/>
    <w:tbl>
      <w:tblPr>
        <w:tblLayout w:type="fixed"/>
        <w:tblInd w:w="48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3"/>
        </w:trPr>
        <w:tc>
          <w:tcPr>
            <w:tcW w:w="50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Acquired developed technologies, cost</w:t>
            </w:r>
          </w:p>
        </w:tc>
        <w:tc>
          <w:tcPr>
            <w:tcW w:w="340" w:type="dxa"/>
            <w:vAlign w:val="bottom"/>
            <w:shd w:val="clear" w:color="auto" w:fill="CFF0FC"/>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93,500</w:t>
            </w:r>
          </w:p>
        </w:tc>
        <w:tc>
          <w:tcPr>
            <w:tcW w:w="440" w:type="dxa"/>
            <w:vAlign w:val="bottom"/>
            <w:gridSpan w:val="2"/>
            <w:shd w:val="clear" w:color="auto" w:fill="CFF0FC"/>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93,500</w:t>
            </w:r>
          </w:p>
        </w:tc>
      </w:tr>
      <w:tr>
        <w:trPr>
          <w:trHeight w:val="203"/>
        </w:trPr>
        <w:tc>
          <w:tcPr>
            <w:tcW w:w="5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(19,257)</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(11,402)</w:t>
            </w:r>
          </w:p>
        </w:tc>
      </w:tr>
      <w:tr>
        <w:trPr>
          <w:trHeight w:val="236"/>
        </w:trPr>
        <w:tc>
          <w:tcPr>
            <w:tcW w:w="50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74,243</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82,098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4714240</wp:posOffset>
            </wp:positionH>
            <wp:positionV relativeFrom="paragraph">
              <wp:posOffset>-25400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 net consisted of the following (in thousands):</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55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20" w:type="dxa"/>
            <w:vAlign w:val="bottom"/>
          </w:tcPr>
          <w:p>
            <w:pPr>
              <w:spacing w:after="0"/>
              <w:rPr>
                <w:sz w:val="20"/>
                <w:szCs w:val="20"/>
                <w:color w:val="auto"/>
              </w:rPr>
            </w:pPr>
          </w:p>
        </w:tc>
      </w:tr>
      <w:tr>
        <w:trPr>
          <w:trHeight w:val="203"/>
        </w:trPr>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shd w:val="clear" w:color="auto" w:fill="CFF0FC"/>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2,632</w:t>
            </w:r>
          </w:p>
        </w:tc>
        <w:tc>
          <w:tcPr>
            <w:tcW w:w="420" w:type="dxa"/>
            <w:vAlign w:val="bottom"/>
            <w:gridSpan w:val="2"/>
            <w:shd w:val="clear" w:color="auto" w:fill="CFF0FC"/>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3,018</w:t>
            </w:r>
          </w:p>
        </w:tc>
        <w:tc>
          <w:tcPr>
            <w:tcW w:w="142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12,897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10,405</w:t>
            </w:r>
          </w:p>
        </w:tc>
        <w:tc>
          <w:tcPr>
            <w:tcW w:w="142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bottom w:val="single" w:sz="8" w:color="CFF0FC"/>
            </w:tcBorders>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6,028</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2,801</w:t>
            </w:r>
          </w:p>
        </w:tc>
        <w:tc>
          <w:tcPr>
            <w:tcW w:w="142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inventories, net</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21,557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16,224</w:t>
            </w:r>
          </w:p>
        </w:tc>
        <w:tc>
          <w:tcPr>
            <w:tcW w:w="142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21"/>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8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A reserve is recorded for potentially excess, dated or obsolete inventories based on an analysis of inventory on hand compared to</w:t>
            </w:r>
          </w:p>
        </w:tc>
      </w:tr>
      <w:tr>
        <w:trPr>
          <w:trHeight w:val="234"/>
        </w:trPr>
        <w:tc>
          <w:tcPr>
            <w:tcW w:w="260" w:type="dxa"/>
            <w:vAlign w:val="bottom"/>
          </w:tcPr>
          <w:p>
            <w:pPr>
              <w:spacing w:after="0"/>
              <w:rPr>
                <w:sz w:val="20"/>
                <w:szCs w:val="20"/>
                <w:color w:val="auto"/>
              </w:rPr>
            </w:pPr>
          </w:p>
        </w:tc>
        <w:tc>
          <w:tcPr>
            <w:tcW w:w="1060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forecasted future sales, which was $2.3 million and $0.6 million as of December 31, 2021 and December 31, 2020, respectively.</w:t>
            </w:r>
          </w:p>
        </w:tc>
      </w:tr>
      <w:tr>
        <w:trPr>
          <w:trHeight w:val="446"/>
        </w:trPr>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Subsequent Events</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-873760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2680" w:firstLine="764"/>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May 3, 2022, the date these abbreviated financial statements were issued, and there are no subsequent events to disclose.</w:t>
      </w:r>
    </w:p>
    <w:p>
      <w:pPr>
        <w:spacing w:after="0" w:line="12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80" w:top="275" w:right="35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(solriamfetol)</w:t>
      </w:r>
    </w:p>
    <w:p>
      <w:pPr>
        <w:jc w:val="center"/>
        <w:ind w:right="1000"/>
        <w:spacing w:after="0"/>
        <w:rPr>
          <w:sz w:val="20"/>
          <w:szCs w:val="20"/>
          <w:color w:val="auto"/>
        </w:rPr>
      </w:pPr>
      <w:r>
        <w:rPr>
          <w:rFonts w:ascii="Times New Roman" w:cs="Times New Roman" w:eastAsia="Times New Roman" w:hAnsi="Times New Roman"/>
          <w:sz w:val="18"/>
          <w:szCs w:val="18"/>
          <w:color w:val="auto"/>
        </w:rPr>
        <w:t>(A Product of Jazz Pharmaceuticals plc)</w:t>
      </w:r>
    </w:p>
    <w:p>
      <w:pPr>
        <w:spacing w:after="0" w:line="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Unaudited Abbreviated Financial Statements</w:t>
      </w:r>
    </w:p>
    <w:p>
      <w:pPr>
        <w:spacing w:after="0" w:line="2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As of March 31, 2022 and December 31, 2021 and for the Three Month Periods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2230755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2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1012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Index to Unaudited Abbreviated Financial Statements</w:t>
            </w:r>
          </w:p>
        </w:tc>
        <w:tc>
          <w:tcPr>
            <w:tcW w:w="1120" w:type="dxa"/>
            <w:vAlign w:val="bottom"/>
          </w:tcPr>
          <w:p>
            <w:pPr>
              <w:spacing w:after="0"/>
              <w:rPr>
                <w:sz w:val="20"/>
                <w:szCs w:val="20"/>
                <w:color w:val="auto"/>
              </w:rPr>
            </w:pPr>
          </w:p>
        </w:tc>
      </w:tr>
      <w:tr>
        <w:trPr>
          <w:trHeight w:val="432"/>
        </w:trPr>
        <w:tc>
          <w:tcPr>
            <w:tcW w:w="10120" w:type="dxa"/>
            <w:vAlign w:val="bottom"/>
          </w:tcPr>
          <w:p>
            <w:pPr>
              <w:spacing w:after="0"/>
              <w:rPr>
                <w:sz w:val="24"/>
                <w:szCs w:val="24"/>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45"/>
        </w:trPr>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Unaudited Abbreviated Financial Statements:</w:t>
            </w:r>
          </w:p>
        </w:tc>
        <w:tc>
          <w:tcPr>
            <w:tcW w:w="1120" w:type="dxa"/>
            <w:vAlign w:val="bottom"/>
          </w:tcPr>
          <w:p>
            <w:pPr>
              <w:spacing w:after="0"/>
              <w:rPr>
                <w:sz w:val="24"/>
                <w:szCs w:val="24"/>
                <w:color w:val="auto"/>
              </w:rPr>
            </w:pPr>
          </w:p>
        </w:tc>
      </w:tr>
      <w:tr>
        <w:trPr>
          <w:trHeight w:val="351"/>
        </w:trPr>
        <w:tc>
          <w:tcPr>
            <w:tcW w:w="101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Statements of Assets Acquired</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w:t>
            </w:r>
          </w:p>
        </w:tc>
      </w:tr>
      <w:tr>
        <w:trPr>
          <w:trHeight w:val="351"/>
        </w:trPr>
        <w:tc>
          <w:tcPr>
            <w:tcW w:w="101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Statements of Revenues and Direct Expenses</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r>
      <w:tr>
        <w:trPr>
          <w:trHeight w:val="351"/>
        </w:trPr>
        <w:tc>
          <w:tcPr>
            <w:tcW w:w="101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Notes to Unaudited Abbreviated Financial Statements</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r>
      <w:tr>
        <w:trPr>
          <w:trHeight w:val="952"/>
        </w:trPr>
        <w:tc>
          <w:tcPr>
            <w:tcW w:w="10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6" w:name="page17"/>
    <w:bookmarkEnd w:id="16"/>
    <w:p>
      <w:pPr>
        <w:ind w:left="4560"/>
        <w:spacing w:after="0"/>
        <w:rPr>
          <w:sz w:val="20"/>
          <w:szCs w:val="20"/>
          <w:color w:val="auto"/>
        </w:rPr>
      </w:pPr>
      <w:r>
        <w:rPr>
          <w:rFonts w:ascii="Times New Roman" w:cs="Times New Roman" w:eastAsia="Times New Roman" w:hAnsi="Times New Roman"/>
          <w:sz w:val="18"/>
          <w:szCs w:val="18"/>
          <w:b w:val="1"/>
          <w:bCs w:val="1"/>
          <w:color w:val="auto"/>
        </w:rPr>
        <w:t>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(solriamfetol)</w:t>
      </w:r>
    </w:p>
    <w:p>
      <w:pPr>
        <w:spacing w:after="0" w:line="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(A Product of Jazz Pharmaceuticals plc)</w:t>
      </w:r>
    </w:p>
    <w:p>
      <w:pPr>
        <w:spacing w:after="0" w:line="5" w:lineRule="exact"/>
        <w:rPr>
          <w:sz w:val="20"/>
          <w:szCs w:val="20"/>
          <w:color w:val="auto"/>
        </w:rPr>
      </w:pPr>
    </w:p>
    <w:p>
      <w:pPr>
        <w:jc w:val="center"/>
        <w:ind w:left="3720"/>
        <w:spacing w:after="0"/>
        <w:rPr>
          <w:sz w:val="20"/>
          <w:szCs w:val="20"/>
          <w:color w:val="auto"/>
        </w:rPr>
      </w:pPr>
      <w:r>
        <w:rPr>
          <w:rFonts w:ascii="Times New Roman" w:cs="Times New Roman" w:eastAsia="Times New Roman" w:hAnsi="Times New Roman"/>
          <w:sz w:val="18"/>
          <w:szCs w:val="18"/>
          <w:b w:val="1"/>
          <w:bCs w:val="1"/>
          <w:color w:val="auto"/>
        </w:rPr>
        <w:t>Statements of Assets Acquired (Unaudited)</w:t>
      </w:r>
    </w:p>
    <w:p>
      <w:pPr>
        <w:jc w:val="center"/>
        <w:ind w:left="37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-116840</wp:posOffset>
            </wp:positionV>
            <wp:extent cx="6917690"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17690" cy="257175"/>
                    </a:xfrm>
                    <a:prstGeom prst="rect">
                      <a:avLst/>
                    </a:prstGeom>
                    <a:noFill/>
                  </pic:spPr>
                </pic:pic>
              </a:graphicData>
            </a:graphic>
          </wp:anchor>
        </w:drawing>
      </w:r>
    </w:p>
    <w:p>
      <w:pPr>
        <w:spacing w:after="0" w:line="182"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Intangible assets, net</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-119380</wp:posOffset>
            </wp:positionV>
            <wp:extent cx="691769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1769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46"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b w:val="1"/>
          <w:bCs w:val="1"/>
          <w:color w:val="auto"/>
        </w:rPr>
        <w:t>Total assets acquired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-116840</wp:posOffset>
            </wp:positionV>
            <wp:extent cx="691769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1769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20" w:type="dxa"/>
            <w:vAlign w:val="bottom"/>
          </w:tcPr>
          <w:p>
            <w:pPr>
              <w:spacing w:after="0"/>
              <w:rPr>
                <w:sz w:val="17"/>
                <w:szCs w:val="17"/>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4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15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661"/>
        </w:trPr>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72,279</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74,243</w:t>
            </w:r>
          </w:p>
        </w:tc>
      </w:tr>
      <w:tr>
        <w:trPr>
          <w:trHeight w:val="257"/>
        </w:trPr>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21,163</w:t>
            </w:r>
          </w:p>
        </w:tc>
        <w:tc>
          <w:tcPr>
            <w:tcW w:w="3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21,557</w:t>
            </w:r>
          </w:p>
        </w:tc>
      </w:tr>
      <w:tr>
        <w:trPr>
          <w:trHeight w:val="243"/>
        </w:trPr>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378</w:t>
            </w:r>
          </w:p>
        </w:tc>
        <w:tc>
          <w:tcPr>
            <w:tcW w:w="3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93,820</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96,212</w:t>
            </w:r>
          </w:p>
        </w:tc>
      </w:tr>
      <w:tr>
        <w:trPr>
          <w:trHeight w:val="20"/>
        </w:trPr>
        <w:tc>
          <w:tcPr>
            <w:tcW w:w="1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-179705</wp:posOffset>
            </wp:positionV>
            <wp:extent cx="12344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40" w:space="520"/>
            <w:col w:w="3320"/>
          </w:cols>
          <w:pgMar w:left="540" w:top="47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abbreviated financial statements.</w:t>
      </w:r>
    </w:p>
    <w:p>
      <w:pPr>
        <w:spacing w:after="0" w:line="1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40" w:top="479" w:right="479" w:bottom="1440" w:gutter="0" w:footer="0" w:header="0"/>
          <w:type w:val="continuous"/>
        </w:sectPr>
      </w:pPr>
    </w:p>
    <w:bookmarkStart w:id="17" w:name="page18"/>
    <w:bookmarkEnd w:id="17"/>
    <w:p>
      <w:pPr>
        <w:ind w:left="4600"/>
        <w:spacing w:after="0"/>
        <w:rPr>
          <w:sz w:val="20"/>
          <w:szCs w:val="20"/>
          <w:color w:val="auto"/>
        </w:rPr>
      </w:pPr>
      <w:r>
        <w:rPr>
          <w:rFonts w:ascii="Times New Roman" w:cs="Times New Roman" w:eastAsia="Times New Roman" w:hAnsi="Times New Roman"/>
          <w:sz w:val="18"/>
          <w:szCs w:val="18"/>
          <w:b w:val="1"/>
          <w:bCs w:val="1"/>
          <w:color w:val="auto"/>
        </w:rPr>
        <w:t>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(solriamfetol)</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 Product of Jazz Pharmaceuticals plc)</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Statements of Revenues and Direct Expenses (Unaudited)</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8"/>
        </w:trPr>
        <w:tc>
          <w:tcPr>
            <w:tcW w:w="6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6"/>
        </w:trPr>
        <w:tc>
          <w:tcPr>
            <w:tcW w:w="6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Product sales, net</w:t>
            </w:r>
          </w:p>
        </w:tc>
        <w:tc>
          <w:tcPr>
            <w:tcW w:w="4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7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11,606</w:t>
            </w:r>
          </w:p>
        </w:tc>
      </w:tr>
      <w:tr>
        <w:trPr>
          <w:trHeight w:val="216"/>
        </w:trPr>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Direct expenses:</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Cost of product sales</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35,288</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66,347</w:t>
            </w:r>
          </w:p>
        </w:tc>
      </w:tr>
      <w:tr>
        <w:trPr>
          <w:trHeight w:val="216"/>
        </w:trPr>
        <w:tc>
          <w:tcPr>
            <w:tcW w:w="6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r>
      <w:tr>
        <w:trPr>
          <w:trHeight w:val="209"/>
        </w:trPr>
        <w:tc>
          <w:tcPr>
            <w:tcW w:w="69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direct expenses</w:t>
            </w:r>
          </w:p>
        </w:tc>
        <w:tc>
          <w:tcPr>
            <w:tcW w:w="4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45,681</w:t>
            </w:r>
          </w:p>
        </w:tc>
        <w:tc>
          <w:tcPr>
            <w:tcW w:w="1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73,333</w:t>
            </w:r>
          </w:p>
        </w:tc>
      </w:tr>
      <w:tr>
        <w:trPr>
          <w:trHeight w:val="209"/>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 expenses in excess of product sales, net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(29,803)</w:t>
            </w: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(61,727)</w:t>
            </w:r>
          </w:p>
        </w:tc>
      </w:tr>
      <w:tr>
        <w:trPr>
          <w:trHeight w:val="20"/>
        </w:trPr>
        <w:tc>
          <w:tcPr>
            <w:tcW w:w="6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5612765</wp:posOffset>
            </wp:positionH>
            <wp:positionV relativeFrom="paragraph">
              <wp:posOffset>-170815</wp:posOffset>
            </wp:positionV>
            <wp:extent cx="939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abbreviated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358" w:right="519" w:bottom="1440" w:gutter="0" w:footer="0" w:header="0"/>
        </w:sectPr>
      </w:pPr>
    </w:p>
    <w:bookmarkStart w:id="18" w:name="page19"/>
    <w:bookmarkEnd w:id="18"/>
    <w:p>
      <w:pPr>
        <w:ind w:left="4413"/>
        <w:spacing w:after="0"/>
        <w:rPr>
          <w:sz w:val="20"/>
          <w:szCs w:val="20"/>
          <w:color w:val="auto"/>
        </w:rPr>
      </w:pPr>
      <w:r>
        <w:rPr>
          <w:rFonts w:ascii="Times New Roman" w:cs="Times New Roman" w:eastAsia="Times New Roman" w:hAnsi="Times New Roman"/>
          <w:sz w:val="18"/>
          <w:szCs w:val="18"/>
          <w:b w:val="1"/>
          <w:bCs w:val="1"/>
          <w:color w:val="auto"/>
        </w:rPr>
        <w:t>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(solriamfetol)</w:t>
      </w:r>
    </w:p>
    <w:p>
      <w:pPr>
        <w:spacing w:after="0" w:line="34" w:lineRule="exact"/>
        <w:rPr>
          <w:sz w:val="20"/>
          <w:szCs w:val="20"/>
          <w:color w:val="auto"/>
        </w:rPr>
      </w:pPr>
    </w:p>
    <w:p>
      <w:pPr>
        <w:ind w:left="3693"/>
        <w:spacing w:after="0"/>
        <w:rPr>
          <w:sz w:val="20"/>
          <w:szCs w:val="20"/>
          <w:color w:val="auto"/>
        </w:rPr>
      </w:pPr>
      <w:r>
        <w:rPr>
          <w:rFonts w:ascii="Times New Roman" w:cs="Times New Roman" w:eastAsia="Times New Roman" w:hAnsi="Times New Roman"/>
          <w:sz w:val="18"/>
          <w:szCs w:val="18"/>
          <w:b w:val="1"/>
          <w:bCs w:val="1"/>
          <w:color w:val="auto"/>
        </w:rPr>
        <w:t>(A Product of Jazz Pharmaceuticals plc)</w:t>
      </w:r>
    </w:p>
    <w:p>
      <w:pPr>
        <w:spacing w:after="0" w:line="7" w:lineRule="exact"/>
        <w:rPr>
          <w:sz w:val="20"/>
          <w:szCs w:val="20"/>
          <w:color w:val="auto"/>
        </w:rPr>
      </w:pPr>
    </w:p>
    <w:p>
      <w:pPr>
        <w:ind w:left="3153"/>
        <w:spacing w:after="0"/>
        <w:rPr>
          <w:sz w:val="20"/>
          <w:szCs w:val="20"/>
          <w:color w:val="auto"/>
        </w:rPr>
      </w:pPr>
      <w:r>
        <w:rPr>
          <w:rFonts w:ascii="Times New Roman" w:cs="Times New Roman" w:eastAsia="Times New Roman" w:hAnsi="Times New Roman"/>
          <w:sz w:val="18"/>
          <w:szCs w:val="18"/>
          <w:b w:val="1"/>
          <w:bCs w:val="1"/>
          <w:color w:val="auto"/>
        </w:rPr>
        <w:t>Notes to Unaudited Abbreviated Financial Statements</w:t>
      </w:r>
    </w:p>
    <w:p>
      <w:pPr>
        <w:spacing w:after="0" w:line="216" w:lineRule="exact"/>
        <w:rPr>
          <w:sz w:val="20"/>
          <w:szCs w:val="20"/>
          <w:color w:val="auto"/>
        </w:rPr>
      </w:pPr>
    </w:p>
    <w:p>
      <w:pPr>
        <w:ind w:left="353" w:hanging="353"/>
        <w:spacing w:after="0"/>
        <w:tabs>
          <w:tab w:leader="none" w:pos="353"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left="373" w:firstLine="738"/>
        <w:spacing w:after="0" w:line="261" w:lineRule="auto"/>
        <w:rPr>
          <w:sz w:val="20"/>
          <w:szCs w:val="20"/>
          <w:color w:val="auto"/>
        </w:rPr>
      </w:pPr>
      <w:r>
        <w:rPr>
          <w:rFonts w:ascii="Times New Roman" w:cs="Times New Roman" w:eastAsia="Times New Roman" w:hAnsi="Times New Roman"/>
          <w:sz w:val="18"/>
          <w:szCs w:val="18"/>
          <w:color w:val="auto"/>
        </w:rPr>
        <w:t>On March 25, 2022, Jazz Pharmaceuticals plc (the “Company” or “Jazz Pharmaceuticals”) entered into an Asset Purchase Agreement (the “Agreement”) with Axsome Therapeutics, Inc., or Axsome, pursuant to which Axsome will acquire Sunosi® (solriamfetol), a product approved by the U.S. Food and Drug Administration and marketed in the U.S., Canada, the European Union and Great Britain to improve wakefulness in adult patients with Excessive Daytime Sleepiness associated with narcolepsy or obstructive sleep apnea.</w:t>
      </w:r>
    </w:p>
    <w:p>
      <w:pPr>
        <w:spacing w:after="0" w:line="193" w:lineRule="exact"/>
        <w:rPr>
          <w:sz w:val="20"/>
          <w:szCs w:val="20"/>
          <w:color w:val="auto"/>
        </w:rPr>
      </w:pPr>
    </w:p>
    <w:p>
      <w:pPr>
        <w:jc w:val="both"/>
        <w:ind w:left="373" w:firstLine="738"/>
        <w:spacing w:after="0" w:line="254" w:lineRule="auto"/>
        <w:rPr>
          <w:sz w:val="20"/>
          <w:szCs w:val="20"/>
          <w:color w:val="auto"/>
        </w:rPr>
      </w:pPr>
      <w:r>
        <w:rPr>
          <w:rFonts w:ascii="Times New Roman" w:cs="Times New Roman" w:eastAsia="Times New Roman" w:hAnsi="Times New Roman"/>
          <w:sz w:val="18"/>
          <w:szCs w:val="18"/>
          <w:color w:val="auto"/>
        </w:rPr>
        <w:t>Under the terms of the Agreement, Axsome will receive the rights to Sunosi in all of the existing territories available to Jazz Pharmaceuticals. The transaction was structured to be completed in sequential closings for the U.S. and ex-U.S. territories. The U.S. transaction closed on May 9, 2022 and the ex-U.S. transaction close is expected to occur later this year. Jazz Pharmaceuticals received a total upfront payment of $53.0 million and is eligible to receive a high single-digit royalty on Axsome’s U.S. net sales of Sunosi in the current indication and a mid single-digit royalty on Axsome’s U.S. net sales of Sunosi in future indications.</w:t>
      </w:r>
    </w:p>
    <w:p>
      <w:pPr>
        <w:spacing w:after="0" w:line="224" w:lineRule="exact"/>
        <w:rPr>
          <w:sz w:val="20"/>
          <w:szCs w:val="20"/>
          <w:color w:val="auto"/>
        </w:rPr>
      </w:pPr>
    </w:p>
    <w:p>
      <w:pPr>
        <w:ind w:left="353" w:hanging="353"/>
        <w:spacing w:after="0"/>
        <w:tabs>
          <w:tab w:leader="none" w:pos="35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333" w:lineRule="exact"/>
        <w:rPr>
          <w:sz w:val="20"/>
          <w:szCs w:val="20"/>
          <w:color w:val="auto"/>
        </w:rPr>
      </w:pPr>
    </w:p>
    <w:p>
      <w:pPr>
        <w:ind w:left="353" w:hanging="353"/>
        <w:spacing w:after="0"/>
        <w:tabs>
          <w:tab w:leader="none" w:pos="353"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373" w:firstLine="738"/>
        <w:spacing w:after="0" w:line="253" w:lineRule="auto"/>
        <w:rPr>
          <w:sz w:val="20"/>
          <w:szCs w:val="20"/>
          <w:color w:val="auto"/>
        </w:rPr>
      </w:pPr>
      <w:r>
        <w:rPr>
          <w:rFonts w:ascii="Times New Roman" w:cs="Times New Roman" w:eastAsia="Times New Roman" w:hAnsi="Times New Roman"/>
          <w:sz w:val="18"/>
          <w:szCs w:val="18"/>
          <w:color w:val="auto"/>
        </w:rPr>
        <w:t>The accompanying statements of assets acquired as of March 31, 2022 and December 31, 2021, and of revenues and direct expenses for the three months ended March 31, 2022 and 2021 of the Sunosi product of Jazz Pharmaceuticals (the “Unaudited Abbreviated Financial Statements”) represent an incomplete presentation of Sunosi assets, liabilities, revenues and expenses and are therefore not intended to represent the financial condition, results of operations or cash flows of Sunosi. These Unaudited Abbreviated Financial Statements are based upon the Agreement and relief under SEC Rule 3-05, Significant Acquisition Carveout Financial Statement Reporting Requirements, as amended, as the acquisition by Axsome meets the criteria established by the Securities and Exchange Commission to provide abbreviated financial statements in lieu of full financial statements of the acquired business.</w:t>
      </w:r>
    </w:p>
    <w:p>
      <w:pPr>
        <w:spacing w:after="0" w:line="201" w:lineRule="exact"/>
        <w:rPr>
          <w:sz w:val="20"/>
          <w:szCs w:val="20"/>
          <w:color w:val="auto"/>
        </w:rPr>
      </w:pPr>
    </w:p>
    <w:p>
      <w:pPr>
        <w:jc w:val="both"/>
        <w:ind w:left="373" w:firstLine="734"/>
        <w:spacing w:after="0" w:line="266" w:lineRule="auto"/>
        <w:rPr>
          <w:sz w:val="20"/>
          <w:szCs w:val="20"/>
          <w:color w:val="auto"/>
        </w:rPr>
      </w:pPr>
      <w:r>
        <w:rPr>
          <w:rFonts w:ascii="Times New Roman" w:cs="Times New Roman" w:eastAsia="Times New Roman" w:hAnsi="Times New Roman"/>
          <w:sz w:val="18"/>
          <w:szCs w:val="18"/>
          <w:color w:val="auto"/>
        </w:rPr>
        <w:t>The statements of assets acquired only present the assets acquired in accordance with the Agreement. Liabilities as of March 31, 2022 and December 31, 2021 will not be assumed under the Agreement. The statements of revenues and direct expenses present only those revenues and expenses related to the certain assets to be acquired. The Unaudited Abbreviated Financial Statements were derived from the historical accounting records of Jazz Pharmaceuticals and were prepared in accordance with the basis of accounting described in these Notes, which is in accordance with accounting principles generally accepted in the United States of America (“U.S. GAAP”).</w:t>
      </w:r>
    </w:p>
    <w:p>
      <w:pPr>
        <w:spacing w:after="0" w:line="189" w:lineRule="exact"/>
        <w:rPr>
          <w:sz w:val="20"/>
          <w:szCs w:val="20"/>
          <w:color w:val="auto"/>
        </w:rPr>
      </w:pPr>
    </w:p>
    <w:p>
      <w:pPr>
        <w:jc w:val="both"/>
        <w:ind w:left="373" w:firstLine="738"/>
        <w:spacing w:after="0" w:line="258" w:lineRule="auto"/>
        <w:rPr>
          <w:sz w:val="20"/>
          <w:szCs w:val="20"/>
          <w:color w:val="auto"/>
        </w:rPr>
      </w:pPr>
      <w:r>
        <w:rPr>
          <w:rFonts w:ascii="Times New Roman" w:cs="Times New Roman" w:eastAsia="Times New Roman" w:hAnsi="Times New Roman"/>
          <w:sz w:val="18"/>
          <w:szCs w:val="18"/>
          <w:color w:val="auto"/>
        </w:rPr>
        <w:t>Sunosi was not operated as a separate business or division of Jazz Pharmaceuticals. It was a fully integrated part of Jazz Pharmaceuticals’ consolidated business and operations and did not represent a substantial portion of Jazz Pharmaceuticals’ assets and liabilities. It is impracticable to prepare complete financial statements related to Sunosi as Jazz Pharmaceuticals never accounted for Sunosi on a stand-alone basis or as a separate division or subsidiary, nor has the Company maintained the distinct and separate books and records necessary to prepare full stand-alone or carve-out financial statements and it would be impracticable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432435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73"/>
          </w:cols>
          <w:pgMar w:left="687" w:top="331" w:right="339" w:bottom="1440" w:gutter="0" w:footer="0" w:header="0"/>
        </w:sectPr>
      </w:pPr>
    </w:p>
    <w:bookmarkStart w:id="19" w:name="page20"/>
    <w:bookmarkEnd w:id="19"/>
    <w:p>
      <w:pPr>
        <w:ind w:left="4780"/>
        <w:spacing w:after="0"/>
        <w:rPr>
          <w:sz w:val="20"/>
          <w:szCs w:val="20"/>
          <w:color w:val="auto"/>
        </w:rPr>
      </w:pPr>
      <w:r>
        <w:rPr>
          <w:rFonts w:ascii="Times New Roman" w:cs="Times New Roman" w:eastAsia="Times New Roman" w:hAnsi="Times New Roman"/>
          <w:sz w:val="18"/>
          <w:szCs w:val="18"/>
          <w:b w:val="1"/>
          <w:bCs w:val="1"/>
          <w:color w:val="auto"/>
        </w:rPr>
        <w:t>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(solriamfetol)</w:t>
      </w:r>
    </w:p>
    <w:p>
      <w:pPr>
        <w:spacing w:after="0" w:line="3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 Product of Jazz Pharmaceuticals plc)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Abbreviated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jc w:val="both"/>
        <w:ind w:left="740" w:firstLine="738"/>
        <w:spacing w:after="0" w:line="244" w:lineRule="auto"/>
        <w:rPr>
          <w:sz w:val="20"/>
          <w:szCs w:val="20"/>
          <w:color w:val="auto"/>
        </w:rPr>
      </w:pPr>
      <w:r>
        <w:rPr>
          <w:rFonts w:ascii="Times New Roman" w:cs="Times New Roman" w:eastAsia="Times New Roman" w:hAnsi="Times New Roman"/>
          <w:sz w:val="18"/>
          <w:szCs w:val="18"/>
          <w:color w:val="auto"/>
        </w:rPr>
        <w:t xml:space="preserve">The statements of revenues and direct expenses include the revenue and related costs that directly relate to Sunosi as well as an allocation of direct costs that can be attributed to this product. The operations of Sunosi rely, to varying degrees, on Jazz Pharmaceuticals for manufacturing and distribution, quality and </w:t>
      </w:r>
      <w:r>
        <w:rPr>
          <w:rFonts w:ascii="Times New Roman" w:cs="Times New Roman" w:eastAsia="Times New Roman" w:hAnsi="Times New Roman"/>
          <w:sz w:val="18"/>
          <w:szCs w:val="18"/>
          <w:b w:val="1"/>
          <w:bCs w:val="1"/>
          <w:color w:val="auto"/>
        </w:rPr>
        <w:t>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(solriamfetol)</w:t>
      </w:r>
      <w:r>
        <w:rPr>
          <w:rFonts w:ascii="Times New Roman" w:cs="Times New Roman" w:eastAsia="Times New Roman" w:hAnsi="Times New Roman"/>
          <w:sz w:val="18"/>
          <w:szCs w:val="18"/>
          <w:color w:val="auto"/>
        </w:rPr>
        <w:t xml:space="preserve"> regulatory support and marketing and sales activities and such expenses have been allocated to Sunosi in these Unaudited Abbreviated Financial Statements. The allocations were based on a specific identification basis or, when specific identification was not practicable, a proportional cost allocation method, depending on the nature of the services rendered. Management considers that such allocations have been made on a reasonable basis but may not necessarily be indicative of the costs that would have been incurred if Sunosi had been operated on a stand-alone basis for the periods presented. The statements of revenues and direct expenses do not include corporate overhead, such as accounting, human resources, treasury and legal support, or a provision for income taxes as Sunosi never functioned on a stand-alone basis. Accordingly, no allocation of these support fees or income taxes has been made to Sunosi.</w:t>
      </w:r>
    </w:p>
    <w:p>
      <w:pPr>
        <w:spacing w:after="0" w:line="250" w:lineRule="exact"/>
        <w:rPr>
          <w:sz w:val="20"/>
          <w:szCs w:val="20"/>
          <w:color w:val="auto"/>
        </w:rPr>
      </w:pPr>
    </w:p>
    <w:p>
      <w:pPr>
        <w:jc w:val="both"/>
        <w:ind w:left="740" w:firstLine="73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2022 and 2021, Sunosi did not have any stand-alone financing requirements, and any cash generated was collected at the consolidated level by Jazz Pharmaceuticals. As Sunosi has historically been managed as part of the operations of Jazz Pharmaceuticals and has not been operated on a stand-alone basis, it is not practical to prepare historical cash flow information regarding Sunosi’s operating, investing, and financing cash flows. As such, a statement of cash flows was not prepared.</w:t>
      </w:r>
    </w:p>
    <w:p>
      <w:pPr>
        <w:spacing w:after="0" w:line="200" w:lineRule="exact"/>
        <w:rPr>
          <w:sz w:val="20"/>
          <w:szCs w:val="20"/>
          <w:color w:val="auto"/>
        </w:rPr>
      </w:pPr>
    </w:p>
    <w:p>
      <w:pPr>
        <w:jc w:val="both"/>
        <w:ind w:left="740" w:firstLine="738"/>
        <w:spacing w:after="0" w:line="261"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audited abbreviated financial statements and footnotes of Sunosi for the fiscal years ended December 31, 2021 and 2020 (the “Financial Statements”), that are filed as an exhibit to the same Form 8-K to which these financial statements are filed as an exhibit. The accounting policies used in preparing these financial statements are the same as those described in Note 2 to the Financial Statements.</w:t>
      </w:r>
    </w:p>
    <w:p>
      <w:pPr>
        <w:spacing w:after="0" w:line="176" w:lineRule="exact"/>
        <w:rPr>
          <w:sz w:val="20"/>
          <w:szCs w:val="20"/>
          <w:color w:val="auto"/>
        </w:rPr>
      </w:pPr>
    </w:p>
    <w:p>
      <w:pPr>
        <w:ind w:left="720" w:hanging="353"/>
        <w:spacing w:after="0"/>
        <w:tabs>
          <w:tab w:leader="none" w:pos="72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 and Assumptions in the Preparation of Financial Statements</w:t>
      </w:r>
    </w:p>
    <w:p>
      <w:pPr>
        <w:spacing w:after="0" w:line="229" w:lineRule="exact"/>
        <w:rPr>
          <w:sz w:val="20"/>
          <w:szCs w:val="20"/>
          <w:color w:val="auto"/>
        </w:rPr>
      </w:pPr>
    </w:p>
    <w:p>
      <w:pPr>
        <w:jc w:val="both"/>
        <w:ind w:left="740" w:firstLine="73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about future events and assumptions that may affect the following: (i) the reported amounts of assets acquired and (ii) the reported amounts of revenues, including sales discounts and allowances, and direct expenses and related disclosures at the date of these financial statements during each reporting period.</w:t>
      </w:r>
    </w:p>
    <w:p>
      <w:pPr>
        <w:spacing w:after="0" w:line="189" w:lineRule="exact"/>
        <w:rPr>
          <w:sz w:val="20"/>
          <w:szCs w:val="20"/>
          <w:color w:val="auto"/>
        </w:rPr>
      </w:pPr>
    </w:p>
    <w:p>
      <w:pPr>
        <w:jc w:val="both"/>
        <w:ind w:left="740" w:firstLine="738"/>
        <w:spacing w:after="0" w:line="266" w:lineRule="auto"/>
        <w:rPr>
          <w:sz w:val="20"/>
          <w:szCs w:val="20"/>
          <w:color w:val="auto"/>
        </w:rPr>
      </w:pPr>
      <w:r>
        <w:rPr>
          <w:rFonts w:ascii="Times New Roman" w:cs="Times New Roman" w:eastAsia="Times New Roman" w:hAnsi="Times New Roman"/>
          <w:sz w:val="18"/>
          <w:szCs w:val="18"/>
          <w:color w:val="auto"/>
        </w:rPr>
        <w:t>Future events and their effects cannot be determined with certainty. Therefore, the determination of estimates requires the exercise of judgment. Actual results could differ from those estimates, and any such differences could be material.</w:t>
      </w:r>
    </w:p>
    <w:p>
      <w:pPr>
        <w:spacing w:after="0" w:line="185" w:lineRule="exact"/>
        <w:rPr>
          <w:sz w:val="20"/>
          <w:szCs w:val="20"/>
          <w:color w:val="auto"/>
        </w:rPr>
      </w:pPr>
    </w:p>
    <w:p>
      <w:pPr>
        <w:ind w:left="720" w:hanging="353"/>
        <w:spacing w:after="0"/>
        <w:tabs>
          <w:tab w:leader="none" w:pos="7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Pr>
          <w:p>
            <w:pPr>
              <w:spacing w:after="0"/>
              <w:rPr>
                <w:sz w:val="18"/>
                <w:szCs w:val="18"/>
                <w:color w:val="auto"/>
              </w:rPr>
            </w:pPr>
          </w:p>
        </w:tc>
      </w:tr>
      <w:tr>
        <w:trPr>
          <w:trHeight w:val="238"/>
        </w:trPr>
        <w:tc>
          <w:tcPr>
            <w:tcW w:w="7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3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Acquired developed technologies, cost</w:t>
            </w:r>
          </w:p>
        </w:tc>
        <w:tc>
          <w:tcPr>
            <w:tcW w:w="21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93,500</w:t>
            </w:r>
          </w:p>
        </w:tc>
        <w:tc>
          <w:tcPr>
            <w:tcW w:w="6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93,500</w:t>
            </w:r>
          </w:p>
        </w:tc>
        <w:tc>
          <w:tcPr>
            <w:tcW w:w="8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5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(21,221)</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(19,257)</w:t>
            </w:r>
          </w:p>
        </w:tc>
        <w:tc>
          <w:tcPr>
            <w:tcW w:w="820" w:type="dxa"/>
            <w:vAlign w:val="bottom"/>
          </w:tcPr>
          <w:p>
            <w:pPr>
              <w:spacing w:after="0"/>
              <w:rPr>
                <w:sz w:val="18"/>
                <w:szCs w:val="18"/>
                <w:color w:val="auto"/>
              </w:rPr>
            </w:pPr>
          </w:p>
        </w:tc>
      </w:tr>
      <w:tr>
        <w:trPr>
          <w:trHeight w:val="249"/>
        </w:trPr>
        <w:tc>
          <w:tcPr>
            <w:tcW w:w="780" w:type="dxa"/>
            <w:vAlign w:val="bottom"/>
          </w:tcPr>
          <w:p>
            <w:pPr>
              <w:spacing w:after="0"/>
              <w:rPr>
                <w:sz w:val="21"/>
                <w:szCs w:val="21"/>
                <w:color w:val="auto"/>
              </w:rPr>
            </w:pPr>
          </w:p>
        </w:tc>
        <w:tc>
          <w:tcPr>
            <w:tcW w:w="38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5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72,279</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74,243</w:t>
            </w:r>
          </w:p>
        </w:tc>
        <w:tc>
          <w:tcPr>
            <w:tcW w:w="820" w:type="dxa"/>
            <w:vAlign w:val="bottom"/>
          </w:tcPr>
          <w:p>
            <w:pPr>
              <w:spacing w:after="0"/>
              <w:rPr>
                <w:sz w:val="21"/>
                <w:szCs w:val="21"/>
                <w:color w:val="auto"/>
              </w:rPr>
            </w:pPr>
          </w:p>
        </w:tc>
      </w:tr>
      <w:tr>
        <w:trPr>
          <w:trHeight w:val="602"/>
        </w:trPr>
        <w:tc>
          <w:tcPr>
            <w:tcW w:w="7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01"/>
        </w:trPr>
        <w:tc>
          <w:tcPr>
            <w:tcW w:w="780" w:type="dxa"/>
            <w:vAlign w:val="bottom"/>
            <w:tcBorders>
              <w:bottom w:val="single" w:sz="8" w:color="9A9A9A"/>
            </w:tcBorders>
          </w:tcPr>
          <w:p>
            <w:pPr>
              <w:spacing w:after="0"/>
              <w:rPr>
                <w:sz w:val="8"/>
                <w:szCs w:val="8"/>
                <w:color w:val="auto"/>
              </w:rPr>
            </w:pPr>
          </w:p>
        </w:tc>
        <w:tc>
          <w:tcPr>
            <w:tcW w:w="384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-496570</wp:posOffset>
            </wp:positionV>
            <wp:extent cx="1460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-479425</wp:posOffset>
            </wp:positionV>
            <wp:extent cx="1460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0" w:name="page21"/>
    <w:bookmarkEnd w:id="20"/>
    <w:p>
      <w:pPr>
        <w:ind w:left="4263"/>
        <w:spacing w:after="0"/>
        <w:rPr>
          <w:sz w:val="20"/>
          <w:szCs w:val="20"/>
          <w:color w:val="auto"/>
        </w:rPr>
      </w:pPr>
      <w:r>
        <w:rPr>
          <w:rFonts w:ascii="Times New Roman" w:cs="Times New Roman" w:eastAsia="Times New Roman" w:hAnsi="Times New Roman"/>
          <w:sz w:val="18"/>
          <w:szCs w:val="18"/>
          <w:b w:val="1"/>
          <w:bCs w:val="1"/>
          <w:color w:val="auto"/>
        </w:rPr>
        <w:t>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(solriamfetol)</w:t>
      </w:r>
    </w:p>
    <w:p>
      <w:pPr>
        <w:spacing w:after="0" w:line="34" w:lineRule="exact"/>
        <w:rPr>
          <w:sz w:val="20"/>
          <w:szCs w:val="20"/>
          <w:color w:val="auto"/>
        </w:rPr>
      </w:pPr>
    </w:p>
    <w:p>
      <w:pPr>
        <w:ind w:left="3543"/>
        <w:spacing w:after="0"/>
        <w:rPr>
          <w:sz w:val="20"/>
          <w:szCs w:val="20"/>
          <w:color w:val="auto"/>
        </w:rPr>
      </w:pPr>
      <w:r>
        <w:rPr>
          <w:rFonts w:ascii="Times New Roman" w:cs="Times New Roman" w:eastAsia="Times New Roman" w:hAnsi="Times New Roman"/>
          <w:sz w:val="18"/>
          <w:szCs w:val="18"/>
          <w:b w:val="1"/>
          <w:bCs w:val="1"/>
          <w:color w:val="auto"/>
        </w:rPr>
        <w:t>(A Product of Jazz Pharmaceuticals plc)</w:t>
      </w:r>
    </w:p>
    <w:p>
      <w:pPr>
        <w:spacing w:after="0" w:line="7" w:lineRule="exact"/>
        <w:rPr>
          <w:sz w:val="20"/>
          <w:szCs w:val="20"/>
          <w:color w:val="auto"/>
        </w:rPr>
      </w:pPr>
    </w:p>
    <w:p>
      <w:pPr>
        <w:ind w:left="2583"/>
        <w:spacing w:after="0"/>
        <w:rPr>
          <w:sz w:val="20"/>
          <w:szCs w:val="20"/>
          <w:color w:val="auto"/>
        </w:rPr>
      </w:pPr>
      <w:r>
        <w:rPr>
          <w:rFonts w:ascii="Times New Roman" w:cs="Times New Roman" w:eastAsia="Times New Roman" w:hAnsi="Times New Roman"/>
          <w:sz w:val="18"/>
          <w:szCs w:val="18"/>
          <w:b w:val="1"/>
          <w:bCs w:val="1"/>
          <w:color w:val="auto"/>
        </w:rPr>
        <w:t>Notes to Unaudited Abbreviated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tbl>
      <w:tblPr>
        <w:tblLayout w:type="fixed"/>
        <w:tblInd w:w="3" w:type="dxa"/>
        <w:tblCellMar>
          <w:top w:w="0" w:type="dxa"/>
          <w:left w:w="0" w:type="dxa"/>
          <w:bottom w:w="0" w:type="dxa"/>
          <w:right w:w="0" w:type="dxa"/>
        </w:tblCellMar>
      </w:tblPr>
      <w:tr>
        <w:trPr>
          <w:trHeight w:val="238"/>
        </w:trPr>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260" w:type="dxa"/>
            <w:vAlign w:val="bottom"/>
          </w:tcPr>
          <w:p>
            <w:pPr>
              <w:spacing w:after="0"/>
              <w:rPr>
                <w:sz w:val="24"/>
                <w:szCs w:val="24"/>
                <w:color w:val="auto"/>
              </w:rPr>
            </w:pPr>
          </w:p>
        </w:tc>
        <w:tc>
          <w:tcPr>
            <w:tcW w:w="5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Inventories, net consisted of the following (in thousands):</w:t>
            </w: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69"/>
        </w:trPr>
        <w:tc>
          <w:tcPr>
            <w:tcW w:w="2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6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3"/>
        </w:trPr>
        <w:tc>
          <w:tcPr>
            <w:tcW w:w="260" w:type="dxa"/>
            <w:vAlign w:val="bottom"/>
          </w:tcPr>
          <w:p>
            <w:pPr>
              <w:spacing w:after="0"/>
              <w:rPr>
                <w:sz w:val="17"/>
                <w:szCs w:val="17"/>
                <w:color w:val="auto"/>
              </w:rPr>
            </w:pPr>
          </w:p>
        </w:tc>
        <w:tc>
          <w:tcPr>
            <w:tcW w:w="5420" w:type="dxa"/>
            <w:vAlign w:val="bottom"/>
            <w:shd w:val="clear" w:color="auto" w:fill="CFF0FC"/>
          </w:tcPr>
          <w:p>
            <w:pPr>
              <w:ind w:left="100"/>
              <w:spacing w:after="0" w:line="202" w:lineRule="exact"/>
              <w:rPr>
                <w:sz w:val="20"/>
                <w:szCs w:val="20"/>
                <w:color w:val="auto"/>
              </w:rPr>
            </w:pPr>
            <w:r>
              <w:rPr>
                <w:rFonts w:ascii="Times New Roman" w:cs="Times New Roman" w:eastAsia="Times New Roman" w:hAnsi="Times New Roman"/>
                <w:sz w:val="18"/>
                <w:szCs w:val="18"/>
                <w:color w:val="auto"/>
              </w:rPr>
              <w:t>Raw materials</w:t>
            </w:r>
          </w:p>
        </w:tc>
        <w:tc>
          <w:tcPr>
            <w:tcW w:w="520" w:type="dxa"/>
            <w:vAlign w:val="bottom"/>
            <w:shd w:val="clear" w:color="auto" w:fill="CFF0FC"/>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2,631</w:t>
            </w:r>
          </w:p>
        </w:tc>
        <w:tc>
          <w:tcPr>
            <w:tcW w:w="660" w:type="dxa"/>
            <w:vAlign w:val="bottom"/>
            <w:gridSpan w:val="2"/>
            <w:shd w:val="clear" w:color="auto" w:fill="CFF0FC"/>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2,632</w:t>
            </w:r>
          </w:p>
        </w:tc>
      </w:tr>
      <w:tr>
        <w:trPr>
          <w:trHeight w:val="203"/>
        </w:trPr>
        <w:tc>
          <w:tcPr>
            <w:tcW w:w="260" w:type="dxa"/>
            <w:vAlign w:val="bottom"/>
          </w:tcPr>
          <w:p>
            <w:pPr>
              <w:spacing w:after="0"/>
              <w:rPr>
                <w:sz w:val="17"/>
                <w:szCs w:val="17"/>
                <w:color w:val="auto"/>
              </w:rPr>
            </w:pPr>
          </w:p>
        </w:tc>
        <w:tc>
          <w:tcPr>
            <w:tcW w:w="542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Work in process</w:t>
            </w:r>
          </w:p>
        </w:tc>
        <w:tc>
          <w:tcPr>
            <w:tcW w:w="5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11,465</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12,897</w:t>
            </w:r>
          </w:p>
        </w:tc>
      </w:tr>
      <w:tr>
        <w:trPr>
          <w:trHeight w:val="203"/>
        </w:trPr>
        <w:tc>
          <w:tcPr>
            <w:tcW w:w="260" w:type="dxa"/>
            <w:vAlign w:val="bottom"/>
          </w:tcPr>
          <w:p>
            <w:pPr>
              <w:spacing w:after="0"/>
              <w:rPr>
                <w:sz w:val="17"/>
                <w:szCs w:val="17"/>
                <w:color w:val="auto"/>
              </w:rPr>
            </w:pPr>
          </w:p>
        </w:tc>
        <w:tc>
          <w:tcPr>
            <w:tcW w:w="5420" w:type="dxa"/>
            <w:vAlign w:val="bottom"/>
            <w:tcBorders>
              <w:bottom w:val="single" w:sz="8" w:color="CFF0FC"/>
            </w:tcBorders>
            <w:shd w:val="clear" w:color="auto" w:fill="CFF0FC"/>
          </w:tcPr>
          <w:p>
            <w:pPr>
              <w:ind w:left="100"/>
              <w:spacing w:after="0" w:line="202" w:lineRule="exact"/>
              <w:rPr>
                <w:sz w:val="20"/>
                <w:szCs w:val="20"/>
                <w:color w:val="auto"/>
              </w:rPr>
            </w:pPr>
            <w:r>
              <w:rPr>
                <w:rFonts w:ascii="Times New Roman" w:cs="Times New Roman" w:eastAsia="Times New Roman" w:hAnsi="Times New Roman"/>
                <w:sz w:val="18"/>
                <w:szCs w:val="18"/>
                <w:color w:val="auto"/>
              </w:rPr>
              <w:t>Finished goods</w:t>
            </w:r>
          </w:p>
        </w:tc>
        <w:tc>
          <w:tcPr>
            <w:tcW w:w="5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7,067</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6,028</w:t>
            </w:r>
          </w:p>
        </w:tc>
      </w:tr>
      <w:tr>
        <w:trPr>
          <w:trHeight w:val="196"/>
        </w:trPr>
        <w:tc>
          <w:tcPr>
            <w:tcW w:w="260" w:type="dxa"/>
            <w:vAlign w:val="bottom"/>
          </w:tcPr>
          <w:p>
            <w:pPr>
              <w:spacing w:after="0"/>
              <w:rPr>
                <w:sz w:val="17"/>
                <w:szCs w:val="17"/>
                <w:color w:val="auto"/>
              </w:rPr>
            </w:pPr>
          </w:p>
        </w:tc>
        <w:tc>
          <w:tcPr>
            <w:tcW w:w="54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Total inventories, net</w:t>
            </w:r>
          </w:p>
        </w:tc>
        <w:tc>
          <w:tcPr>
            <w:tcW w:w="52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21,163</w:t>
            </w:r>
          </w:p>
        </w:tc>
        <w:tc>
          <w:tcPr>
            <w:tcW w:w="66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21,557</w:t>
            </w:r>
          </w:p>
        </w:tc>
      </w:tr>
      <w:tr>
        <w:trPr>
          <w:trHeight w:val="20"/>
        </w:trPr>
        <w:tc>
          <w:tcPr>
            <w:tcW w:w="2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4880610</wp:posOffset>
            </wp:positionH>
            <wp:positionV relativeFrom="paragraph">
              <wp:posOffset>-161925</wp:posOffset>
            </wp:positionV>
            <wp:extent cx="1460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91" w:lineRule="exact"/>
        <w:rPr>
          <w:sz w:val="20"/>
          <w:szCs w:val="20"/>
          <w:color w:val="auto"/>
        </w:rPr>
      </w:pPr>
    </w:p>
    <w:p>
      <w:pPr>
        <w:ind w:left="223" w:right="20" w:firstLine="738"/>
        <w:spacing w:after="0" w:line="282" w:lineRule="auto"/>
        <w:rPr>
          <w:sz w:val="20"/>
          <w:szCs w:val="20"/>
          <w:color w:val="auto"/>
        </w:rPr>
      </w:pPr>
      <w:r>
        <w:rPr>
          <w:rFonts w:ascii="Times New Roman" w:cs="Times New Roman" w:eastAsia="Times New Roman" w:hAnsi="Times New Roman"/>
          <w:sz w:val="18"/>
          <w:szCs w:val="18"/>
          <w:color w:val="auto"/>
        </w:rPr>
        <w:t>A reserve is recorded for potentially excess, dated or obsolete inventories based on an analysis of inventory on hand compared to forecasted future sales, which was $2.7 million and $2.3 million as of March 31, 2022 and December 31, 2021, respectively.</w:t>
      </w:r>
    </w:p>
    <w:p>
      <w:pPr>
        <w:spacing w:after="0" w:line="158" w:lineRule="exact"/>
        <w:rPr>
          <w:sz w:val="20"/>
          <w:szCs w:val="20"/>
          <w:color w:val="auto"/>
        </w:rPr>
      </w:pPr>
    </w:p>
    <w:p>
      <w:pPr>
        <w:ind w:left="503" w:hanging="503"/>
        <w:spacing w:after="0"/>
        <w:tabs>
          <w:tab w:leader="none" w:pos="50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223" w:firstLine="73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July 21, 2022, the date these Unaudited Abbreviated Financial Statements were issued, and there are no subsequent events to disclose.</w:t>
      </w:r>
    </w:p>
    <w:p>
      <w:pPr>
        <w:spacing w:after="0" w:line="351"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8" w:right="339" w:bottom="1440" w:gutter="0" w:footer="0" w:header="0"/>
        </w:sectPr>
      </w:pPr>
    </w:p>
    <w:bookmarkStart w:id="21" w:name="page22"/>
    <w:bookmarkEnd w:id="21"/>
    <w:p>
      <w:pPr>
        <w:ind w:left="10320"/>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2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On March 25, 2022, Axsome Therapeutics, Inc. (the “Company" or "acquirer”) entered into an Asset Purchase Agreement (the “Purchase Agreement”) with Jazz Pharmaceuticals plc, pursuant to which the Company will acquire Sunosi (the “Product” or “Sunosi”) from Jazz Pharmaceuticals (the “Acquisition”). The acquisition of Sunosi will occur in two separate closings. The sale and purchase of Specified Initial Assets as defined and contemplated by the Purchase Agreement occurred on May 9, 2022 (“Initial Closing”), following the satisfaction or waiver of the closing conditions under the Purchase Agreement. The sale and purchase of Specified Ex-U.S. Assets contemplated by the Purchase Agreement is expected to occur during the fourth quarter of 2022 (“Final Closing” or “Ex-U.S. Closing”).</w:t>
      </w:r>
    </w:p>
    <w:p>
      <w:pPr>
        <w:spacing w:after="0" w:line="19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of Axsome and Sunosi present the combination of the financial information of Axsome and Sunosi adjusted to give effect to purchase of Specified Initial Assets.</w:t>
      </w:r>
    </w:p>
    <w:p>
      <w:pPr>
        <w:spacing w:after="0" w:line="162" w:lineRule="exact"/>
        <w:rPr>
          <w:sz w:val="20"/>
          <w:szCs w:val="20"/>
          <w:color w:val="auto"/>
        </w:rPr>
      </w:pPr>
    </w:p>
    <w:p>
      <w:pPr>
        <w:jc w:val="both"/>
        <w:ind w:firstLine="558"/>
        <w:spacing w:after="0" w:line="250"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Pro Forma Financial Information, as amended by the final rule, Release No. 33-10786 “Amendments to Financial Disclosures about Acquired and Disposed Businesses”, which is herein referred to as Article 11, and are being provided pursuant to Rule 3-05 of Regulation S-X as the Acquisition constitutes a significant acquisition.</w:t>
      </w:r>
    </w:p>
    <w:p>
      <w:pPr>
        <w:spacing w:after="0" w:line="177"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Release No. 33-10786 replaces the existing pro forma adjustment criteria with simplified requirements to depict the accounting for the (“Acquisition Transaction Accounting Adjustments”) and the option to present the reasonably estimable synergies and other transaction effects that have occurred or are reasonably expected to occur (“Management’s Adjustments”). The Company has elected not to present Management’s Adjustments in the following unaudited pro forma condensed combined financial information.</w:t>
      </w:r>
    </w:p>
    <w:p>
      <w:pPr>
        <w:spacing w:after="0" w:line="191"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2022, combines the historical balance sheet of Axsome and the statement of assets acquired of Sunosi on a pro forma basis as if acquisition of the Specified Initial Assets had been consummated on March 31, 2022. The unaudited pro forma condensed combined statements of operations for the three months ended March 31, 2022 and the year ended December 31, 2021 combine the historical statements of operations of Axsome and the statements of revenues and direct expenses of Sunosi on a pro forma basis as if the acquisition of the Specified Initial Assets had been consummated on January 1, 2021, the beginning of the earliest period presented.</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Acquisition and related transactions are summarized below:</w:t>
      </w:r>
    </w:p>
    <w:p>
      <w:pPr>
        <w:spacing w:after="0" w:line="225" w:lineRule="exact"/>
        <w:rPr>
          <w:sz w:val="20"/>
          <w:szCs w:val="20"/>
          <w:color w:val="auto"/>
        </w:rPr>
      </w:pPr>
    </w:p>
    <w:p>
      <w:pPr>
        <w:jc w:val="both"/>
        <w:ind w:left="760" w:hanging="378"/>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Axsome to acquire Sunosi for an aggregate initial purchase price of $50,000,000 plus $3,000,000 as payment for the certain specified inventory in cash at the initial closing of the Acquisition and contingently estimated royalty payments of $37,800,000 (“Contingent Consideration”) for any net sales made during the applicable Royalty Term as defined in the Purchase Agreement in the U.S. Territory.</w:t>
      </w:r>
    </w:p>
    <w:p>
      <w:pPr>
        <w:spacing w:after="0" w:line="176"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will be effected in two separate tranches, the purchase of Specified Initial Assets (the “Initial Closing") and the purchase of Specified Ex-U.S. Assets expected to occur during the fourth quarter of 2022 (“Final Closing” or “Ex-U.S. Closing”).</w:t>
      </w:r>
    </w:p>
    <w:p>
      <w:pPr>
        <w:spacing w:after="0" w:line="14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unaudited pro forma condensed consolidated financial information gives effect to the acquisition of the Specified Intitial Assets in the Initial Closing.</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Closing contemplated by the Purchase Agreement of the assets in the U.S. Territory (“US transaction”) closed on May 9, 2022.</w:t>
      </w:r>
    </w:p>
    <w:p>
      <w:pPr>
        <w:spacing w:after="0" w:line="21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Initial Closing, the Company assumed all of the commitments of Jazz Pharmaceuticals to SK Biopharmaceuticals Co., Ltd. (“SK”) and Aerial Biopharma, LLC (“Aerial”). SK is the originator of the Product and retains rights in twelve Asian markets, including China, Korea, and Japan.</w:t>
      </w:r>
    </w:p>
    <w:p>
      <w:pPr>
        <w:spacing w:after="0" w:line="169"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Ex-U.S. Closing, the Company will acquire Specified Ex-U.S. Sunosi assets (“Ex-U.S transaction”), including the marketing authorization from the EMA and United Kingdom’s Medicines and Healthcare Products Regulatory Agency. The Ex-U.S. transaction is expected to occur during the fourth quarter of 2022.</w:t>
      </w:r>
    </w:p>
    <w:p>
      <w:pPr>
        <w:spacing w:after="0" w:line="169"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Contemporaneously, the Company also entered into a Second Amendment to the Loan and Security Agreement (the “Second Amendment”) with Hercules Capital, Inc.(“Hercules”). Upon the Initial Closing, the Second Amendment became effective and $45.0 million in Tranche 1 loan became available and was advanced to the Company by Hercules. The loan was drawn on May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a preexisting warrant agreement with Hercules and the Company issued 35,255 warrants for the Tranche 1 loan.</w:t>
      </w:r>
    </w:p>
    <w:p>
      <w:pPr>
        <w:spacing w:after="0" w:line="211"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Second Amendment, Hercules has also purchased 152,487 of the Company’s unregistered common stock for a total consideration of $5,000,049 (the “Hercules Equity Issuance”), at a share price equal to $32.79 per share, pursuant to a share transfer agreement (the “Share Transfer Agreement”)</w:t>
      </w:r>
    </w:p>
    <w:p>
      <w:pPr>
        <w:spacing w:after="0" w:line="190"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The pro forma adjustments and allocation of purchase price are preliminary, are based on management’s current estimates of the fair value of the assets acquired, and are based on all available information, including preliminary work performed by independent valuation specialists.</w:t>
      </w:r>
    </w:p>
    <w:p>
      <w:pPr>
        <w:spacing w:after="0" w:line="162" w:lineRule="exact"/>
        <w:rPr>
          <w:sz w:val="20"/>
          <w:szCs w:val="20"/>
          <w:color w:val="auto"/>
        </w:rPr>
      </w:pPr>
    </w:p>
    <w:p>
      <w:pPr>
        <w:jc w:val="both"/>
        <w:ind w:firstLine="479"/>
        <w:spacing w:after="0" w:line="244" w:lineRule="auto"/>
        <w:rPr>
          <w:sz w:val="20"/>
          <w:szCs w:val="20"/>
          <w:color w:val="auto"/>
        </w:rPr>
      </w:pPr>
      <w:r>
        <w:rPr>
          <w:rFonts w:ascii="Times New Roman" w:cs="Times New Roman" w:eastAsia="Times New Roman" w:hAnsi="Times New Roman"/>
          <w:sz w:val="18"/>
          <w:szCs w:val="18"/>
          <w:color w:val="auto"/>
        </w:rPr>
        <w:t>As of the date of the Current Report on Form 8-K to which these unaudited pro forma condensed combined financial statements are filed as an exhibit (the “Form 8-K”) and given that the Ex-U.S. transaction has not been completed, Axsome has not completed the detailed valuation analysis necessary to arrive at final estimates of the fair market value of the assets acquired and the related allocations of purchase price. Based on the information currently available, Axsome has made certain adjustments to the historical book values of the Specified Initial Assets to reflect preliminary estimates of fair values necessary to prepare the unaudited pro forma condensed combined financial information, with the excess of the purchase price over the adjusted historical net assets of Sunosi recorded as goodwill. Actual results may differ from unaudited pro forma condensed combined financial information provided herein once the Ex-U.S. transaction is completed and Axsome has completed the valuation analysis necessary to finalize the required purchase price allocations and has identified any additional conforming accounting policy changes for acquiree. There can be no assurance that such finalization will not result in material changes.</w:t>
      </w:r>
    </w:p>
    <w:p>
      <w:pPr>
        <w:spacing w:after="0" w:line="185" w:lineRule="exact"/>
        <w:rPr>
          <w:sz w:val="20"/>
          <w:szCs w:val="20"/>
          <w:color w:val="auto"/>
        </w:rPr>
      </w:pPr>
    </w:p>
    <w:p>
      <w:pPr>
        <w:jc w:val="both"/>
        <w:ind w:firstLine="479"/>
        <w:spacing w:after="0" w:line="247" w:lineRule="auto"/>
        <w:rPr>
          <w:sz w:val="20"/>
          <w:szCs w:val="20"/>
          <w:color w:val="auto"/>
        </w:rPr>
      </w:pPr>
      <w:r>
        <w:rPr>
          <w:rFonts w:ascii="Times New Roman" w:cs="Times New Roman" w:eastAsia="Times New Roman" w:hAnsi="Times New Roman"/>
          <w:sz w:val="18"/>
          <w:szCs w:val="18"/>
          <w:color w:val="auto"/>
        </w:rPr>
        <w:t>Assumptions and estimates underlying the unaudited pro forma adjustments set forth in the unaudited pro forma condensed combined financial statements are described in the accompanying notes.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 The unaudited pro forma condensed combined financial statements should be read in conjunction with Axsome’s historical consolidated financial statements and the historical Sunosi abbreviated financial statements and accompanying notes filed as exhibits to the Form 8-K.</w:t>
      </w:r>
    </w:p>
    <w:p>
      <w:pPr>
        <w:spacing w:after="0" w:line="180" w:lineRule="exact"/>
        <w:rPr>
          <w:sz w:val="20"/>
          <w:szCs w:val="20"/>
          <w:color w:val="auto"/>
        </w:rPr>
      </w:pPr>
    </w:p>
    <w:p>
      <w:pPr>
        <w:jc w:val="both"/>
        <w:ind w:right="20" w:firstLine="525"/>
        <w:spacing w:after="0" w:line="266" w:lineRule="auto"/>
        <w:rPr>
          <w:sz w:val="20"/>
          <w:szCs w:val="20"/>
          <w:color w:val="auto"/>
        </w:rPr>
      </w:pPr>
      <w:r>
        <w:rPr>
          <w:rFonts w:ascii="Times New Roman" w:cs="Times New Roman" w:eastAsia="Times New Roman" w:hAnsi="Times New Roman"/>
          <w:sz w:val="18"/>
          <w:szCs w:val="18"/>
          <w:color w:val="auto"/>
        </w:rPr>
        <w:t>The estimated income tax rate applied to the pro forma adjustments is 0%. The estimated pro forma blended statutory rate, and all other tax amounts are stated at their historical amounts as the combined company’s overall effective tax rate has not yet been determined.</w:t>
      </w:r>
    </w:p>
    <w:p>
      <w:pPr>
        <w:spacing w:after="0" w:line="176" w:lineRule="exact"/>
        <w:rPr>
          <w:sz w:val="20"/>
          <w:szCs w:val="20"/>
          <w:color w:val="auto"/>
        </w:rPr>
      </w:pPr>
    </w:p>
    <w:p>
      <w:pPr>
        <w:jc w:val="both"/>
        <w:ind w:firstLine="479"/>
        <w:spacing w:after="0" w:line="243"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are provided for illustrative purposes only and are based on available information and assumptions that acquirer believes are reasonable. They do not purport to represent what the actual consolidated results of operations or the consolidated financial position of Axsome would have been had the Acquisition and related financing transactions occurred on the dates indicated, or on any other date, nor are they necessarily indicative of Axsome’s future consolidated results of operations or consolidated financial position after the Acquisition and related financing transactions. Axsome’s actual financial position and results of operations after the Acquisition will differ, perhaps significantly, from the pro forma amounts reflected herein due to a variety of factors, including access to additional information, changes in value not currently identified and changes in operating results of acquirer and acquiree business following the date of the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Balance Sheet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As of March 31, 2022</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5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U.S. GAAP</w:t>
            </w:r>
          </w:p>
        </w:tc>
        <w:tc>
          <w:tcPr>
            <w:tcW w:w="10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87"/>
        </w:trPr>
        <w:tc>
          <w:tcPr>
            <w:tcW w:w="1520" w:type="dxa"/>
            <w:vAlign w:val="bottom"/>
          </w:tcPr>
          <w:p>
            <w:pPr>
              <w:spacing w:after="0"/>
              <w:rPr>
                <w:sz w:val="7"/>
                <w:szCs w:val="7"/>
                <w:color w:val="auto"/>
              </w:rPr>
            </w:pPr>
          </w:p>
        </w:tc>
        <w:tc>
          <w:tcPr>
            <w:tcW w:w="12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9"/>
              </w:rPr>
              <w:t>Axsome Therapeutics,</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gridSpan w:val="3"/>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Ex-US Historical (Note</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Transaction Accounting</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Notes</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Notes</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tcPr>
          <w:p>
            <w:pPr>
              <w:jc w:val="right"/>
              <w:ind w:right="420"/>
              <w:spacing w:after="0" w:line="108" w:lineRule="exact"/>
              <w:rPr>
                <w:sz w:val="20"/>
                <w:szCs w:val="20"/>
                <w:color w:val="auto"/>
              </w:rPr>
            </w:pPr>
            <w:r>
              <w:rPr>
                <w:rFonts w:ascii="Times New Roman" w:cs="Times New Roman" w:eastAsia="Times New Roman" w:hAnsi="Times New Roman"/>
                <w:sz w:val="11"/>
                <w:szCs w:val="11"/>
                <w:b w:val="1"/>
                <w:bCs w:val="1"/>
                <w:color w:val="auto"/>
              </w:rPr>
              <w:t>Condensed</w:t>
            </w: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Inc.</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Sunosi (Note 3)</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(Note 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6"/>
              </w:rPr>
              <w:t>Other Adjustments</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(Note 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135"/>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84,707,782</w:t>
            </w:r>
          </w:p>
        </w:tc>
        <w:tc>
          <w:tcPr>
            <w:tcW w:w="12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(53,000,000 )</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rPr>
              <w:t>6A</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44,515,246</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7A</w:t>
            </w:r>
          </w:p>
        </w:tc>
        <w:tc>
          <w:tcPr>
            <w:tcW w:w="3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81,223,077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5,000,049</w:t>
            </w:r>
          </w:p>
        </w:tc>
        <w:tc>
          <w:tcPr>
            <w:tcW w:w="20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7B</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Inventories, net</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21,163,000</w:t>
            </w: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(890,962 )</w:t>
            </w:r>
          </w:p>
        </w:tc>
        <w:tc>
          <w:tcPr>
            <w:tcW w:w="1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(9,671,038 )</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rPr>
              <w:t>6C</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10,601,000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520" w:type="dxa"/>
            <w:vAlign w:val="bottom"/>
          </w:tcPr>
          <w:p>
            <w:pPr>
              <w:ind w:left="100"/>
              <w:spacing w:after="0" w:line="95" w:lineRule="exact"/>
              <w:rPr>
                <w:sz w:val="20"/>
                <w:szCs w:val="20"/>
                <w:color w:val="auto"/>
              </w:rPr>
            </w:pPr>
            <w:r>
              <w:rPr>
                <w:rFonts w:ascii="Times New Roman" w:cs="Times New Roman" w:eastAsia="Times New Roman" w:hAnsi="Times New Roman"/>
                <w:sz w:val="10"/>
                <w:szCs w:val="10"/>
                <w:color w:val="auto"/>
              </w:rPr>
              <w:t>Prepaid and other current</w:t>
            </w: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5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assets</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2,122,144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378,000</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139,000</w:t>
            </w:r>
          </w:p>
        </w:tc>
        <w:tc>
          <w:tcPr>
            <w:tcW w:w="2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6D</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2,639,144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Total current assets</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86,829,926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21,541,000</w:t>
            </w: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(890,962</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(62,532,038</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49,515,295</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94,463,221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Equipment, net</w:t>
            </w: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460,946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460,946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5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Right-of-use asset - operating</w:t>
            </w: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lease</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946,479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946,479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72,279,000</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(10,496,053 )</w:t>
            </w: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2,017,363</w:t>
            </w:r>
          </w:p>
        </w:tc>
        <w:tc>
          <w:tcPr>
            <w:tcW w:w="20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6E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63,800,310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322,910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322,910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15,881,690</w:t>
            </w:r>
          </w:p>
        </w:tc>
        <w:tc>
          <w:tcPr>
            <w:tcW w:w="20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6F</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15,881,690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2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88,560,261</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93,820,000</w:t>
            </w:r>
          </w:p>
        </w:tc>
        <w:tc>
          <w:tcPr>
            <w:tcW w:w="2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(11,387,015</w:t>
            </w:r>
          </w:p>
        </w:tc>
        <w:tc>
          <w:tcPr>
            <w:tcW w:w="200" w:type="dxa"/>
            <w:vAlign w:val="bottom"/>
            <w:tcBorders>
              <w:bottom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(44,632,985</w:t>
            </w:r>
          </w:p>
        </w:tc>
        <w:tc>
          <w:tcPr>
            <w:tcW w:w="200" w:type="dxa"/>
            <w:vAlign w:val="bottom"/>
            <w:tcBorders>
              <w:bottom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49,515,295</w:t>
            </w:r>
          </w:p>
        </w:tc>
        <w:tc>
          <w:tcPr>
            <w:tcW w:w="20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175,875,556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1520" w:type="dxa"/>
            <w:vAlign w:val="bottom"/>
          </w:tcPr>
          <w:p>
            <w:pPr>
              <w:ind w:left="20"/>
              <w:spacing w:after="0" w:line="62" w:lineRule="exact"/>
              <w:rPr>
                <w:sz w:val="20"/>
                <w:szCs w:val="20"/>
                <w:color w:val="auto"/>
              </w:rPr>
            </w:pPr>
            <w:r>
              <w:rPr>
                <w:rFonts w:ascii="Times New Roman" w:cs="Times New Roman" w:eastAsia="Times New Roman" w:hAnsi="Times New Roman"/>
                <w:sz w:val="6"/>
                <w:szCs w:val="6"/>
                <w:b w:val="1"/>
                <w:bCs w:val="1"/>
                <w:color w:val="auto"/>
              </w:rPr>
              <w:t>Liabilities and stockholders'</w:t>
            </w: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Accounts payable</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12,595,112</w:t>
            </w:r>
          </w:p>
        </w:tc>
        <w:tc>
          <w:tcPr>
            <w:tcW w:w="120" w:type="dxa"/>
            <w:vAlign w:val="bottom"/>
          </w:tcPr>
          <w:p>
            <w:pPr>
              <w:spacing w:after="0"/>
              <w:rPr>
                <w:sz w:val="11"/>
                <w:szCs w:val="11"/>
                <w:color w:val="auto"/>
              </w:rPr>
            </w:pPr>
          </w:p>
        </w:tc>
        <w:tc>
          <w:tcPr>
            <w:tcW w:w="34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12,595,112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520" w:type="dxa"/>
            <w:vAlign w:val="bottom"/>
            <w:shd w:val="clear" w:color="auto" w:fill="CFF0FC"/>
          </w:tcPr>
          <w:p>
            <w:pPr>
              <w:ind w:left="100"/>
              <w:spacing w:after="0" w:line="95" w:lineRule="exact"/>
              <w:rPr>
                <w:sz w:val="20"/>
                <w:szCs w:val="20"/>
                <w:color w:val="auto"/>
              </w:rPr>
            </w:pPr>
            <w:r>
              <w:rPr>
                <w:rFonts w:ascii="Times New Roman" w:cs="Times New Roman" w:eastAsia="Times New Roman" w:hAnsi="Times New Roman"/>
                <w:sz w:val="10"/>
                <w:szCs w:val="10"/>
                <w:color w:val="auto"/>
              </w:rPr>
              <w:t>Accrued expenses and other</w:t>
            </w: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current liabilities</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10,987,222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7,200,000</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rPr>
              <w:t>6B</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526,087</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7C</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18,713,309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520" w:type="dxa"/>
            <w:vAlign w:val="bottom"/>
          </w:tcPr>
          <w:p>
            <w:pPr>
              <w:ind w:left="100"/>
              <w:spacing w:after="0" w:line="95" w:lineRule="exact"/>
              <w:rPr>
                <w:sz w:val="20"/>
                <w:szCs w:val="20"/>
                <w:color w:val="auto"/>
              </w:rPr>
            </w:pPr>
            <w:r>
              <w:rPr>
                <w:rFonts w:ascii="Times New Roman" w:cs="Times New Roman" w:eastAsia="Times New Roman" w:hAnsi="Times New Roman"/>
                <w:sz w:val="10"/>
                <w:szCs w:val="10"/>
                <w:color w:val="auto"/>
              </w:rPr>
              <w:t>Operating lease liability,</w:t>
            </w:r>
          </w:p>
        </w:tc>
        <w:tc>
          <w:tcPr>
            <w:tcW w:w="20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967,248</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967,248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5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current portion</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24,549,582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7,200,000</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526,087</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32,275,669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520" w:type="dxa"/>
            <w:vAlign w:val="bottom"/>
          </w:tcPr>
          <w:p>
            <w:pPr>
              <w:ind w:left="100"/>
              <w:spacing w:after="0" w:line="95" w:lineRule="exact"/>
              <w:rPr>
                <w:sz w:val="20"/>
                <w:szCs w:val="20"/>
                <w:color w:val="auto"/>
              </w:rPr>
            </w:pPr>
            <w:r>
              <w:rPr>
                <w:rFonts w:ascii="Times New Roman" w:cs="Times New Roman" w:eastAsia="Times New Roman" w:hAnsi="Times New Roman"/>
                <w:sz w:val="10"/>
                <w:szCs w:val="10"/>
                <w:color w:val="auto"/>
              </w:rPr>
              <w:t>Contingent consideration</w:t>
            </w: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15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(non-current)</w:t>
            </w: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30,600,000</w:t>
            </w:r>
          </w:p>
        </w:tc>
        <w:tc>
          <w:tcPr>
            <w:tcW w:w="2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6B</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Loan payable, long-term</w:t>
            </w:r>
          </w:p>
        </w:tc>
        <w:tc>
          <w:tcPr>
            <w:tcW w:w="20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49,312,665</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43,689,093</w:t>
            </w:r>
          </w:p>
        </w:tc>
        <w:tc>
          <w:tcPr>
            <w:tcW w:w="20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7A</w:t>
            </w:r>
          </w:p>
        </w:tc>
        <w:tc>
          <w:tcPr>
            <w:tcW w:w="2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93,001,758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73,862,247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37,800,000</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44,215,180</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155,877,427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5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Preferred stock, $0.0001 par</w:t>
            </w: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value per share, (10,000,000</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2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shares authorized, none issued</w:t>
            </w: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5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and outstanding at March 31,</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2022)</w:t>
            </w: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520" w:type="dxa"/>
            <w:vAlign w:val="bottom"/>
            <w:shd w:val="clear" w:color="auto" w:fill="CFF0FC"/>
          </w:tcPr>
          <w:p>
            <w:pPr>
              <w:ind w:left="20"/>
              <w:spacing w:after="0" w:line="99" w:lineRule="exact"/>
              <w:rPr>
                <w:sz w:val="20"/>
                <w:szCs w:val="20"/>
                <w:color w:val="auto"/>
              </w:rPr>
            </w:pPr>
            <w:r>
              <w:rPr>
                <w:rFonts w:ascii="Times New Roman" w:cs="Times New Roman" w:eastAsia="Times New Roman" w:hAnsi="Times New Roman"/>
                <w:sz w:val="11"/>
                <w:szCs w:val="11"/>
                <w:color w:val="auto"/>
              </w:rPr>
              <w:t>Common stock, $0.0001 par</w:t>
            </w: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value per share( 150,000,000</w:t>
            </w: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2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1"/>
                <w:szCs w:val="11"/>
                <w:color w:val="auto"/>
              </w:rPr>
              <w:t>shares authorized, 38,883,445</w:t>
            </w: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5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and outstanding</w:t>
            </w: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7B</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at March 31, 2022)</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3,888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00" w:type="dxa"/>
            <w:vAlign w:val="bottom"/>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463,525,522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5,000,034</w:t>
            </w:r>
          </w:p>
        </w:tc>
        <w:tc>
          <w:tcPr>
            <w:tcW w:w="20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7B</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469,351,709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826,153</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7A</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Accumulated deficit</w:t>
            </w:r>
          </w:p>
        </w:tc>
        <w:tc>
          <w:tcPr>
            <w:tcW w:w="200" w:type="dxa"/>
            <w:vAlign w:val="bottom"/>
          </w:tcPr>
          <w:p>
            <w:pPr>
              <w:spacing w:after="0"/>
              <w:rPr>
                <w:sz w:val="11"/>
                <w:szCs w:val="1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(448,831,396 )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(526,087 )</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7C</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(449,357,483 )</w:t>
            </w:r>
          </w:p>
        </w:tc>
        <w:tc>
          <w:tcPr>
            <w:tcW w:w="0" w:type="dxa"/>
            <w:vAlign w:val="bottom"/>
          </w:tcPr>
          <w:p>
            <w:pPr>
              <w:spacing w:after="0"/>
              <w:rPr>
                <w:sz w:val="1"/>
                <w:szCs w:val="1"/>
                <w:color w:val="auto"/>
              </w:rPr>
            </w:pPr>
          </w:p>
        </w:tc>
      </w:tr>
      <w:tr>
        <w:trPr>
          <w:trHeight w:val="128"/>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14,698,014</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5,300,115</w:t>
            </w:r>
          </w:p>
        </w:tc>
        <w:tc>
          <w:tcPr>
            <w:tcW w:w="2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19,998,129</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52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Total liabilities and</w:t>
            </w:r>
          </w:p>
        </w:tc>
        <w:tc>
          <w:tcPr>
            <w:tcW w:w="20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88,560,261</w:t>
            </w:r>
          </w:p>
        </w:tc>
        <w:tc>
          <w:tcPr>
            <w:tcW w:w="120" w:type="dxa"/>
            <w:vAlign w:val="bottom"/>
          </w:tcPr>
          <w:p>
            <w:pPr>
              <w:spacing w:after="0"/>
              <w:rPr>
                <w:sz w:val="7"/>
                <w:szCs w:val="7"/>
                <w:color w:val="auto"/>
              </w:rPr>
            </w:pPr>
          </w:p>
        </w:tc>
        <w:tc>
          <w:tcPr>
            <w:tcW w:w="34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2"/>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7"/>
                <w:szCs w:val="7"/>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37,800,000</w:t>
            </w: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49,515,295</w:t>
            </w: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175,875,556</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5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stockholders' equity</w:t>
            </w:r>
          </w:p>
        </w:tc>
        <w:tc>
          <w:tcPr>
            <w:tcW w:w="2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-2828290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-2811145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-2828290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-2811145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-2828290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-2811145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-2828290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-2811145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-2828290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-2811145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-1808480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-1808480</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-1808480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-1808480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-1808480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-1808480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-522605</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-522605</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-522605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-522605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-522605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80" w:type="dxa"/>
            <w:vAlign w:val="bottom"/>
            <w:gridSpan w:val="14"/>
          </w:tcPr>
          <w:p>
            <w:pPr>
              <w:ind w:left="100"/>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Statement of Operations</w:t>
            </w:r>
          </w:p>
        </w:tc>
        <w:tc>
          <w:tcPr>
            <w:tcW w:w="0" w:type="dxa"/>
            <w:vAlign w:val="bottom"/>
          </w:tcPr>
          <w:p>
            <w:pPr>
              <w:spacing w:after="0"/>
              <w:rPr>
                <w:sz w:val="1"/>
                <w:szCs w:val="1"/>
                <w:color w:val="auto"/>
              </w:rPr>
            </w:pPr>
          </w:p>
        </w:tc>
      </w:tr>
      <w:tr>
        <w:trPr>
          <w:trHeight w:val="236"/>
        </w:trPr>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0" w:type="dxa"/>
            <w:vAlign w:val="bottom"/>
            <w:gridSpan w:val="9"/>
          </w:tcPr>
          <w:p>
            <w:pPr>
              <w:ind w:left="1000"/>
              <w:spacing w:after="0"/>
              <w:rPr>
                <w:sz w:val="20"/>
                <w:szCs w:val="20"/>
                <w:color w:val="auto"/>
              </w:rPr>
            </w:pPr>
            <w:r>
              <w:rPr>
                <w:rFonts w:ascii="Times New Roman" w:cs="Times New Roman" w:eastAsia="Times New Roman" w:hAnsi="Times New Roman"/>
                <w:sz w:val="18"/>
                <w:szCs w:val="18"/>
                <w:i w:val="1"/>
                <w:iCs w:val="1"/>
                <w:color w:val="auto"/>
                <w:w w:val="98"/>
              </w:rPr>
              <w:t>For the three months Ended March 31, 2022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500" w:type="dxa"/>
            <w:vAlign w:val="bottom"/>
          </w:tcPr>
          <w:p>
            <w:pPr>
              <w:spacing w:after="0"/>
              <w:rPr>
                <w:sz w:val="24"/>
                <w:szCs w:val="24"/>
                <w:color w:val="auto"/>
              </w:rPr>
            </w:pPr>
          </w:p>
        </w:tc>
        <w:tc>
          <w:tcPr>
            <w:tcW w:w="1340" w:type="dxa"/>
            <w:vAlign w:val="bottom"/>
            <w:gridSpan w:val="3"/>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99"/>
              </w:rPr>
              <w:t>Axsome Therapeutics,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w w:val="99"/>
              </w:rPr>
              <w:t>Ex-US Historical (Note</w:t>
            </w:r>
          </w:p>
        </w:tc>
        <w:tc>
          <w:tcPr>
            <w:tcW w:w="158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Transaction Accounting</w:t>
            </w:r>
          </w:p>
        </w:tc>
        <w:tc>
          <w:tcPr>
            <w:tcW w:w="720" w:type="dxa"/>
            <w:vAlign w:val="bottom"/>
            <w:gridSpan w:val="3"/>
          </w:tcPr>
          <w:p>
            <w:pPr>
              <w:jc w:val="center"/>
              <w:ind w:right="286"/>
              <w:spacing w:after="0"/>
              <w:rPr>
                <w:sz w:val="20"/>
                <w:szCs w:val="20"/>
                <w:color w:val="auto"/>
              </w:rPr>
            </w:pPr>
            <w:r>
              <w:rPr>
                <w:rFonts w:ascii="Times New Roman" w:cs="Times New Roman" w:eastAsia="Times New Roman" w:hAnsi="Times New Roman"/>
                <w:sz w:val="11"/>
                <w:szCs w:val="11"/>
                <w:b w:val="1"/>
                <w:bCs w:val="1"/>
                <w:color w:val="auto"/>
                <w:w w:val="98"/>
              </w:rPr>
              <w:t>Notes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Inc.</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Sunosi (Note 3)</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5)</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Adjustments (US)</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rPr>
              <w:t>(Note 6)</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9"/>
              </w:rPr>
              <w:t>Other Adjustments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1500" w:type="dxa"/>
            <w:vAlign w:val="bottom"/>
          </w:tcPr>
          <w:p>
            <w:pPr>
              <w:spacing w:after="0"/>
              <w:rPr>
                <w:sz w:val="20"/>
                <w:szCs w:val="20"/>
                <w:color w:val="auto"/>
              </w:rPr>
            </w:pPr>
            <w:r>
              <w:rPr>
                <w:rFonts w:ascii="Times New Roman" w:cs="Times New Roman" w:eastAsia="Times New Roman" w:hAnsi="Times New Roman"/>
                <w:sz w:val="11"/>
                <w:szCs w:val="11"/>
                <w:color w:val="auto"/>
              </w:rPr>
              <w:t>Product sales,net</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2"/>
                <w:szCs w:val="2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15,878,257</w:t>
            </w:r>
          </w:p>
        </w:tc>
        <w:tc>
          <w:tcPr>
            <w:tcW w:w="240" w:type="dxa"/>
            <w:vAlign w:val="bottom"/>
          </w:tcPr>
          <w:p>
            <w:pPr>
              <w:spacing w:after="0"/>
              <w:rPr>
                <w:sz w:val="22"/>
                <w:szCs w:val="2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(2,414,637 )</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20"/>
                <w:szCs w:val="20"/>
                <w:color w:val="auto"/>
              </w:rPr>
            </w:pPr>
            <w:r>
              <w:rPr>
                <w:rFonts w:ascii="Times New Roman" w:cs="Times New Roman" w:eastAsia="Times New Roman" w:hAnsi="Times New Roman"/>
                <w:sz w:val="11"/>
                <w:szCs w:val="11"/>
                <w:color w:val="auto"/>
              </w:rPr>
              <w:t>Cost of product sales</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(4,177,896 )</w:t>
            </w:r>
          </w:p>
        </w:tc>
        <w:tc>
          <w:tcPr>
            <w:tcW w:w="3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865,040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50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Gross loss</w:t>
            </w:r>
          </w:p>
        </w:tc>
        <w:tc>
          <w:tcPr>
            <w:tcW w:w="2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11,700,361</w:t>
            </w:r>
          </w:p>
        </w:tc>
        <w:tc>
          <w:tcPr>
            <w:tcW w:w="24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(1,549,597</w:t>
            </w:r>
          </w:p>
        </w:tc>
        <w:tc>
          <w:tcPr>
            <w:tcW w:w="200" w:type="dxa"/>
            <w:vAlign w:val="bottom"/>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80"/>
              <w:spacing w:after="0" w:line="109" w:lineRule="exact"/>
              <w:rPr>
                <w:sz w:val="20"/>
                <w:szCs w:val="20"/>
                <w:color w:val="auto"/>
              </w:rPr>
            </w:pPr>
            <w:r>
              <w:rPr>
                <w:rFonts w:ascii="Times New Roman" w:cs="Times New Roman" w:eastAsia="Times New Roman" w:hAnsi="Times New Roman"/>
                <w:sz w:val="11"/>
                <w:szCs w:val="11"/>
                <w:color w:val="auto"/>
              </w:rPr>
              <w:t>Selling, general and</w:t>
            </w: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administrative</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25,703,731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35,287,967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(8,430,886 )</w:t>
            </w: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Research and development</w:t>
            </w: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12,585,141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4,251,102</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(766,835 )</w:t>
            </w:r>
          </w:p>
        </w:tc>
        <w:tc>
          <w:tcPr>
            <w:tcW w:w="1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80"/>
              <w:spacing w:after="0" w:line="109" w:lineRule="exact"/>
              <w:rPr>
                <w:sz w:val="20"/>
                <w:szCs w:val="20"/>
                <w:color w:val="auto"/>
              </w:rPr>
            </w:pPr>
            <w:r>
              <w:rPr>
                <w:rFonts w:ascii="Times New Roman" w:cs="Times New Roman" w:eastAsia="Times New Roman" w:hAnsi="Times New Roman"/>
                <w:sz w:val="11"/>
                <w:szCs w:val="11"/>
                <w:color w:val="auto"/>
              </w:rPr>
              <w:t>Amortization of intangible</w:t>
            </w: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assets</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1,964,055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(284,672 )</w:t>
            </w:r>
          </w:p>
        </w:tc>
        <w:tc>
          <w:tcPr>
            <w:tcW w:w="140" w:type="dxa"/>
            <w:vAlign w:val="bottom"/>
          </w:tcPr>
          <w:p>
            <w:pPr>
              <w:spacing w:after="0"/>
              <w:rPr>
                <w:sz w:val="12"/>
                <w:szCs w:val="12"/>
                <w:color w:val="auto"/>
              </w:rPr>
            </w:pPr>
          </w:p>
        </w:tc>
        <w:tc>
          <w:tcPr>
            <w:tcW w:w="12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(84,383 )</w:t>
            </w:r>
          </w:p>
        </w:tc>
        <w:tc>
          <w:tcPr>
            <w:tcW w:w="160" w:type="dxa"/>
            <w:vAlign w:val="bottom"/>
          </w:tcPr>
          <w:p>
            <w:pPr>
              <w:spacing w:after="0"/>
              <w:rPr>
                <w:sz w:val="12"/>
                <w:szCs w:val="12"/>
                <w:color w:val="auto"/>
              </w:rPr>
            </w:pPr>
          </w:p>
        </w:tc>
        <w:tc>
          <w:tcPr>
            <w:tcW w:w="720" w:type="dxa"/>
            <w:vAlign w:val="bottom"/>
            <w:gridSpan w:val="3"/>
          </w:tcPr>
          <w:p>
            <w:pPr>
              <w:jc w:val="center"/>
              <w:ind w:right="286"/>
              <w:spacing w:after="0"/>
              <w:rPr>
                <w:sz w:val="20"/>
                <w:szCs w:val="20"/>
                <w:color w:val="auto"/>
              </w:rPr>
            </w:pPr>
            <w:r>
              <w:rPr>
                <w:rFonts w:ascii="Times New Roman" w:cs="Times New Roman" w:eastAsia="Times New Roman" w:hAnsi="Times New Roman"/>
                <w:sz w:val="11"/>
                <w:szCs w:val="11"/>
                <w:b w:val="1"/>
                <w:bCs w:val="1"/>
                <w:color w:val="auto"/>
                <w:w w:val="99"/>
              </w:rPr>
              <w:t>6G</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operating expenses</w:t>
            </w: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38,288,872</w:t>
            </w:r>
          </w:p>
        </w:tc>
        <w:tc>
          <w:tcPr>
            <w:tcW w:w="2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41,503,124</w:t>
            </w:r>
          </w:p>
        </w:tc>
        <w:tc>
          <w:tcPr>
            <w:tcW w:w="24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(9,482,393</w:t>
            </w:r>
          </w:p>
        </w:tc>
        <w:tc>
          <w:tcPr>
            <w:tcW w:w="200" w:type="dxa"/>
            <w:vAlign w:val="bottom"/>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(84,383</w:t>
            </w:r>
          </w:p>
        </w:tc>
        <w:tc>
          <w:tcPr>
            <w:tcW w:w="200" w:type="dxa"/>
            <w:vAlign w:val="bottom"/>
          </w:tcPr>
          <w:p>
            <w:pPr>
              <w:jc w:val="right"/>
              <w:ind w:right="86"/>
              <w:spacing w:after="0" w:line="12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0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Loss from operations</w:t>
            </w:r>
          </w:p>
        </w:tc>
        <w:tc>
          <w:tcPr>
            <w:tcW w:w="260" w:type="dxa"/>
            <w:vAlign w:val="bottom"/>
          </w:tcPr>
          <w:p>
            <w:pPr>
              <w:spacing w:after="0"/>
              <w:rPr>
                <w:sz w:val="9"/>
                <w:szCs w:val="9"/>
                <w:color w:val="auto"/>
              </w:rPr>
            </w:pPr>
          </w:p>
        </w:tc>
        <w:tc>
          <w:tcPr>
            <w:tcW w:w="8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(38,288,872</w:t>
            </w:r>
          </w:p>
        </w:tc>
        <w:tc>
          <w:tcPr>
            <w:tcW w:w="220" w:type="dxa"/>
            <w:vAlign w:val="bottom"/>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10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(29,802,763</w:t>
            </w:r>
          </w:p>
        </w:tc>
        <w:tc>
          <w:tcPr>
            <w:tcW w:w="240" w:type="dxa"/>
            <w:vAlign w:val="bottom"/>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9"/>
                <w:szCs w:val="9"/>
                <w:color w:val="auto"/>
              </w:rPr>
            </w:pPr>
          </w:p>
        </w:tc>
        <w:tc>
          <w:tcPr>
            <w:tcW w:w="8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7,932,796</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84,383</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 income (expense):</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140"/>
              <w:spacing w:after="0" w:line="109" w:lineRule="exact"/>
              <w:rPr>
                <w:sz w:val="20"/>
                <w:szCs w:val="20"/>
                <w:color w:val="auto"/>
              </w:rPr>
            </w:pPr>
            <w:r>
              <w:rPr>
                <w:rFonts w:ascii="Times New Roman" w:cs="Times New Roman" w:eastAsia="Times New Roman" w:hAnsi="Times New Roman"/>
                <w:sz w:val="11"/>
                <w:szCs w:val="11"/>
                <w:color w:val="auto"/>
              </w:rPr>
              <w:t>Interest and amortization of</w:t>
            </w:r>
          </w:p>
        </w:tc>
        <w:tc>
          <w:tcPr>
            <w:tcW w:w="260" w:type="dxa"/>
            <w:vAlign w:val="bottom"/>
          </w:tcPr>
          <w:p>
            <w:pPr>
              <w:spacing w:after="0"/>
              <w:rPr>
                <w:sz w:val="9"/>
                <w:szCs w:val="9"/>
                <w:color w:val="auto"/>
              </w:rPr>
            </w:pPr>
          </w:p>
        </w:tc>
        <w:tc>
          <w:tcPr>
            <w:tcW w:w="108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(1,343,439 )</w:t>
            </w:r>
          </w:p>
        </w:tc>
        <w:tc>
          <w:tcPr>
            <w:tcW w:w="1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(1,394,777 )</w:t>
            </w:r>
          </w:p>
        </w:tc>
        <w:tc>
          <w:tcPr>
            <w:tcW w:w="0" w:type="dxa"/>
            <w:vAlign w:val="bottom"/>
          </w:tcPr>
          <w:p>
            <w:pPr>
              <w:spacing w:after="0"/>
              <w:rPr>
                <w:sz w:val="1"/>
                <w:szCs w:val="1"/>
                <w:color w:val="auto"/>
              </w:rPr>
            </w:pPr>
          </w:p>
        </w:tc>
      </w:tr>
      <w:tr>
        <w:trPr>
          <w:trHeight w:val="142"/>
        </w:trPr>
        <w:tc>
          <w:tcPr>
            <w:tcW w:w="1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debt discount expense</w:t>
            </w: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Total other expense, net</w:t>
            </w: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(1,343,439</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(1,394,777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Net loss</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(39,632,311</w:t>
            </w:r>
          </w:p>
        </w:tc>
        <w:tc>
          <w:tcPr>
            <w:tcW w:w="22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(29,802,763</w:t>
            </w:r>
          </w:p>
        </w:tc>
        <w:tc>
          <w:tcPr>
            <w:tcW w:w="24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7,932,796</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84,383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(1,394,777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-1379220</wp:posOffset>
            </wp:positionV>
            <wp:extent cx="7132320" cy="85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-1199515</wp:posOffset>
            </wp:positionV>
            <wp:extent cx="7132320" cy="85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-1028065</wp:posOffset>
            </wp:positionV>
            <wp:extent cx="713232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-779145</wp:posOffset>
            </wp:positionV>
            <wp:extent cx="713232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-521970</wp:posOffset>
            </wp:positionV>
            <wp:extent cx="7132320" cy="85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-350520</wp:posOffset>
            </wp:positionV>
            <wp:extent cx="713232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-93345</wp:posOffset>
            </wp:positionV>
            <wp:extent cx="7132320" cy="1111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w:t>
      </w:r>
    </w:p>
    <w:p>
      <w:pPr>
        <w:jc w:val="center"/>
        <w:spacing w:after="0"/>
        <w:rPr>
          <w:sz w:val="20"/>
          <w:szCs w:val="20"/>
          <w:color w:val="auto"/>
        </w:rPr>
      </w:pPr>
      <w:r>
        <w:rPr>
          <w:rFonts w:ascii="Times New Roman" w:cs="Times New Roman" w:eastAsia="Times New Roman" w:hAnsi="Times New Roman"/>
          <w:sz w:val="11"/>
          <w:szCs w:val="11"/>
          <w:b w:val="1"/>
          <w:bCs w:val="1"/>
          <w:color w:val="auto"/>
        </w:rPr>
        <w:t>(Note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15240</wp:posOffset>
            </wp:positionV>
            <wp:extent cx="4457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b w:val="1"/>
          <w:bCs w:val="1"/>
          <w:color w:val="auto"/>
        </w:rPr>
        <w:t>7D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Pro Forma</w:t>
      </w:r>
    </w:p>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Condensed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6858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39" w:lineRule="exact"/>
        <w:rPr>
          <w:sz w:val="20"/>
          <w:szCs w:val="20"/>
          <w:color w:val="auto"/>
        </w:rPr>
      </w:pPr>
    </w:p>
    <w:p>
      <w:pPr>
        <w:ind w:left="580" w:hanging="575"/>
        <w:spacing w:after="0"/>
        <w:tabs>
          <w:tab w:leader="none" w:pos="58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13,463,620</w:t>
      </w:r>
    </w:p>
    <w:p>
      <w:pPr>
        <w:spacing w:after="0" w:line="13" w:lineRule="exact"/>
        <w:rPr>
          <w:rFonts w:ascii="Times New Roman" w:cs="Times New Roman" w:eastAsia="Times New Roman" w:hAnsi="Times New Roman"/>
          <w:sz w:val="11"/>
          <w:szCs w:val="11"/>
          <w:color w:val="auto"/>
        </w:rPr>
      </w:pPr>
    </w:p>
    <w:p>
      <w:pPr>
        <w:ind w:left="60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0"/>
          <w:szCs w:val="10"/>
          <w:color w:val="auto"/>
        </w:rPr>
        <w:t>(3,312,856 )</w:t>
      </w:r>
    </w:p>
    <w:p>
      <w:pPr>
        <w:spacing w:after="0" w:line="28" w:lineRule="exact"/>
        <w:rPr>
          <w:rFonts w:ascii="Times New Roman" w:cs="Times New Roman" w:eastAsia="Times New Roman" w:hAnsi="Times New Roman"/>
          <w:sz w:val="11"/>
          <w:szCs w:val="11"/>
          <w:color w:val="auto"/>
        </w:rPr>
      </w:pPr>
    </w:p>
    <w:p>
      <w:pPr>
        <w:ind w:left="58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10,150,764</w:t>
      </w:r>
    </w:p>
    <w:p>
      <w:pPr>
        <w:spacing w:after="0" w:line="265" w:lineRule="exact"/>
        <w:rPr>
          <w:rFonts w:ascii="Times New Roman" w:cs="Times New Roman" w:eastAsia="Times New Roman" w:hAnsi="Times New Roman"/>
          <w:sz w:val="11"/>
          <w:szCs w:val="11"/>
          <w:color w:val="auto"/>
        </w:rPr>
      </w:pPr>
    </w:p>
    <w:p>
      <w:pPr>
        <w:ind w:left="58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52,560,812</w:t>
      </w:r>
    </w:p>
    <w:p>
      <w:pPr>
        <w:spacing w:after="0" w:line="13" w:lineRule="exact"/>
        <w:rPr>
          <w:rFonts w:ascii="Times New Roman" w:cs="Times New Roman" w:eastAsia="Times New Roman" w:hAnsi="Times New Roman"/>
          <w:sz w:val="11"/>
          <w:szCs w:val="11"/>
          <w:color w:val="auto"/>
        </w:rPr>
      </w:pPr>
    </w:p>
    <w:p>
      <w:pPr>
        <w:ind w:left="58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16,069,408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-417195</wp:posOffset>
            </wp:positionV>
            <wp:extent cx="6858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1"/>
          <w:szCs w:val="11"/>
          <w:color w:val="auto"/>
        </w:rPr>
        <w:t>1,595,000</w:t>
      </w: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1"/>
          <w:szCs w:val="11"/>
          <w:color w:val="auto"/>
        </w:rPr>
        <w:t>70,225,220</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(60,074,456 )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6858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(2,738,216 )</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(2,738,216 )</w:t>
      </w:r>
    </w:p>
    <w:p>
      <w:pPr>
        <w:spacing w:after="0" w:line="20" w:lineRule="exact"/>
        <w:rPr>
          <w:sz w:val="20"/>
          <w:szCs w:val="20"/>
          <w:color w:val="auto"/>
        </w:rPr>
      </w:pPr>
    </w:p>
    <w:p>
      <w:pPr>
        <w:ind w:left="540" w:hanging="535"/>
        <w:spacing w:after="0"/>
        <w:tabs>
          <w:tab w:leader="none" w:pos="540" w:val="left"/>
        </w:tabs>
        <w:numPr>
          <w:ilvl w:val="0"/>
          <w:numId w:val="24"/>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(62,812,672 )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6858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3">
            <w:col w:w="8980" w:space="320"/>
            <w:col w:w="380" w:space="360"/>
            <w:col w:w="1120"/>
          </w:cols>
          <w:pgMar w:left="340" w:top="115" w:right="399" w:bottom="1440" w:gutter="0" w:footer="0" w:header="0"/>
        </w:sectPr>
      </w:pPr>
    </w:p>
    <w:p>
      <w:pPr>
        <w:ind w:right="480"/>
        <w:spacing w:after="0" w:line="235" w:lineRule="auto"/>
        <w:rPr>
          <w:sz w:val="20"/>
          <w:szCs w:val="20"/>
          <w:color w:val="auto"/>
        </w:rPr>
      </w:pPr>
      <w:r>
        <w:rPr>
          <w:rFonts w:ascii="Times New Roman" w:cs="Times New Roman" w:eastAsia="Times New Roman" w:hAnsi="Times New Roman"/>
          <w:sz w:val="11"/>
          <w:szCs w:val="11"/>
          <w:color w:val="auto"/>
        </w:rPr>
        <w:t>Weighted average shares outstanding: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440" w:type="dxa"/>
            <w:vAlign w:val="bottom"/>
          </w:tcPr>
          <w:p>
            <w:pPr>
              <w:spacing w:after="0"/>
              <w:rPr>
                <w:sz w:val="20"/>
                <w:szCs w:val="20"/>
                <w:color w:val="auto"/>
              </w:rPr>
            </w:pPr>
            <w:r>
              <w:rPr>
                <w:rFonts w:ascii="Times New Roman" w:cs="Times New Roman" w:eastAsia="Times New Roman" w:hAnsi="Times New Roman"/>
                <w:sz w:val="11"/>
                <w:szCs w:val="11"/>
                <w:color w:val="auto"/>
              </w:rPr>
              <w:t>Basic and diluted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Net loss per share attributable</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to common stockholders - basic</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0"/>
        </w:trPr>
        <w:tc>
          <w:tcPr>
            <w:tcW w:w="14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and diluted</w:t>
            </w:r>
          </w:p>
        </w:tc>
        <w:tc>
          <w:tcPr>
            <w:tcW w:w="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4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tabs>
          <w:tab w:leader="none" w:pos="6440" w:val="left"/>
        </w:tabs>
        <w:rPr>
          <w:sz w:val="20"/>
          <w:szCs w:val="20"/>
          <w:color w:val="auto"/>
        </w:rPr>
      </w:pPr>
      <w:r>
        <w:rPr>
          <w:rFonts w:ascii="Times New Roman" w:cs="Times New Roman" w:eastAsia="Times New Roman" w:hAnsi="Times New Roman"/>
          <w:sz w:val="10"/>
          <w:szCs w:val="10"/>
          <w:color w:val="auto"/>
        </w:rPr>
        <w:t>38,323,167</w:t>
      </w:r>
      <w:r>
        <w:rPr>
          <w:sz w:val="20"/>
          <w:szCs w:val="20"/>
          <w:color w:val="auto"/>
        </w:rPr>
        <w:tab/>
      </w:r>
      <w:r>
        <w:rPr>
          <w:rFonts w:ascii="Times New Roman" w:cs="Times New Roman" w:eastAsia="Times New Roman" w:hAnsi="Times New Roman"/>
          <w:sz w:val="10"/>
          <w:szCs w:val="10"/>
          <w:b w:val="1"/>
          <w:bCs w:val="1"/>
          <w:color w:val="auto"/>
        </w:rPr>
        <w:t>152,487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-63500</wp:posOffset>
            </wp:positionV>
            <wp:extent cx="7132320" cy="93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13970</wp:posOffset>
            </wp:positionV>
            <wp:extent cx="7112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31115</wp:posOffset>
            </wp:positionV>
            <wp:extent cx="7112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224155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7B</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575"/>
        <w:spacing w:after="0"/>
        <w:rPr>
          <w:sz w:val="20"/>
          <w:szCs w:val="20"/>
          <w:color w:val="auto"/>
        </w:rPr>
      </w:pPr>
      <w:r>
        <w:rPr>
          <w:rFonts w:ascii="Times New Roman" w:cs="Times New Roman" w:eastAsia="Times New Roman" w:hAnsi="Times New Roman"/>
          <w:sz w:val="11"/>
          <w:szCs w:val="11"/>
          <w:color w:val="auto"/>
        </w:rPr>
        <w:t>38,475,654</w:t>
      </w:r>
    </w:p>
    <w:p>
      <w:pPr>
        <w:spacing w:after="0" w:line="211" w:lineRule="exact"/>
        <w:rPr>
          <w:sz w:val="20"/>
          <w:szCs w:val="20"/>
          <w:color w:val="auto"/>
        </w:rPr>
      </w:pPr>
    </w:p>
    <w:p>
      <w:pPr>
        <w:ind w:left="835" w:hanging="835"/>
        <w:spacing w:after="0"/>
        <w:tabs>
          <w:tab w:leader="none" w:pos="835"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(1.63 )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6858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38735</wp:posOffset>
            </wp:positionV>
            <wp:extent cx="6858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4">
            <w:col w:w="1560" w:space="560"/>
            <w:col w:w="6800" w:space="500"/>
            <w:col w:w="140" w:space="485"/>
            <w:col w:w="1115"/>
          </w:cols>
          <w:pgMar w:left="340" w:top="115" w:right="39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Statement of Operations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 the year Ended December 31,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80" w:type="dxa"/>
            <w:vAlign w:val="bottom"/>
          </w:tcPr>
          <w:p>
            <w:pPr>
              <w:spacing w:after="0"/>
              <w:rPr>
                <w:sz w:val="11"/>
                <w:szCs w:val="11"/>
                <w:color w:val="auto"/>
              </w:rPr>
            </w:pPr>
          </w:p>
        </w:tc>
        <w:tc>
          <w:tcPr>
            <w:tcW w:w="140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Axsome Therapeutics,</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Ex-US Historical (Note</w:t>
            </w: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8"/>
              </w:rPr>
              <w:t>Transaction Accounting</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Notes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382"/>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58"/>
        </w:trPr>
        <w:tc>
          <w:tcPr>
            <w:tcW w:w="1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Inc.</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Sunosi (Note 3)</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5)</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Adjustments (US)</w:t>
            </w:r>
          </w:p>
        </w:tc>
        <w:tc>
          <w:tcPr>
            <w:tcW w:w="20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Notes (Note 6)</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Other Adjustments</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(Note 7)</w:t>
            </w:r>
          </w:p>
        </w:tc>
        <w:tc>
          <w:tcPr>
            <w:tcW w:w="200" w:type="dxa"/>
            <w:vAlign w:val="bottom"/>
          </w:tcPr>
          <w:p>
            <w:pPr>
              <w:spacing w:after="0"/>
              <w:rPr>
                <w:sz w:val="13"/>
                <w:szCs w:val="13"/>
                <w:color w:val="auto"/>
              </w:rPr>
            </w:pPr>
          </w:p>
        </w:tc>
        <w:tc>
          <w:tcPr>
            <w:tcW w:w="114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Condensed Combined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Revenues</w:t>
            </w:r>
          </w:p>
        </w:tc>
        <w:tc>
          <w:tcPr>
            <w:tcW w:w="2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57,914,265</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(6,244,150 )</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51,670,115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revenues</w:t>
            </w:r>
          </w:p>
        </w:tc>
        <w:tc>
          <w:tcPr>
            <w:tcW w:w="2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142"/>
              <w:spacing w:after="0"/>
              <w:rPr>
                <w:sz w:val="20"/>
                <w:szCs w:val="20"/>
                <w:color w:val="auto"/>
              </w:rPr>
            </w:pPr>
            <w:r>
              <w:rPr>
                <w:rFonts w:ascii="Times New Roman" w:cs="Times New Roman" w:eastAsia="Times New Roman" w:hAnsi="Times New Roman"/>
                <w:sz w:val="11"/>
                <w:szCs w:val="11"/>
                <w:color w:val="auto"/>
              </w:rPr>
              <w:t>(14,137,313 )</w:t>
            </w:r>
          </w:p>
        </w:tc>
        <w:tc>
          <w:tcPr>
            <w:tcW w:w="3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2,099,748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(12,037,565 )</w:t>
            </w:r>
          </w:p>
        </w:tc>
        <w:tc>
          <w:tcPr>
            <w:tcW w:w="0" w:type="dxa"/>
            <w:vAlign w:val="bottom"/>
          </w:tcPr>
          <w:p>
            <w:pPr>
              <w:spacing w:after="0"/>
              <w:rPr>
                <w:sz w:val="1"/>
                <w:szCs w:val="1"/>
                <w:color w:val="auto"/>
              </w:rPr>
            </w:pPr>
          </w:p>
        </w:tc>
      </w:tr>
      <w:tr>
        <w:trPr>
          <w:trHeight w:val="128"/>
        </w:trPr>
        <w:tc>
          <w:tcPr>
            <w:tcW w:w="1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Gross loss</w:t>
            </w:r>
          </w:p>
        </w:tc>
        <w:tc>
          <w:tcPr>
            <w:tcW w:w="28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43,776,952</w:t>
            </w:r>
          </w:p>
        </w:tc>
        <w:tc>
          <w:tcPr>
            <w:tcW w:w="220" w:type="dxa"/>
            <w:vAlign w:val="bottom"/>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(4,144,402</w:t>
            </w:r>
          </w:p>
        </w:tc>
        <w:tc>
          <w:tcPr>
            <w:tcW w:w="2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39,632,550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80" w:type="dxa"/>
            <w:vAlign w:val="bottom"/>
            <w:shd w:val="clear" w:color="auto" w:fill="CFF0FC"/>
          </w:tcPr>
          <w:p>
            <w:pPr>
              <w:ind w:left="100"/>
              <w:spacing w:after="0" w:line="95" w:lineRule="exact"/>
              <w:rPr>
                <w:sz w:val="20"/>
                <w:szCs w:val="20"/>
                <w:color w:val="auto"/>
              </w:rPr>
            </w:pPr>
            <w:r>
              <w:rPr>
                <w:rFonts w:ascii="Times New Roman" w:cs="Times New Roman" w:eastAsia="Times New Roman" w:hAnsi="Times New Roman"/>
                <w:sz w:val="10"/>
                <w:szCs w:val="10"/>
                <w:color w:val="auto"/>
              </w:rPr>
              <w:t>General and</w:t>
            </w:r>
          </w:p>
        </w:tc>
        <w:tc>
          <w:tcPr>
            <w:tcW w:w="28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administrative</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66,646,205</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217,822,216</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(46,012,809 )</w:t>
            </w: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526,087</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rPr>
              <w:t>7C</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238,981,699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380" w:type="dxa"/>
            <w:vAlign w:val="bottom"/>
          </w:tcPr>
          <w:p>
            <w:pPr>
              <w:ind w:left="100"/>
              <w:spacing w:after="0" w:line="95" w:lineRule="exact"/>
              <w:rPr>
                <w:sz w:val="20"/>
                <w:szCs w:val="20"/>
                <w:color w:val="auto"/>
              </w:rPr>
            </w:pPr>
            <w:r>
              <w:rPr>
                <w:rFonts w:ascii="Times New Roman" w:cs="Times New Roman" w:eastAsia="Times New Roman" w:hAnsi="Times New Roman"/>
                <w:sz w:val="10"/>
                <w:szCs w:val="10"/>
                <w:color w:val="auto"/>
              </w:rPr>
              <w:t>Research and</w:t>
            </w: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13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development</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58,060,725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18,038,839</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(3,504,727 )</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72,594,837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380" w:type="dxa"/>
            <w:vAlign w:val="bottom"/>
            <w:shd w:val="clear" w:color="auto" w:fill="CFF0FC"/>
          </w:tcPr>
          <w:p>
            <w:pPr>
              <w:ind w:left="100"/>
              <w:spacing w:after="0" w:line="99" w:lineRule="exact"/>
              <w:rPr>
                <w:sz w:val="20"/>
                <w:szCs w:val="20"/>
                <w:color w:val="auto"/>
              </w:rPr>
            </w:pPr>
            <w:r>
              <w:rPr>
                <w:rFonts w:ascii="Times New Roman" w:cs="Times New Roman" w:eastAsia="Times New Roman" w:hAnsi="Times New Roman"/>
                <w:sz w:val="11"/>
                <w:szCs w:val="11"/>
                <w:color w:val="auto"/>
              </w:rPr>
              <w:t>Amortization of intangible</w:t>
            </w:r>
          </w:p>
        </w:tc>
        <w:tc>
          <w:tcPr>
            <w:tcW w:w="28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assets</w:t>
            </w: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7,855,218</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(1,138,686 )</w:t>
            </w: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(336,532 )</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6G</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6,380,000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3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Total operating expenses</w:t>
            </w:r>
          </w:p>
        </w:tc>
        <w:tc>
          <w:tcPr>
            <w:tcW w:w="2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124,706,930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243,716,273</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(50,656,222 )</w:t>
            </w:r>
          </w:p>
        </w:tc>
        <w:tc>
          <w:tcPr>
            <w:tcW w:w="140" w:type="dxa"/>
            <w:vAlign w:val="bottom"/>
          </w:tcPr>
          <w:p>
            <w:pPr>
              <w:spacing w:after="0"/>
              <w:rPr>
                <w:sz w:val="11"/>
                <w:szCs w:val="1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(336,532 )</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526,087</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317,956,536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Loss from operations</w:t>
            </w:r>
          </w:p>
        </w:tc>
        <w:tc>
          <w:tcPr>
            <w:tcW w:w="28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(124,706,930</w:t>
            </w:r>
          </w:p>
        </w:tc>
        <w:tc>
          <w:tcPr>
            <w:tcW w:w="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(199,939,321</w:t>
            </w:r>
          </w:p>
        </w:tc>
        <w:tc>
          <w:tcPr>
            <w:tcW w:w="22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46,511,820</w:t>
            </w: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336,532</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(526,087</w:t>
            </w:r>
          </w:p>
        </w:tc>
        <w:tc>
          <w:tcPr>
            <w:tcW w:w="2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(278,323,986</w:t>
            </w:r>
          </w:p>
        </w:tc>
        <w:tc>
          <w:tcPr>
            <w:tcW w:w="1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35"/>
        </w:trPr>
        <w:tc>
          <w:tcPr>
            <w:tcW w:w="13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income (expense):</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380" w:type="dxa"/>
            <w:vAlign w:val="bottom"/>
            <w:shd w:val="clear" w:color="auto" w:fill="CFF0FC"/>
          </w:tcPr>
          <w:p>
            <w:pPr>
              <w:ind w:left="160"/>
              <w:spacing w:after="0" w:line="95" w:lineRule="exact"/>
              <w:rPr>
                <w:sz w:val="20"/>
                <w:szCs w:val="20"/>
                <w:color w:val="auto"/>
              </w:rPr>
            </w:pPr>
            <w:r>
              <w:rPr>
                <w:rFonts w:ascii="Times New Roman" w:cs="Times New Roman" w:eastAsia="Times New Roman" w:hAnsi="Times New Roman"/>
                <w:sz w:val="10"/>
                <w:szCs w:val="10"/>
                <w:color w:val="auto"/>
              </w:rPr>
              <w:t>Interest and amortization</w:t>
            </w:r>
          </w:p>
        </w:tc>
        <w:tc>
          <w:tcPr>
            <w:tcW w:w="28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of debt discount expense</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(5,696,062 )</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(4,555,921 )</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rPr>
              <w:t>7D</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(10,251,983 )</w:t>
            </w:r>
          </w:p>
        </w:tc>
        <w:tc>
          <w:tcPr>
            <w:tcW w:w="0" w:type="dxa"/>
            <w:vAlign w:val="bottom"/>
          </w:tcPr>
          <w:p>
            <w:pPr>
              <w:spacing w:after="0"/>
              <w:rPr>
                <w:sz w:val="1"/>
                <w:szCs w:val="1"/>
                <w:color w:val="auto"/>
              </w:rPr>
            </w:pPr>
          </w:p>
        </w:tc>
      </w:tr>
      <w:tr>
        <w:trPr>
          <w:trHeight w:val="20"/>
        </w:trPr>
        <w:tc>
          <w:tcPr>
            <w:tcW w:w="1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380" w:type="dxa"/>
            <w:vAlign w:val="bottom"/>
          </w:tcPr>
          <w:p>
            <w:pPr>
              <w:ind w:left="240"/>
              <w:spacing w:after="0" w:line="88" w:lineRule="exact"/>
              <w:rPr>
                <w:sz w:val="20"/>
                <w:szCs w:val="20"/>
                <w:color w:val="auto"/>
              </w:rPr>
            </w:pPr>
            <w:r>
              <w:rPr>
                <w:rFonts w:ascii="Times New Roman" w:cs="Times New Roman" w:eastAsia="Times New Roman" w:hAnsi="Times New Roman"/>
                <w:sz w:val="10"/>
                <w:szCs w:val="10"/>
                <w:color w:val="auto"/>
              </w:rPr>
              <w:t>Total other expense,</w:t>
            </w:r>
          </w:p>
        </w:tc>
        <w:tc>
          <w:tcPr>
            <w:tcW w:w="280" w:type="dxa"/>
            <w:vAlign w:val="bottom"/>
          </w:tcPr>
          <w:p>
            <w:pPr>
              <w:spacing w:after="0"/>
              <w:rPr>
                <w:sz w:val="7"/>
                <w:szCs w:val="7"/>
                <w:color w:val="auto"/>
              </w:rPr>
            </w:pPr>
          </w:p>
        </w:tc>
        <w:tc>
          <w:tcPr>
            <w:tcW w:w="1120" w:type="dxa"/>
            <w:vAlign w:val="bottom"/>
            <w:gridSpan w:val="2"/>
            <w:vMerge w:val="restart"/>
          </w:tcPr>
          <w:p>
            <w:pPr>
              <w:jc w:val="right"/>
              <w:ind w:right="126"/>
              <w:spacing w:after="0"/>
              <w:rPr>
                <w:sz w:val="20"/>
                <w:szCs w:val="20"/>
                <w:color w:val="auto"/>
              </w:rPr>
            </w:pPr>
            <w:r>
              <w:rPr>
                <w:rFonts w:ascii="Times New Roman" w:cs="Times New Roman" w:eastAsia="Times New Roman" w:hAnsi="Times New Roman"/>
                <w:sz w:val="11"/>
                <w:szCs w:val="11"/>
                <w:color w:val="auto"/>
              </w:rPr>
              <w:t>(5,696,062 )</w:t>
            </w:r>
          </w:p>
        </w:tc>
        <w:tc>
          <w:tcPr>
            <w:tcW w:w="140" w:type="dxa"/>
            <w:vAlign w:val="bottom"/>
          </w:tcPr>
          <w:p>
            <w:pPr>
              <w:spacing w:after="0"/>
              <w:rPr>
                <w:sz w:val="7"/>
                <w:szCs w:val="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1"/>
                <w:szCs w:val="11"/>
                <w:color w:val="auto"/>
              </w:rPr>
              <w:t>(4,555,921 )</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1"/>
                <w:szCs w:val="11"/>
                <w:color w:val="auto"/>
              </w:rPr>
              <w:t>(10,251,983 )</w:t>
            </w:r>
          </w:p>
        </w:tc>
        <w:tc>
          <w:tcPr>
            <w:tcW w:w="0" w:type="dxa"/>
            <w:vAlign w:val="bottom"/>
          </w:tcPr>
          <w:p>
            <w:pPr>
              <w:spacing w:after="0"/>
              <w:rPr>
                <w:sz w:val="1"/>
                <w:szCs w:val="1"/>
                <w:color w:val="auto"/>
              </w:rPr>
            </w:pPr>
          </w:p>
        </w:tc>
      </w:tr>
      <w:tr>
        <w:trPr>
          <w:trHeight w:val="142"/>
        </w:trPr>
        <w:tc>
          <w:tcPr>
            <w:tcW w:w="13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net</w:t>
            </w: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Net loss</w:t>
            </w:r>
          </w:p>
        </w:tc>
        <w:tc>
          <w:tcPr>
            <w:tcW w:w="280" w:type="dxa"/>
            <w:vAlign w:val="bottom"/>
            <w:tcBorders>
              <w:top w:val="single" w:sz="8" w:color="auto"/>
              <w:bottom w:val="single" w:sz="8" w:color="auto"/>
            </w:tcBorders>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(130,402,992</w:t>
            </w:r>
          </w:p>
        </w:tc>
        <w:tc>
          <w:tcPr>
            <w:tcW w:w="240" w:type="dxa"/>
            <w:vAlign w:val="bottom"/>
            <w:tcBorders>
              <w:bottom w:val="single" w:sz="8" w:color="CFF0FC"/>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(199,939,321</w:t>
            </w:r>
          </w:p>
        </w:tc>
        <w:tc>
          <w:tcPr>
            <w:tcW w:w="220" w:type="dxa"/>
            <w:vAlign w:val="bottom"/>
            <w:tcBorders>
              <w:bottom w:val="single" w:sz="8" w:color="CFF0FC"/>
            </w:tcBorders>
            <w:shd w:val="clear" w:color="auto" w:fill="CFF0FC"/>
          </w:tcPr>
          <w:p>
            <w:pPr>
              <w:jc w:val="right"/>
              <w:ind w:right="1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46,511,820</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336,532</w:t>
            </w:r>
          </w:p>
        </w:tc>
        <w:tc>
          <w:tcPr>
            <w:tcW w:w="2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(5,082,008</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7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(288,575,969</w:t>
            </w:r>
          </w:p>
        </w:tc>
        <w:tc>
          <w:tcPr>
            <w:tcW w:w="100" w:type="dxa"/>
            <w:vAlign w:val="bottom"/>
            <w:tcBorders>
              <w:bottom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97"/>
        </w:trPr>
        <w:tc>
          <w:tcPr>
            <w:tcW w:w="1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Weighted average shares</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outstanding:</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Basic and diluted</w:t>
            </w:r>
          </w:p>
        </w:tc>
        <w:tc>
          <w:tcPr>
            <w:tcW w:w="28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37,618,599</w:t>
            </w:r>
          </w:p>
        </w:tc>
        <w:tc>
          <w:tcPr>
            <w:tcW w:w="2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152,487</w:t>
            </w:r>
          </w:p>
        </w:tc>
        <w:tc>
          <w:tcPr>
            <w:tcW w:w="20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rPr>
              <w:t>7B</w:t>
            </w:r>
          </w:p>
        </w:tc>
        <w:tc>
          <w:tcPr>
            <w:tcW w:w="20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37,771,086.01</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38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color w:val="auto"/>
              </w:rPr>
              <w:t>Net loss per share</w:t>
            </w: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3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attributable to common</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stockholders - basic and</w:t>
            </w:r>
          </w:p>
        </w:tc>
        <w:tc>
          <w:tcPr>
            <w:tcW w:w="2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vMerge w:val="restart"/>
          </w:tcPr>
          <w:p>
            <w:pPr>
              <w:jc w:val="right"/>
              <w:ind w:right="126"/>
              <w:spacing w:after="0"/>
              <w:rPr>
                <w:sz w:val="20"/>
                <w:szCs w:val="20"/>
                <w:color w:val="auto"/>
              </w:rPr>
            </w:pPr>
            <w:r>
              <w:rPr>
                <w:rFonts w:ascii="Times New Roman" w:cs="Times New Roman" w:eastAsia="Times New Roman" w:hAnsi="Times New Roman"/>
                <w:sz w:val="11"/>
                <w:szCs w:val="11"/>
                <w:color w:val="auto"/>
              </w:rPr>
              <w:t>(3.47 )</w:t>
            </w: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1"/>
                <w:szCs w:val="11"/>
                <w:color w:val="auto"/>
              </w:rPr>
              <w:t>(7.64 )</w:t>
            </w:r>
          </w:p>
        </w:tc>
        <w:tc>
          <w:tcPr>
            <w:tcW w:w="0" w:type="dxa"/>
            <w:vAlign w:val="bottom"/>
          </w:tcPr>
          <w:p>
            <w:pPr>
              <w:spacing w:after="0"/>
              <w:rPr>
                <w:sz w:val="1"/>
                <w:szCs w:val="1"/>
                <w:color w:val="auto"/>
              </w:rPr>
            </w:pPr>
          </w:p>
        </w:tc>
      </w:tr>
      <w:tr>
        <w:trPr>
          <w:trHeight w:val="122"/>
        </w:trPr>
        <w:tc>
          <w:tcPr>
            <w:tcW w:w="13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diluted</w:t>
            </w:r>
          </w:p>
        </w:tc>
        <w:tc>
          <w:tcPr>
            <w:tcW w:w="28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-1713865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-1713865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-1713865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-1713865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-1713865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-1285240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-1285240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-1285240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-1285240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-1285240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-1028065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-1010920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-1028065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-1010920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-1028065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-1010920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-1028065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-1010920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-1028065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-1010920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-668020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 or otherwise noted)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the Transaction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Sunosi Acquisition Overview</w:t>
      </w:r>
    </w:p>
    <w:p>
      <w:pPr>
        <w:spacing w:after="0" w:line="21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On March 25, 2022, Axsome Therapeutics, Inc. (the “Company" or "Acquirer”) entered into an Asset Purchase Agreement (the “Purchase Agreement”) with Jazz Pharmaceuticals to acquire Sunosi (the “Product”) for an aggregate initial purchase price of $50 million plus $3 million as payment for the certain specified inventory to be transferred to the Company and $37.8 million in Contingent Consideration for certain royalty payments to be made over the royalty term as defined in the Purchase Agreement. Per the Purchase Agreement, the sale and purchase of Specified Initial Assets contemplated by the Purchase Agreement occurred on May 9, 2022 (“Initial Closing”), following the satisfaction or waiver of the closing conditions under the Purchase Agreement. The purchase of Specified Ex-U.S. Assets contemplated by the Purchase Agreement is expected to occur during the fourth quarter of 2022 (“Final Closing” or “Ex-U.S. Closing”).</w:t>
      </w:r>
    </w:p>
    <w:p>
      <w:pPr>
        <w:spacing w:after="0" w:line="18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being provided pursuant to Rule 3-05 of Regulation S-K because the Acquisition of Specified Initial Assets constitutes a significant acquisition that was consummated on May 9, 2022.</w:t>
      </w:r>
    </w:p>
    <w:p>
      <w:pPr>
        <w:spacing w:after="0" w:line="148" w:lineRule="exact"/>
        <w:rPr>
          <w:sz w:val="20"/>
          <w:szCs w:val="20"/>
          <w:color w:val="auto"/>
        </w:rPr>
      </w:pPr>
    </w:p>
    <w:p>
      <w:pPr>
        <w:jc w:val="both"/>
        <w:ind w:firstLine="478"/>
        <w:spacing w:after="0" w:line="246" w:lineRule="auto"/>
        <w:rPr>
          <w:sz w:val="20"/>
          <w:szCs w:val="20"/>
          <w:color w:val="auto"/>
        </w:rPr>
      </w:pPr>
      <w:r>
        <w:rPr>
          <w:rFonts w:ascii="Times New Roman" w:cs="Times New Roman" w:eastAsia="Times New Roman" w:hAnsi="Times New Roman"/>
          <w:sz w:val="18"/>
          <w:szCs w:val="18"/>
          <w:color w:val="auto"/>
        </w:rPr>
        <w:t>To finance the Acquisition, Axsome entered into a Second Amendment to the Loan and Security Agreement (the “Second Amendment”) with Hercules Capital, Inc.(“Hercules”). Upon the Initial Closing contemplated by the Purchase Agreement, $45.0 million in Tranche 1 loan became available and was advanced to the Company by Hercules. The Company also issued 152,487 units of Common Stock to Hercules at a share price equal to $32.79 per share, pursuant to a share transfer agreement for an aggregate consideration of $5.0 million and the Company issued 35,255 warrants to purchase common stock to Hercules.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Pro Forma Presentation</w:t>
      </w:r>
    </w:p>
    <w:p>
      <w:pPr>
        <w:spacing w:after="0" w:line="21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related to purchase of Specified Initial Assets are derived from the historical consolidated financial statements of Axsome and the historical abbreviated financial statements of Sunosi. The Sunosi abbreviated financial statements include both the Initial Specified Assets and the Specified Ex-U.S. Assets. The abbreviated financial statements of Sunosi are adjusted in the unaudited pro forma condensed combined financial statements to eliminate the Specified Ex-U.S. financial information.</w:t>
      </w:r>
    </w:p>
    <w:p>
      <w:pPr>
        <w:spacing w:after="0" w:line="177"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present transaction accounting adjustments for Specified Initial Assets, and adjustments for other transactions entered into contemporaneously and in relation to the acquisition. Total pro forma combined financial statements are prepared by adjusting financial statements related to purchase of Specified Initial Assets combined with Specified Ex-U.S. Assets historical financial information. The unaudited pro forma condensed combined statements of operations for the three months ended March 31, 2022, and year ended December 31, 2021 have been prepared as if the Acquisition had been completed on January 1, 2021, and the unaudited pro forma condensed combined balance sheet was prepared as if the Acquisition had been completed on March 31, 2022.</w:t>
      </w:r>
    </w:p>
    <w:p>
      <w:pPr>
        <w:spacing w:after="0" w:line="18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acquisition of the Specified Initial Assets will be accounted for under the acquisition method of accounting in accordance with FASB ASC 805, Business Combinations, using the fair value concepts defined in ASC 820, Fair Value Measurements and Disclosures. Axsome has been treated as the acquirer for financial reporting purposes. Accordingly, the purchase consideration allocated to the Specified Initial Assets for preparation of these pro forma financial statement is based upon their estimated preliminary fair values assuming the Acquisition was completed as of March 31, 2022. The amount of the purchase consideration that was in excess of the estimated preliminary fair values of the Specified Initial Assets acquired at March 31, 2022 is recorded as goodwill in the unaudited pro forma condensed combined balance sheet.</w:t>
      </w:r>
    </w:p>
    <w:p>
      <w:pPr>
        <w:spacing w:after="0" w:line="18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As of the date of the Current Report on Form 8-K to which these unaudited pro forma condensed combined financial statements are filed as an exhibit, the Company has not completed detailed valuation studies necessary to arrive at the final estimates of the fair value of the total assets to be acquired, the liabilities to be assumed and the related allocations of purchase price. As indicated in Note 6 to these unaudited pro forma condensed combined financial statements, Axsome has made certain adjustments to the historical book values of the Specified Initial Assets of Sunosi to reflect preliminary estimates of fair value necessary to prepare the unaudited pro forma condensed combined financial statements, with the excess of the purchase price over the adjusted historical net assets of the Specified Initial Assets of Sunosi, recorded as goodwill. Actual results may differ from these unaudited pro forma condensed combined financial statements once Axsome has determined the final purchase price for Sunosi and has completed the valuation studies necessary to finalize the required purchase price allocations and identified any additional conforming accounting policy changes for Sunosi. There can be no assurance that such finalization will not result in material changes. The preliminary unaudited pro forma purchase price allocation has been made solely for preparing these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These unaudited pro forma condensed combined financial statements are presented for illustrative purposes only and do not give effect to any cost savings from operating efficiencies, revenue synergies, differences in stand-alone costs or carve out allocations for the Acquisition or costs for the integration of Sunosi’s operations. These unaudited pro forma condensed combined financial statements do not purport to represent what the actual consolidated results of operations of Axsome would have been had the Acquisition been completed on the dates assumed, nor are they indicative of future consolidated results of operations or consolidated financial position. Any transaction, separation or integration costs will be expensed in the appropriate accounting periods after completion of the Acquisition.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Accounting Policies</w:t>
      </w:r>
    </w:p>
    <w:p>
      <w:pPr>
        <w:spacing w:after="0" w:line="12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As part of preparing these unaudited pro forma condensed combined financial statements, Axsome conducted an initial review of the accounting policies of Sunosi to determine if differences in accounting policies require reclassification of results of operations or reclassification of assets to conform to Axsome’s accounting policies and classifications. During the preparation of these unaudited pro forma condensed combined financial statements, Axsome did not become aware of any material differences between accounting policies of Axsome and Sunosi.</w:t>
      </w:r>
    </w:p>
    <w:p>
      <w:pPr>
        <w:spacing w:after="0" w:line="194"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pro forma financial data may not reflect all reclassifications necessary to conform Sunosi’s presentation to that of Axsome due to limitations on the availability of information as of the date of the Current Report on Form 8-K to which these unaudited pro forma condensed combined financial statements are filed as an exhibit. After completion of the Acquisition, Axsome will further review Sunosi’s accounting policies. As a result of that review, Axsome may identify differences between the accounting policies of the two companies that, when conformed, could have a material impact on the combined financial statements.</w:t>
      </w:r>
    </w:p>
    <w:p>
      <w:pPr>
        <w:spacing w:after="0" w:line="18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For the purposes of presenting Sunosi statements of assets acquired and statements of revenues and direct expenses in the pro forma financial statements, balances have been mapped into line items and included in the subtotals as presented in Axsome’s financial statements. Certain subtotals of Sunosi were not included in the statements of assets acquired. These subtotals include total current assets, total assets, total current liabilities, total liabilities, total stockholders’ equity and total liabilities and stockholders’ equity. Certain subtotals of Sunosi were not included in the statements of revenues and direct expenses. These subtotals include gross loss, total operating expenses, loss from operations, total other expense, net and net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Preliminary Purchase Price Allocation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acquisition method of accounting, the identifiable assets acquired and liabilities assumed are recorded at the acquisition date fair values.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allocation is preliminary and based on estimates of the fair value as of May 9, 2022.</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represents a preliminary allocation of the estimated total consideration to Sunosi’s assets (excluding Ex-U.S. assets) in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based on Axsome’s preliminary estimate of their respective fair values: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Estimated Purchase Consideration</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Initial contractual cash consideration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Contingent Consideration</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purchase price to be allocated</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Assets Acquired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Inventories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Specified Initial Asset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19685</wp:posOffset>
            </wp:positionV>
            <wp:extent cx="627507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75070" cy="14605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53,000</w:t>
            </w:r>
          </w:p>
        </w:tc>
      </w:tr>
      <w:tr>
        <w:trPr>
          <w:trHeight w:val="234"/>
        </w:trPr>
        <w:tc>
          <w:tcPr>
            <w:tcW w:w="1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37,800</w:t>
            </w:r>
          </w:p>
        </w:tc>
      </w:tr>
      <w:tr>
        <w:trPr>
          <w:trHeight w:val="209"/>
        </w:trPr>
        <w:tc>
          <w:tcPr>
            <w:tcW w:w="13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90,800</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610"/>
        </w:trPr>
        <w:tc>
          <w:tcPr>
            <w:tcW w:w="13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10,601</w:t>
            </w:r>
          </w:p>
        </w:tc>
      </w:tr>
      <w:tr>
        <w:trPr>
          <w:trHeight w:val="234"/>
        </w:trPr>
        <w:tc>
          <w:tcPr>
            <w:tcW w:w="1300" w:type="dxa"/>
            <w:vAlign w:val="bottom"/>
          </w:tcPr>
          <w:p>
            <w:pPr>
              <w:spacing w:after="0"/>
              <w:rPr>
                <w:sz w:val="20"/>
                <w:szCs w:val="20"/>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-856615</wp:posOffset>
            </wp:positionV>
            <wp:extent cx="627507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75070" cy="146050"/>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-548005</wp:posOffset>
            </wp:positionV>
            <wp:extent cx="627507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75070" cy="137160"/>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-273685</wp:posOffset>
            </wp:positionV>
            <wp:extent cx="627507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7507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160" w:space="720"/>
            <w:col w:w="436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6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3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63,800</w:t>
            </w:r>
          </w:p>
        </w:tc>
      </w:tr>
      <w:tr>
        <w:trPr>
          <w:trHeight w:val="210"/>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assets acquired</w:t>
            </w:r>
          </w:p>
        </w:tc>
        <w:tc>
          <w:tcPr>
            <w:tcW w:w="1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74,918</w:t>
            </w:r>
          </w:p>
        </w:tc>
      </w:tr>
      <w:tr>
        <w:trPr>
          <w:trHeight w:val="249"/>
        </w:trPr>
        <w:tc>
          <w:tcPr>
            <w:tcW w:w="6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Preliminary goodwill</w:t>
            </w:r>
          </w:p>
        </w:tc>
        <w:tc>
          <w:tcPr>
            <w:tcW w:w="1300" w:type="dxa"/>
            <w:vAlign w:val="bottom"/>
            <w:tcBorders>
              <w:bottom w:val="single" w:sz="8" w:color="auto"/>
            </w:tcBorders>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15,882</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Elimination of Ex-US</w:t>
      </w:r>
    </w:p>
    <w:p>
      <w:pPr>
        <w:spacing w:after="0" w:line="21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As discussed in Note 2, balances and activities of the Ex-US Assets were not included in the initial closing and as such the balances and activities of the Ex-US Assets were eliminated. The financial information used to eliminate balances and activities of the Ex-US assets was derived from underlying books and records of Jazz Pharmaceuticals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6. Acquisition Pro Forma Adjustments</w:t>
      </w:r>
    </w:p>
    <w:p>
      <w:pPr>
        <w:spacing w:after="0" w:line="108" w:lineRule="exact"/>
        <w:rPr>
          <w:sz w:val="20"/>
          <w:szCs w:val="20"/>
          <w:color w:val="auto"/>
        </w:rPr>
      </w:pPr>
    </w:p>
    <w:p>
      <w:pPr>
        <w:ind w:left="860" w:hanging="374"/>
        <w:spacing w:after="0"/>
        <w:tabs>
          <w:tab w:leader="none" w:pos="8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$53.0 million of cash consideration.</w:t>
      </w:r>
    </w:p>
    <w:p>
      <w:pPr>
        <w:spacing w:after="0" w:line="117" w:lineRule="exact"/>
        <w:rPr>
          <w:rFonts w:ascii="Times New Roman" w:cs="Times New Roman" w:eastAsia="Times New Roman" w:hAnsi="Times New Roman"/>
          <w:sz w:val="18"/>
          <w:szCs w:val="18"/>
          <w:i w:val="1"/>
          <w:iCs w:val="1"/>
          <w:color w:val="auto"/>
        </w:rPr>
      </w:pPr>
    </w:p>
    <w:p>
      <w:pPr>
        <w:ind w:left="860" w:hanging="374"/>
        <w:spacing w:after="0" w:line="266" w:lineRule="auto"/>
        <w:tabs>
          <w:tab w:leader="none" w:pos="8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fair value of contingent consideration of $37.8 million. The contingent consideration has been broken into current and non-current portions of $7.2 million and $30.6 million, respectively, based on the projected net sales.</w:t>
      </w:r>
    </w:p>
    <w:p>
      <w:pPr>
        <w:spacing w:after="0" w:line="54" w:lineRule="exact"/>
        <w:rPr>
          <w:rFonts w:ascii="Times New Roman" w:cs="Times New Roman" w:eastAsia="Times New Roman" w:hAnsi="Times New Roman"/>
          <w:sz w:val="18"/>
          <w:szCs w:val="18"/>
          <w:i w:val="1"/>
          <w:iCs w:val="1"/>
          <w:color w:val="auto"/>
        </w:rPr>
      </w:pPr>
    </w:p>
    <w:p>
      <w:pPr>
        <w:jc w:val="both"/>
        <w:ind w:left="860" w:hanging="374"/>
        <w:spacing w:after="0" w:line="250" w:lineRule="auto"/>
        <w:tabs>
          <w:tab w:leader="none" w:pos="8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 downward adjustment in the inventory of $9.7 million to its fair value and adjustments related to non-saleable products. At the effective time of the Acquisition, inventory is required to be measured at fair value. Sunosi’s inventory consists primarily of raw materials, work in-process, and finished goods. For purposes of the unaudited pro forma condensed combined financial statements, the preliminary fair value of Sunosi’s inventory has been determined based on currently available information and certain assumptions and may be different from the final estimate of fair value, and the difference could be material.</w:t>
      </w:r>
    </w:p>
    <w:p>
      <w:pPr>
        <w:spacing w:after="0" w:line="69" w:lineRule="exact"/>
        <w:rPr>
          <w:rFonts w:ascii="Times New Roman" w:cs="Times New Roman" w:eastAsia="Times New Roman" w:hAnsi="Times New Roman"/>
          <w:sz w:val="18"/>
          <w:szCs w:val="18"/>
          <w:i w:val="1"/>
          <w:iCs w:val="1"/>
          <w:color w:val="auto"/>
        </w:rPr>
      </w:pPr>
    </w:p>
    <w:p>
      <w:pPr>
        <w:ind w:left="860" w:hanging="374"/>
        <w:spacing w:after="0"/>
        <w:tabs>
          <w:tab w:leader="none" w:pos="8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an adjustment of product samples to fair value.</w:t>
      </w:r>
    </w:p>
    <w:p>
      <w:pPr>
        <w:spacing w:after="0" w:line="103" w:lineRule="exact"/>
        <w:rPr>
          <w:rFonts w:ascii="Times New Roman" w:cs="Times New Roman" w:eastAsia="Times New Roman" w:hAnsi="Times New Roman"/>
          <w:sz w:val="18"/>
          <w:szCs w:val="18"/>
          <w:i w:val="1"/>
          <w:iCs w:val="1"/>
          <w:color w:val="auto"/>
        </w:rPr>
      </w:pPr>
    </w:p>
    <w:p>
      <w:pPr>
        <w:jc w:val="both"/>
        <w:ind w:left="860" w:hanging="374"/>
        <w:spacing w:after="0" w:line="258" w:lineRule="auto"/>
        <w:tabs>
          <w:tab w:leader="none" w:pos="8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step-up to the preliminary estimated fair value of Sunosi’s identifiable intangible assets from the respective carrying values reported by Sunosi after eliminating the historical carrying value of intangibles assets of the Ex-US Assets as of March 31, 2022. The preliminary fair values of the intangible assets retained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weighted-</w:t>
            </w:r>
          </w:p>
        </w:tc>
      </w:tr>
      <w:tr>
        <w:trPr>
          <w:trHeight w:val="238"/>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useful life</w:t>
            </w:r>
          </w:p>
        </w:tc>
      </w:tr>
      <w:tr>
        <w:trPr>
          <w:trHeight w:val="164"/>
        </w:trPr>
        <w:tc>
          <w:tcPr>
            <w:tcW w:w="5380" w:type="dxa"/>
            <w:vAlign w:val="bottom"/>
            <w:shd w:val="clear" w:color="auto" w:fill="CFF0FC"/>
          </w:tcPr>
          <w:p>
            <w:pPr>
              <w:ind w:left="100"/>
              <w:spacing w:after="0" w:line="164" w:lineRule="exact"/>
              <w:rPr>
                <w:sz w:val="20"/>
                <w:szCs w:val="20"/>
                <w:color w:val="auto"/>
              </w:rPr>
            </w:pPr>
            <w:r>
              <w:rPr>
                <w:rFonts w:ascii="Times New Roman" w:cs="Times New Roman" w:eastAsia="Times New Roman" w:hAnsi="Times New Roman"/>
                <w:sz w:val="18"/>
                <w:szCs w:val="18"/>
                <w:color w:val="auto"/>
              </w:rPr>
              <w:t>Sunosi pro forma identifiable intangible assets -Developed</w:t>
            </w:r>
          </w:p>
        </w:tc>
        <w:tc>
          <w:tcPr>
            <w:tcW w:w="320" w:type="dxa"/>
            <w:vAlign w:val="bottom"/>
            <w:shd w:val="clear" w:color="auto" w:fill="CFF0FC"/>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14"/>
                <w:szCs w:val="14"/>
                <w:color w:val="auto"/>
              </w:rPr>
            </w:pPr>
          </w:p>
        </w:tc>
      </w:tr>
      <w:tr>
        <w:trPr>
          <w:trHeight w:val="234"/>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63,800</w:t>
            </w:r>
          </w:p>
        </w:tc>
        <w:tc>
          <w:tcPr>
            <w:tcW w:w="260" w:type="dxa"/>
            <w:vAlign w:val="bottom"/>
            <w:shd w:val="clear" w:color="auto" w:fill="CFF0FC"/>
          </w:tcPr>
          <w:p>
            <w:pPr>
              <w:spacing w:after="0"/>
              <w:rPr>
                <w:sz w:val="20"/>
                <w:szCs w:val="20"/>
                <w:color w:val="auto"/>
              </w:rPr>
            </w:pPr>
          </w:p>
        </w:tc>
        <w:tc>
          <w:tcPr>
            <w:tcW w:w="216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rPr>
              <w:t>10-years</w:t>
            </w:r>
          </w:p>
        </w:tc>
      </w:tr>
      <w:tr>
        <w:trPr>
          <w:trHeight w:val="243"/>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Historical intangible assets</w:t>
            </w:r>
          </w:p>
        </w:tc>
        <w:tc>
          <w:tcPr>
            <w:tcW w:w="3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(61,783)</w:t>
            </w:r>
          </w:p>
        </w:tc>
        <w:tc>
          <w:tcPr>
            <w:tcW w:w="26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50"/>
        </w:trPr>
        <w:tc>
          <w:tcPr>
            <w:tcW w:w="5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 forma adjustment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c>
          <w:tcPr>
            <w:tcW w:w="260" w:type="dxa"/>
            <w:vAlign w:val="bottom"/>
            <w:tcBorders>
              <w:bottom w:val="single" w:sz="8" w:color="CFF0FC"/>
            </w:tcBorders>
            <w:shd w:val="clear" w:color="auto" w:fill="CFF0FC"/>
          </w:tcPr>
          <w:p>
            <w:pPr>
              <w:spacing w:after="0"/>
              <w:rPr>
                <w:sz w:val="21"/>
                <w:szCs w:val="21"/>
                <w:color w:val="auto"/>
              </w:rPr>
            </w:pPr>
          </w:p>
        </w:tc>
        <w:tc>
          <w:tcPr>
            <w:tcW w:w="21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-24765</wp:posOffset>
            </wp:positionV>
            <wp:extent cx="1631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1631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78" w:lineRule="exact"/>
        <w:rPr>
          <w:sz w:val="20"/>
          <w:szCs w:val="20"/>
          <w:color w:val="auto"/>
        </w:rPr>
      </w:pPr>
    </w:p>
    <w:p>
      <w:pPr>
        <w:jc w:val="both"/>
        <w:ind w:left="480" w:firstLine="509"/>
        <w:spacing w:after="0" w:line="244" w:lineRule="auto"/>
        <w:rPr>
          <w:sz w:val="20"/>
          <w:szCs w:val="20"/>
          <w:color w:val="auto"/>
        </w:rPr>
      </w:pPr>
      <w:r>
        <w:rPr>
          <w:rFonts w:ascii="Times New Roman" w:cs="Times New Roman" w:eastAsia="Times New Roman" w:hAnsi="Times New Roman"/>
          <w:sz w:val="18"/>
          <w:szCs w:val="18"/>
          <w:color w:val="auto"/>
        </w:rPr>
        <w:t>As of the effective time of the Sunosi Acquisition, identifiable intangible assets are required to be measured at fair value, and these assets could include assets that are not intended to be used or sold or that are intended to be used in a manner other than their highest and best use. With respect to the intangible assets associated with the Acquisition, Sunosi owns the rights to a number of trade names and trademarks. Based on internal assessments as well as discussions with Sunosi’s management, Axsome has identified the developed technology intangible asset. For purposes of these unaudited pro forma condensed combined financial statements, the fair value and weighted-average useful lives of these intangible assets have been estimated primarily based on available public information and Axsome’s financial due diligence review of Sunosi.</w:t>
      </w:r>
    </w:p>
    <w:p>
      <w:pPr>
        <w:spacing w:after="0" w:line="74" w:lineRule="exact"/>
        <w:rPr>
          <w:sz w:val="20"/>
          <w:szCs w:val="20"/>
          <w:color w:val="auto"/>
        </w:rPr>
      </w:pPr>
    </w:p>
    <w:p>
      <w:pPr>
        <w:ind w:left="860" w:right="20" w:hanging="374"/>
        <w:spacing w:after="0" w:line="282" w:lineRule="auto"/>
        <w:tabs>
          <w:tab w:leader="none" w:pos="8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goodwill related to the transaction resulting from the transaction see Note 4 above. Goodwill represents the excess of purchase price over acquired assets.</w:t>
      </w:r>
    </w:p>
    <w:p>
      <w:pPr>
        <w:spacing w:after="0" w:line="40" w:lineRule="exact"/>
        <w:rPr>
          <w:rFonts w:ascii="Times New Roman" w:cs="Times New Roman" w:eastAsia="Times New Roman" w:hAnsi="Times New Roman"/>
          <w:sz w:val="18"/>
          <w:szCs w:val="18"/>
          <w:i w:val="1"/>
          <w:iCs w:val="1"/>
          <w:color w:val="auto"/>
        </w:rPr>
      </w:pPr>
    </w:p>
    <w:p>
      <w:pPr>
        <w:ind w:left="860" w:hanging="374"/>
        <w:spacing w:after="0" w:line="266" w:lineRule="auto"/>
        <w:tabs>
          <w:tab w:leader="none" w:pos="8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elimination of historical intangible asset amortization and the inclusion of amortization of intangible assets acquired. See table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300" w:type="dxa"/>
            <w:vAlign w:val="bottom"/>
            <w:tcBorders>
              <w:bottom w:val="single" w:sz="8" w:color="auto"/>
            </w:tcBorders>
            <w:gridSpan w:val="8"/>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For Three Months Ended March 31, 2022</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ind w:right="150"/>
              <w:spacing w:after="0" w:line="160"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9"/>
              </w:rPr>
              <w:t>Preliminary estimated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Pro forma adjustment</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vMerge w:val="continue"/>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1,595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5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Year Ended December 31, 2021</w:t>
            </w:r>
          </w:p>
        </w:tc>
        <w:tc>
          <w:tcPr>
            <w:tcW w:w="18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right"/>
              <w:ind w:right="470"/>
              <w:spacing w:after="0" w:line="160" w:lineRule="exact"/>
              <w:rPr>
                <w:sz w:val="20"/>
                <w:szCs w:val="20"/>
                <w:color w:val="auto"/>
              </w:rPr>
            </w:pPr>
            <w:r>
              <w:rPr>
                <w:rFonts w:ascii="Times New Roman" w:cs="Times New Roman" w:eastAsia="Times New Roman" w:hAnsi="Times New Roman"/>
                <w:sz w:val="18"/>
                <w:szCs w:val="18"/>
                <w:b w:val="1"/>
                <w:bCs w:val="1"/>
                <w:color w:val="auto"/>
              </w:rPr>
              <w:t>Historical</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9"/>
              </w:rPr>
              <w:t>Preliminary estimated</w:t>
            </w:r>
          </w:p>
        </w:tc>
        <w:tc>
          <w:tcPr>
            <w:tcW w:w="240" w:type="dxa"/>
            <w:vAlign w:val="bottom"/>
          </w:tcPr>
          <w:p>
            <w:pPr>
              <w:spacing w:after="0"/>
              <w:rPr>
                <w:sz w:val="13"/>
                <w:szCs w:val="13"/>
                <w:color w:val="auto"/>
              </w:rPr>
            </w:pPr>
          </w:p>
        </w:tc>
        <w:tc>
          <w:tcPr>
            <w:tcW w:w="20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Pro forma adjustment</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240" w:type="dxa"/>
            <w:vAlign w:val="bottom"/>
          </w:tcPr>
          <w:p>
            <w:pPr>
              <w:spacing w:after="0"/>
              <w:rPr>
                <w:sz w:val="20"/>
                <w:szCs w:val="20"/>
                <w:color w:val="auto"/>
              </w:rPr>
            </w:pPr>
          </w:p>
        </w:tc>
        <w:tc>
          <w:tcPr>
            <w:tcW w:w="2080" w:type="dxa"/>
            <w:vAlign w:val="bottom"/>
            <w:tcBorders>
              <w:bottom w:val="single" w:sz="8" w:color="auto"/>
            </w:tcBorders>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6,380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Note 7. Adjustments to Unaudited Pro Forma Condensed Combined Financial Statements</w:t>
      </w:r>
    </w:p>
    <w:p>
      <w:pPr>
        <w:spacing w:after="0" w:line="162" w:lineRule="exact"/>
        <w:rPr>
          <w:sz w:val="20"/>
          <w:szCs w:val="20"/>
          <w:color w:val="auto"/>
        </w:rPr>
      </w:pPr>
    </w:p>
    <w:p>
      <w:pPr>
        <w:ind w:left="860" w:hanging="374"/>
        <w:spacing w:after="0" w:line="282" w:lineRule="auto"/>
        <w:tabs>
          <w:tab w:leader="none" w:pos="86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Company’s net proceeds of $44.5 million from the Hercules Tranche 1 loan of $45 million, recording of long-term debt of $43.7 million and related warrants of $0.8 million. The components of the adjustment to debt are presented in the below table:</w:t>
      </w:r>
    </w:p>
    <w:p>
      <w:pPr>
        <w:spacing w:after="0" w:line="200" w:lineRule="exact"/>
        <w:rPr>
          <w:sz w:val="20"/>
          <w:szCs w:val="20"/>
          <w:color w:val="auto"/>
        </w:rPr>
      </w:pP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Pro forma adjustment</w:t>
            </w:r>
          </w:p>
        </w:tc>
      </w:tr>
      <w:tr>
        <w:trPr>
          <w:trHeight w:val="210"/>
        </w:trPr>
        <w:tc>
          <w:tcPr>
            <w:tcW w:w="6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Axsome’s borrowing pursuant to Second Amendment to Loan Agreement</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45,000</w:t>
            </w:r>
          </w:p>
        </w:tc>
      </w:tr>
      <w:tr>
        <w:trPr>
          <w:trHeight w:val="216"/>
        </w:trPr>
        <w:tc>
          <w:tcPr>
            <w:tcW w:w="6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Debt discount (deferred financing costs)</w:t>
            </w:r>
          </w:p>
        </w:tc>
        <w:tc>
          <w:tcPr>
            <w:tcW w:w="340" w:type="dxa"/>
            <w:vAlign w:val="bottom"/>
          </w:tcPr>
          <w:p>
            <w:pPr>
              <w:spacing w:after="0"/>
              <w:rPr>
                <w:sz w:val="18"/>
                <w:szCs w:val="18"/>
                <w:color w:val="auto"/>
              </w:rPr>
            </w:pP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60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Fair value allocated to warrants issued*</w:t>
            </w:r>
          </w:p>
        </w:tc>
        <w:tc>
          <w:tcPr>
            <w:tcW w:w="340" w:type="dxa"/>
            <w:vAlign w:val="bottom"/>
            <w:tcBorders>
              <w:bottom w:val="single" w:sz="8" w:color="auto"/>
            </w:tcBorders>
            <w:shd w:val="clear" w:color="auto" w:fill="CFF0FC"/>
          </w:tcPr>
          <w:p>
            <w:pPr>
              <w:spacing w:after="0"/>
              <w:rPr>
                <w:sz w:val="18"/>
                <w:szCs w:val="18"/>
                <w:color w:val="auto"/>
              </w:rPr>
            </w:pPr>
          </w:p>
        </w:tc>
        <w:tc>
          <w:tcPr>
            <w:tcW w:w="2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(826)</w:t>
            </w:r>
          </w:p>
        </w:tc>
      </w:tr>
      <w:tr>
        <w:trPr>
          <w:trHeight w:val="210"/>
        </w:trPr>
        <w:tc>
          <w:tcPr>
            <w:tcW w:w="6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 forma adjustment</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43,689</w:t>
            </w:r>
          </w:p>
        </w:tc>
      </w:tr>
      <w:tr>
        <w:trPr>
          <w:trHeight w:val="20"/>
        </w:trPr>
        <w:tc>
          <w:tcPr>
            <w:tcW w:w="6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right="360"/>
        <w:spacing w:after="0" w:line="266" w:lineRule="auto"/>
        <w:rPr>
          <w:sz w:val="20"/>
          <w:szCs w:val="20"/>
          <w:color w:val="auto"/>
        </w:rPr>
      </w:pPr>
      <w:r>
        <w:rPr>
          <w:rFonts w:ascii="Times New Roman" w:cs="Times New Roman" w:eastAsia="Times New Roman" w:hAnsi="Times New Roman"/>
          <w:sz w:val="18"/>
          <w:szCs w:val="18"/>
          <w:color w:val="auto"/>
        </w:rPr>
        <w:t>*The Company considered the warrant to be a freestanding instrument and treated as a separate unit of account from the Tranche 1B Loan. The Warrant is classified as a component of stockholders’ equity and is valued based on its issuance date fair value.</w:t>
      </w:r>
    </w:p>
    <w:p>
      <w:pPr>
        <w:spacing w:after="0" w:line="176" w:lineRule="exact"/>
        <w:rPr>
          <w:sz w:val="20"/>
          <w:szCs w:val="20"/>
          <w:color w:val="auto"/>
        </w:rPr>
      </w:pPr>
    </w:p>
    <w:p>
      <w:pPr>
        <w:ind w:left="860" w:hanging="374"/>
        <w:spacing w:after="0" w:line="266" w:lineRule="auto"/>
        <w:tabs>
          <w:tab w:leader="none" w:pos="8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sale of 152,487 units of common stock to Hercules at a share price equal to $32.79 per share for aggregate consideration of $5.0 million.</w:t>
      </w:r>
    </w:p>
    <w:p>
      <w:pPr>
        <w:spacing w:after="0" w:line="54" w:lineRule="exact"/>
        <w:rPr>
          <w:rFonts w:ascii="Times New Roman" w:cs="Times New Roman" w:eastAsia="Times New Roman" w:hAnsi="Times New Roman"/>
          <w:sz w:val="18"/>
          <w:szCs w:val="18"/>
          <w:i w:val="1"/>
          <w:iCs w:val="1"/>
          <w:color w:val="auto"/>
        </w:rPr>
      </w:pPr>
    </w:p>
    <w:p>
      <w:pPr>
        <w:jc w:val="both"/>
        <w:ind w:left="860" w:hanging="374"/>
        <w:spacing w:after="0" w:line="250" w:lineRule="auto"/>
        <w:tabs>
          <w:tab w:leader="none" w:pos="8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Total non-recurring acquisition-related transaction costs incurred by Axsome and Sunosi after March 31, 2022 were $0.5 million. Transaction costs primarily relate to professional fees associated with regulatory filings and other Acquisition related activities. The unaudited pro forma condensed combined statements of operations for the year ended December 31, 2021 have been adjusted to increase general and administrative expenses for these non-recurring costs.</w:t>
      </w:r>
    </w:p>
    <w:p>
      <w:pPr>
        <w:spacing w:after="0" w:line="82" w:lineRule="exact"/>
        <w:rPr>
          <w:rFonts w:ascii="Times New Roman" w:cs="Times New Roman" w:eastAsia="Times New Roman" w:hAnsi="Times New Roman"/>
          <w:sz w:val="18"/>
          <w:szCs w:val="18"/>
          <w:i w:val="1"/>
          <w:iCs w:val="1"/>
          <w:color w:val="auto"/>
        </w:rPr>
      </w:pPr>
    </w:p>
    <w:p>
      <w:pPr>
        <w:ind w:left="860" w:hanging="374"/>
        <w:spacing w:after="0"/>
        <w:tabs>
          <w:tab w:leader="none" w:pos="8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increased interest expense associated with the issuance of new debt.</w:t>
      </w:r>
    </w:p>
    <w:p>
      <w:pPr>
        <w:spacing w:after="0" w:line="1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 record the adjustment to interest expense based on additional debt financing used to finance the transaction:</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Three Months Ended March</w:t>
            </w:r>
          </w:p>
        </w:tc>
        <w:tc>
          <w:tcPr>
            <w:tcW w:w="260" w:type="dxa"/>
            <w:vAlign w:val="bottom"/>
          </w:tcPr>
          <w:p>
            <w:pPr>
              <w:spacing w:after="0"/>
              <w:rPr>
                <w:sz w:val="17"/>
                <w:szCs w:val="17"/>
                <w:color w:val="auto"/>
              </w:rPr>
            </w:pP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For Year Ended December 31,</w:t>
            </w:r>
          </w:p>
        </w:tc>
      </w:tr>
      <w:tr>
        <w:trPr>
          <w:trHeight w:val="238"/>
        </w:trPr>
        <w:tc>
          <w:tcPr>
            <w:tcW w:w="41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2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Historical interest expense</w:t>
            </w:r>
          </w:p>
        </w:tc>
        <w:tc>
          <w:tcPr>
            <w:tcW w:w="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1,343</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5,696</w:t>
            </w: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on new debt</w:t>
            </w:r>
          </w:p>
        </w:tc>
        <w:tc>
          <w:tcPr>
            <w:tcW w:w="6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1,395</w:t>
            </w:r>
          </w:p>
        </w:tc>
        <w:tc>
          <w:tcPr>
            <w:tcW w:w="2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4,556</w:t>
            </w:r>
          </w:p>
        </w:tc>
      </w:tr>
      <w:tr>
        <w:trPr>
          <w:trHeight w:val="209"/>
        </w:trPr>
        <w:tc>
          <w:tcPr>
            <w:tcW w:w="4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 forma combined interest expense</w:t>
            </w:r>
          </w:p>
        </w:tc>
        <w:tc>
          <w:tcPr>
            <w:tcW w:w="6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2,738</w:t>
            </w:r>
          </w:p>
        </w:tc>
        <w:tc>
          <w:tcPr>
            <w:tcW w:w="2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-8255</wp:posOffset>
            </wp:positionV>
            <wp:extent cx="1714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78" w:lineRule="exact"/>
        <w:rPr>
          <w:sz w:val="20"/>
          <w:szCs w:val="20"/>
          <w:color w:val="auto"/>
        </w:rPr>
      </w:pPr>
    </w:p>
    <w:p>
      <w:pPr>
        <w:ind w:left="480"/>
        <w:spacing w:after="0" w:line="297" w:lineRule="auto"/>
        <w:rPr>
          <w:sz w:val="20"/>
          <w:szCs w:val="20"/>
          <w:color w:val="auto"/>
        </w:rPr>
      </w:pPr>
      <w:r>
        <w:rPr>
          <w:rFonts w:ascii="Times New Roman" w:cs="Times New Roman" w:eastAsia="Times New Roman" w:hAnsi="Times New Roman"/>
          <w:sz w:val="18"/>
          <w:szCs w:val="18"/>
          <w:color w:val="auto"/>
        </w:rPr>
        <w:t>The interest expense adjustments presented above were calculated using the applicable interest rate per annum as of June 30, 2022. Each one-eighth percentage point change in the assumed interest rates would result in a $0.1 million change in estimated annual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04"/>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lowerLetter"/>
      <w:start w:val="2"/>
    </w:lvl>
  </w:abstractNum>
  <w:abstractNum w:abstractNumId="7">
    <w:nsid w:val="3F2DBA31"/>
    <w:multiLevelType w:val="hybridMultilevel"/>
    <w:lvl w:ilvl="0">
      <w:lvlJc w:val="left"/>
      <w:lvlText w:val="%1)"/>
      <w:numFmt w:val="lowerLetter"/>
      <w:start w:val="3"/>
    </w:lvl>
  </w:abstractNum>
  <w:abstractNum w:abstractNumId="8">
    <w:nsid w:val="7C83E458"/>
    <w:multiLevelType w:val="hybridMultilevel"/>
    <w:lvl w:ilvl="0">
      <w:lvlJc w:val="left"/>
      <w:lvlText w:val="%1)"/>
      <w:numFmt w:val="lowerLetter"/>
      <w:start w:val="4"/>
    </w:lvl>
  </w:abstractNum>
  <w:abstractNum w:abstractNumId="9">
    <w:nsid w:val="257130A3"/>
    <w:multiLevelType w:val="hybridMultilevel"/>
    <w:lvl w:ilvl="0">
      <w:lvlJc w:val="left"/>
      <w:lvlText w:val="%1)"/>
      <w:numFmt w:val="lowerLetter"/>
      <w:start w:val="5"/>
    </w:lvl>
  </w:abstractNum>
  <w:abstractNum w:abstractNumId="10">
    <w:nsid w:val="62BBD95A"/>
    <w:multiLevelType w:val="hybridMultilevel"/>
    <w:lvl w:ilvl="0">
      <w:lvlJc w:val="left"/>
      <w:lvlText w:val="%1)"/>
      <w:numFmt w:val="lowerLetter"/>
      <w:start w:val="6"/>
    </w:lvl>
  </w:abstractNum>
  <w:abstractNum w:abstractNumId="11">
    <w:nsid w:val="436C6125"/>
    <w:multiLevelType w:val="hybridMultilevel"/>
    <w:lvl w:ilvl="0">
      <w:lvlJc w:val="left"/>
      <w:lvlText w:val="%1)"/>
      <w:numFmt w:val="lowerLetter"/>
      <w:start w:val="7"/>
    </w:lvl>
  </w:abstractNum>
  <w:abstractNum w:abstractNumId="12">
    <w:nsid w:val="628C895D"/>
    <w:multiLevelType w:val="hybridMultilevel"/>
    <w:lvl w:ilvl="0">
      <w:lvlJc w:val="left"/>
      <w:lvlText w:val="%1)"/>
      <w:numFmt w:val="lowerLetter"/>
      <w:start w:val="8"/>
    </w:lvl>
  </w:abstractNum>
  <w:abstractNum w:abstractNumId="13">
    <w:nsid w:val="333AB105"/>
    <w:multiLevelType w:val="hybridMultilevel"/>
    <w:lvl w:ilvl="0">
      <w:lvlJc w:val="left"/>
      <w:lvlText w:val="%1."/>
      <w:numFmt w:val="decimal"/>
      <w:start w:val="3"/>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2"/>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2"/>
    </w:lvl>
  </w:abstractNum>
  <w:abstractNum w:abstractNumId="18">
    <w:nsid w:val="75A2A8D4"/>
    <w:multiLevelType w:val="hybridMultilevel"/>
    <w:lvl w:ilvl="0">
      <w:lvlJc w:val="left"/>
      <w:lvlText w:val="%1."/>
      <w:numFmt w:val="decimal"/>
      <w:start w:val="3"/>
    </w:lvl>
  </w:abstractNum>
  <w:abstractNum w:abstractNumId="19">
    <w:nsid w:val="8EDBDAB"/>
    <w:multiLevelType w:val="hybridMultilevel"/>
    <w:lvl w:ilvl="0">
      <w:lvlJc w:val="left"/>
      <w:lvlText w:val="%1."/>
      <w:numFmt w:val="decimal"/>
      <w:start w:val="5"/>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upperLetter"/>
      <w:start w:val="1"/>
    </w:lvl>
  </w:abstractNum>
  <w:abstractNum w:abstractNumId="26">
    <w:nsid w:val="2CA88611"/>
    <w:multiLevelType w:val="hybridMultilevel"/>
    <w:lvl w:ilvl="0">
      <w:lvlJc w:val="left"/>
      <w:lvlText w:val="(%1)"/>
      <w:numFmt w:val="upperLetter"/>
      <w:start w:val="6"/>
    </w:lvl>
  </w:abstractNum>
  <w:abstractNum w:abstractNumId="27">
    <w:nsid w:val="836C40E"/>
    <w:multiLevelType w:val="hybridMultilevel"/>
    <w:lvl w:ilvl="0">
      <w:lvlJc w:val="left"/>
      <w:lvlText w:val="(%1)"/>
      <w:numFmt w:val="upperLetter"/>
      <w:start w:val="1"/>
    </w:lvl>
  </w:abstractNum>
  <w:abstractNum w:abstractNumId="28">
    <w:nsid w:val="2901D82"/>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2022-07-21T15:49:33Z</dcterms:created>
  <dcterms:modified xsi:type="dcterms:W3CDTF">2022-07-21T15:49:33Z</dcterms:modified>
</cp:coreProperties>
</file>