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As filed with the Securities and Exchange Commission on May 11, 2021</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94615</wp:posOffset>
            </wp:positionV>
            <wp:extent cx="1800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S-8</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REGISTRATION STATEMENT</w:t>
      </w:r>
    </w:p>
    <w:p>
      <w:pPr>
        <w:jc w:val="center"/>
        <w:ind w:right="-19"/>
        <w:spacing w:after="0"/>
        <w:rPr>
          <w:sz w:val="20"/>
          <w:szCs w:val="20"/>
          <w:color w:val="auto"/>
        </w:rPr>
      </w:pPr>
      <w:r>
        <w:rPr>
          <w:rFonts w:ascii="Arial" w:cs="Arial" w:eastAsia="Arial" w:hAnsi="Arial"/>
          <w:sz w:val="20"/>
          <w:szCs w:val="20"/>
          <w:b w:val="1"/>
          <w:bCs w:val="1"/>
          <w:color w:val="auto"/>
        </w:rPr>
        <w:t>Under</w:t>
      </w:r>
    </w:p>
    <w:p>
      <w:pPr>
        <w:jc w:val="center"/>
        <w:ind w:right="-19"/>
        <w:spacing w:after="0"/>
        <w:rPr>
          <w:sz w:val="20"/>
          <w:szCs w:val="20"/>
          <w:color w:val="auto"/>
        </w:rPr>
      </w:pPr>
      <w:r>
        <w:rPr>
          <w:rFonts w:ascii="Arial" w:cs="Arial" w:eastAsia="Arial" w:hAnsi="Arial"/>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94615</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AXSOME THERAPEUTICS,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463" w:right="339" w:bottom="1440" w:gutter="0" w:footer="0" w:header="0"/>
        </w:sectPr>
      </w:pPr>
    </w:p>
    <w:p>
      <w:pPr>
        <w:spacing w:after="0" w:line="8" w:lineRule="exact"/>
        <w:rPr>
          <w:sz w:val="24"/>
          <w:szCs w:val="24"/>
          <w:color w:val="auto"/>
        </w:rPr>
      </w:pPr>
    </w:p>
    <w:p>
      <w:pPr>
        <w:ind w:left="24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45-4241907</w:t>
      </w:r>
    </w:p>
    <w:p>
      <w:pPr>
        <w:spacing w:after="0" w:line="65" w:lineRule="exact"/>
        <w:rPr>
          <w:sz w:val="24"/>
          <w:szCs w:val="24"/>
          <w:color w:val="auto"/>
        </w:rPr>
      </w:pPr>
    </w:p>
    <w:p>
      <w:pPr>
        <w:sectPr>
          <w:pgSz w:w="11900" w:h="16838" w:orient="portrait"/>
          <w:cols w:equalWidth="0" w:num="2">
            <w:col w:w="7380" w:space="720"/>
            <w:col w:w="3140"/>
          </w:cols>
          <w:pgMar w:left="320" w:top="463" w:right="339" w:bottom="1440" w:gutter="0" w:footer="0" w:header="0"/>
          <w:type w:val="continuous"/>
        </w:sectPr>
      </w:pPr>
    </w:p>
    <w:p>
      <w:pPr>
        <w:ind w:left="1900"/>
        <w:spacing w:after="0"/>
        <w:rPr>
          <w:sz w:val="20"/>
          <w:szCs w:val="20"/>
          <w:color w:val="auto"/>
        </w:rPr>
      </w:pPr>
      <w:r>
        <w:rPr>
          <w:rFonts w:ascii="Arial" w:cs="Arial" w:eastAsia="Arial" w:hAnsi="Arial"/>
          <w:sz w:val="15"/>
          <w:szCs w:val="15"/>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57" w:lineRule="exact"/>
        <w:rPr>
          <w:sz w:val="24"/>
          <w:szCs w:val="24"/>
          <w:color w:val="auto"/>
        </w:rPr>
      </w:pPr>
    </w:p>
    <w:p>
      <w:pPr>
        <w:sectPr>
          <w:pgSz w:w="11900" w:h="16838" w:orient="portrait"/>
          <w:cols w:equalWidth="0" w:num="2">
            <w:col w:w="6660" w:space="720"/>
            <w:col w:w="3860"/>
          </w:cols>
          <w:pgMar w:left="320" w:top="463" w:right="339" w:bottom="1440" w:gutter="0" w:footer="0" w:header="0"/>
          <w:type w:val="continuous"/>
        </w:sectPr>
      </w:pPr>
    </w:p>
    <w:p>
      <w:pPr>
        <w:ind w:left="1700"/>
        <w:spacing w:after="0"/>
        <w:rPr>
          <w:sz w:val="20"/>
          <w:szCs w:val="20"/>
          <w:color w:val="auto"/>
        </w:rPr>
      </w:pPr>
      <w:r>
        <w:rPr>
          <w:rFonts w:ascii="Arial" w:cs="Arial" w:eastAsia="Arial" w:hAnsi="Arial"/>
          <w:sz w:val="16"/>
          <w:szCs w:val="16"/>
          <w:color w:val="auto"/>
        </w:rPr>
        <w:t>of incorporation or organization)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22 Cortlandt Street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16th Floor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10007</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101600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Axsome Therapeutics, Inc. Amended and Restated 2015 Omnibus Incentive Compensation Plan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101600</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1" w:lineRule="exact"/>
        <w:rPr>
          <w:sz w:val="24"/>
          <w:szCs w:val="24"/>
          <w:color w:val="auto"/>
        </w:rPr>
      </w:pPr>
    </w:p>
    <w:p>
      <w:pPr>
        <w:ind w:left="4780"/>
        <w:spacing w:after="0"/>
        <w:rPr>
          <w:sz w:val="20"/>
          <w:szCs w:val="20"/>
          <w:color w:val="auto"/>
        </w:rPr>
      </w:pPr>
      <w:r>
        <w:rPr>
          <w:rFonts w:ascii="Arial" w:cs="Arial" w:eastAsia="Arial" w:hAnsi="Arial"/>
          <w:sz w:val="16"/>
          <w:szCs w:val="16"/>
          <w:b w:val="1"/>
          <w:bCs w:val="1"/>
          <w:color w:val="auto"/>
        </w:rPr>
        <w:t>Herriot Tabuteau, M.D.</w:t>
      </w:r>
    </w:p>
    <w:p>
      <w:pPr>
        <w:spacing w:after="0" w:line="26" w:lineRule="exact"/>
        <w:rPr>
          <w:sz w:val="24"/>
          <w:szCs w:val="24"/>
          <w:color w:val="auto"/>
        </w:rPr>
      </w:pPr>
    </w:p>
    <w:p>
      <w:pPr>
        <w:ind w:left="43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ind w:left="4680"/>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22 Cortlandt Street</w:t>
      </w:r>
    </w:p>
    <w:p>
      <w:pPr>
        <w:spacing w:after="0" w:line="19" w:lineRule="exact"/>
        <w:rPr>
          <w:sz w:val="24"/>
          <w:szCs w:val="24"/>
          <w:color w:val="auto"/>
        </w:rPr>
      </w:pPr>
    </w:p>
    <w:p>
      <w:pPr>
        <w:ind w:left="5260"/>
        <w:spacing w:after="0"/>
        <w:rPr>
          <w:sz w:val="20"/>
          <w:szCs w:val="20"/>
          <w:color w:val="auto"/>
        </w:rPr>
      </w:pPr>
      <w:r>
        <w:rPr>
          <w:rFonts w:ascii="Arial" w:cs="Arial" w:eastAsia="Arial" w:hAnsi="Arial"/>
          <w:sz w:val="16"/>
          <w:szCs w:val="16"/>
          <w:b w:val="1"/>
          <w:bCs w:val="1"/>
          <w:color w:val="auto"/>
        </w:rPr>
        <w:t>16th Floor</w:t>
      </w:r>
    </w:p>
    <w:p>
      <w:pPr>
        <w:spacing w:after="0" w:line="19" w:lineRule="exact"/>
        <w:rPr>
          <w:sz w:val="24"/>
          <w:szCs w:val="24"/>
          <w:color w:val="auto"/>
        </w:rPr>
      </w:pPr>
    </w:p>
    <w:p>
      <w:pPr>
        <w:ind w:left="4680"/>
        <w:spacing w:after="0"/>
        <w:rPr>
          <w:sz w:val="20"/>
          <w:szCs w:val="20"/>
          <w:color w:val="auto"/>
        </w:rPr>
      </w:pPr>
      <w:r>
        <w:rPr>
          <w:rFonts w:ascii="Arial" w:cs="Arial" w:eastAsia="Arial" w:hAnsi="Arial"/>
          <w:sz w:val="16"/>
          <w:szCs w:val="16"/>
          <w:b w:val="1"/>
          <w:bCs w:val="1"/>
          <w:color w:val="auto"/>
        </w:rPr>
        <w:t>New York, New York 10007</w:t>
      </w:r>
    </w:p>
    <w:p>
      <w:pPr>
        <w:spacing w:after="0" w:line="19" w:lineRule="exact"/>
        <w:rPr>
          <w:sz w:val="24"/>
          <w:szCs w:val="24"/>
          <w:color w:val="auto"/>
        </w:rPr>
      </w:pPr>
    </w:p>
    <w:p>
      <w:pPr>
        <w:ind w:left="4320"/>
        <w:spacing w:after="0"/>
        <w:rPr>
          <w:sz w:val="20"/>
          <w:szCs w:val="20"/>
          <w:color w:val="auto"/>
        </w:rPr>
      </w:pPr>
      <w:r>
        <w:rPr>
          <w:rFonts w:ascii="Arial" w:cs="Arial" w:eastAsia="Arial" w:hAnsi="Arial"/>
          <w:sz w:val="16"/>
          <w:szCs w:val="16"/>
          <w:color w:val="auto"/>
        </w:rPr>
        <w:t>(Name and address of agent for service)</w:t>
      </w:r>
    </w:p>
    <w:p>
      <w:pPr>
        <w:spacing w:after="0" w:line="19"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(212) 332-3241</w:t>
      </w:r>
    </w:p>
    <w:p>
      <w:pPr>
        <w:spacing w:after="0" w:line="19" w:lineRule="exact"/>
        <w:rPr>
          <w:sz w:val="24"/>
          <w:szCs w:val="24"/>
          <w:color w:val="auto"/>
        </w:rPr>
      </w:pPr>
    </w:p>
    <w:p>
      <w:pPr>
        <w:ind w:left="3620"/>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109855</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Copies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Emilio Ragosa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DLA Piper LLP (US)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51 John F. Kennedy Parkway, Suite 120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Short Hills, New Jersey 07078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Telephone: (973) 520-2550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101600</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65" w:lineRule="exact"/>
        <w:rPr>
          <w:sz w:val="24"/>
          <w:szCs w:val="24"/>
          <w:color w:val="auto"/>
        </w:rPr>
      </w:pPr>
    </w:p>
    <w:p>
      <w:pPr>
        <w:ind w:right="100" w:firstLine="691"/>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463" w:right="339" w:bottom="1440" w:gutter="0" w:footer="0" w:header="0"/>
          <w:type w:val="continuous"/>
        </w:sectPr>
      </w:pPr>
    </w:p>
    <w:p>
      <w:pPr>
        <w:spacing w:after="0" w:line="141" w:lineRule="exact"/>
        <w:rPr>
          <w:sz w:val="24"/>
          <w:szCs w:val="24"/>
          <w:color w:val="auto"/>
        </w:rPr>
      </w:pPr>
    </w:p>
    <w:p>
      <w:pPr>
        <w:ind w:left="19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2" w:lineRule="exact"/>
        <w:rPr>
          <w:sz w:val="24"/>
          <w:szCs w:val="24"/>
          <w:color w:val="auto"/>
        </w:rPr>
      </w:pPr>
    </w:p>
    <w:p>
      <w:pPr>
        <w:sectPr>
          <w:pgSz w:w="11900" w:h="16838" w:orient="portrait"/>
          <w:cols w:equalWidth="0" w:num="2">
            <w:col w:w="7120" w:space="720"/>
            <w:col w:w="3400"/>
          </w:cols>
          <w:pgMar w:left="320" w:top="463" w:right="339" w:bottom="1440" w:gutter="0" w:footer="0" w:header="0"/>
          <w:type w:val="continuous"/>
        </w:sectPr>
      </w:pPr>
    </w:p>
    <w:p>
      <w:pPr>
        <w:ind w:left="20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74" w:lineRule="exact"/>
        <w:rPr>
          <w:sz w:val="24"/>
          <w:szCs w:val="24"/>
          <w:color w:val="auto"/>
        </w:rPr>
      </w:pPr>
    </w:p>
    <w:p>
      <w:pPr>
        <w:sectPr>
          <w:pgSz w:w="11900" w:h="16838" w:orient="portrait"/>
          <w:cols w:equalWidth="0" w:num="2">
            <w:col w:w="6780" w:space="720"/>
            <w:col w:w="3740"/>
          </w:cols>
          <w:pgMar w:left="320" w:top="463" w:right="339" w:bottom="1440" w:gutter="0" w:footer="0" w:header="0"/>
          <w:type w:val="continuous"/>
        </w:sectPr>
      </w:pPr>
    </w:p>
    <w:p>
      <w:pPr>
        <w:ind w:right="400" w:firstLine="691"/>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 w:name="page2"/>
    <w:bookmarkEnd w:id="1"/>
    <w:p>
      <w:pPr>
        <w:jc w:val="center"/>
        <w:ind w:right="-11"/>
        <w:spacing w:after="0"/>
        <w:rPr>
          <w:sz w:val="20"/>
          <w:szCs w:val="20"/>
          <w:color w:val="auto"/>
        </w:rPr>
      </w:pPr>
      <w:r>
        <w:rPr>
          <w:rFonts w:ascii="Arial" w:cs="Arial" w:eastAsia="Arial" w:hAnsi="Arial"/>
          <w:sz w:val="16"/>
          <w:szCs w:val="16"/>
          <w:b w:val="1"/>
          <w:bCs w:val="1"/>
          <w:color w:val="auto"/>
        </w:rPr>
        <w:t>CALCULATION OF REGISTRATION FEE</w:t>
      </w:r>
    </w:p>
    <w:p>
      <w:pPr>
        <w:spacing w:after="0" w:line="282" w:lineRule="exact"/>
        <w:rPr>
          <w:sz w:val="20"/>
          <w:szCs w:val="20"/>
          <w:color w:val="auto"/>
        </w:rPr>
      </w:pPr>
    </w:p>
    <w:tbl>
      <w:tblPr>
        <w:tblLayout w:type="fixed"/>
        <w:tblInd w:w="12" w:type="dxa"/>
        <w:tblCellMar>
          <w:top w:w="0" w:type="dxa"/>
          <w:left w:w="0" w:type="dxa"/>
          <w:bottom w:w="0" w:type="dxa"/>
          <w:right w:w="0" w:type="dxa"/>
        </w:tblCellMar>
      </w:tblPr>
      <w:tr>
        <w:trPr>
          <w:trHeight w:val="40"/>
        </w:trPr>
        <w:tc>
          <w:tcPr>
            <w:tcW w:w="4380" w:type="dxa"/>
            <w:vAlign w:val="bottom"/>
            <w:tcBorders>
              <w:top w:val="single" w:sz="8" w:color="auto"/>
              <w:bottom w:val="single" w:sz="8" w:color="auto"/>
            </w:tcBorders>
          </w:tcPr>
          <w:p>
            <w:pPr>
              <w:spacing w:after="0"/>
              <w:rPr>
                <w:sz w:val="3"/>
                <w:szCs w:val="3"/>
                <w:color w:val="auto"/>
              </w:rPr>
            </w:pPr>
          </w:p>
        </w:tc>
        <w:tc>
          <w:tcPr>
            <w:tcW w:w="244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r>
      <w:tr>
        <w:trPr>
          <w:trHeight w:val="97"/>
        </w:trPr>
        <w:tc>
          <w:tcPr>
            <w:tcW w:w="43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jc w:val="center"/>
              <w:ind w:right="276"/>
              <w:spacing w:after="0" w:line="98" w:lineRule="exact"/>
              <w:rPr>
                <w:sz w:val="20"/>
                <w:szCs w:val="20"/>
                <w:color w:val="auto"/>
              </w:rPr>
            </w:pPr>
            <w:r>
              <w:rPr>
                <w:rFonts w:ascii="Arial" w:cs="Arial" w:eastAsia="Arial" w:hAnsi="Arial"/>
                <w:sz w:val="10"/>
                <w:szCs w:val="10"/>
                <w:b w:val="1"/>
                <w:bCs w:val="1"/>
                <w:color w:val="auto"/>
              </w:rPr>
              <w:t>Proposed</w:t>
            </w: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35"/>
        </w:trPr>
        <w:tc>
          <w:tcPr>
            <w:tcW w:w="4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53"/>
              <w:spacing w:after="0" w:line="135" w:lineRule="exact"/>
              <w:rPr>
                <w:sz w:val="20"/>
                <w:szCs w:val="20"/>
                <w:color w:val="auto"/>
              </w:rPr>
            </w:pPr>
            <w:r>
              <w:rPr>
                <w:rFonts w:ascii="Arial" w:cs="Arial" w:eastAsia="Arial" w:hAnsi="Arial"/>
                <w:sz w:val="13"/>
                <w:szCs w:val="13"/>
                <w:b w:val="1"/>
                <w:bCs w:val="1"/>
                <w:color w:val="auto"/>
                <w:w w:val="83"/>
              </w:rPr>
              <w:t>Proposed</w:t>
            </w:r>
          </w:p>
        </w:tc>
        <w:tc>
          <w:tcPr>
            <w:tcW w:w="340" w:type="dxa"/>
            <w:vAlign w:val="bottom"/>
          </w:tcPr>
          <w:p>
            <w:pPr>
              <w:spacing w:after="0"/>
              <w:rPr>
                <w:sz w:val="11"/>
                <w:szCs w:val="11"/>
                <w:color w:val="auto"/>
              </w:rPr>
            </w:pPr>
          </w:p>
        </w:tc>
        <w:tc>
          <w:tcPr>
            <w:tcW w:w="1200" w:type="dxa"/>
            <w:vAlign w:val="bottom"/>
          </w:tcPr>
          <w:p>
            <w:pPr>
              <w:jc w:val="center"/>
              <w:ind w:right="296"/>
              <w:spacing w:after="0" w:line="135" w:lineRule="exact"/>
              <w:rPr>
                <w:sz w:val="20"/>
                <w:szCs w:val="20"/>
                <w:color w:val="auto"/>
              </w:rPr>
            </w:pPr>
            <w:r>
              <w:rPr>
                <w:rFonts w:ascii="Arial" w:cs="Arial" w:eastAsia="Arial" w:hAnsi="Arial"/>
                <w:sz w:val="13"/>
                <w:szCs w:val="13"/>
                <w:b w:val="1"/>
                <w:bCs w:val="1"/>
                <w:color w:val="auto"/>
                <w:w w:val="93"/>
              </w:rPr>
              <w:t>Maximum</w:t>
            </w: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4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center"/>
              <w:ind w:right="233"/>
              <w:spacing w:after="0" w:line="135" w:lineRule="exact"/>
              <w:rPr>
                <w:sz w:val="20"/>
                <w:szCs w:val="20"/>
                <w:color w:val="auto"/>
              </w:rPr>
            </w:pPr>
            <w:r>
              <w:rPr>
                <w:rFonts w:ascii="Arial" w:cs="Arial" w:eastAsia="Arial" w:hAnsi="Arial"/>
                <w:sz w:val="13"/>
                <w:szCs w:val="13"/>
                <w:b w:val="1"/>
                <w:bCs w:val="1"/>
                <w:color w:val="auto"/>
                <w:w w:val="93"/>
              </w:rPr>
              <w:t>Maximum</w:t>
            </w:r>
          </w:p>
        </w:tc>
        <w:tc>
          <w:tcPr>
            <w:tcW w:w="340" w:type="dxa"/>
            <w:vAlign w:val="bottom"/>
          </w:tcPr>
          <w:p>
            <w:pPr>
              <w:spacing w:after="0"/>
              <w:rPr>
                <w:sz w:val="11"/>
                <w:szCs w:val="11"/>
                <w:color w:val="auto"/>
              </w:rPr>
            </w:pPr>
          </w:p>
        </w:tc>
        <w:tc>
          <w:tcPr>
            <w:tcW w:w="1200" w:type="dxa"/>
            <w:vAlign w:val="bottom"/>
          </w:tcPr>
          <w:p>
            <w:pPr>
              <w:jc w:val="center"/>
              <w:ind w:right="276"/>
              <w:spacing w:after="0" w:line="135" w:lineRule="exact"/>
              <w:rPr>
                <w:sz w:val="20"/>
                <w:szCs w:val="20"/>
                <w:color w:val="auto"/>
              </w:rPr>
            </w:pPr>
            <w:r>
              <w:rPr>
                <w:rFonts w:ascii="Arial" w:cs="Arial" w:eastAsia="Arial" w:hAnsi="Arial"/>
                <w:sz w:val="13"/>
                <w:szCs w:val="13"/>
                <w:b w:val="1"/>
                <w:bCs w:val="1"/>
                <w:color w:val="auto"/>
                <w:w w:val="83"/>
              </w:rPr>
              <w:t>Aggregate</w:t>
            </w:r>
          </w:p>
        </w:tc>
        <w:tc>
          <w:tcPr>
            <w:tcW w:w="280" w:type="dxa"/>
            <w:vAlign w:val="bottom"/>
          </w:tcPr>
          <w:p>
            <w:pPr>
              <w:spacing w:after="0"/>
              <w:rPr>
                <w:sz w:val="11"/>
                <w:szCs w:val="11"/>
                <w:color w:val="auto"/>
              </w:rPr>
            </w:pPr>
          </w:p>
        </w:tc>
        <w:tc>
          <w:tcPr>
            <w:tcW w:w="100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35"/>
        </w:trPr>
        <w:tc>
          <w:tcPr>
            <w:tcW w:w="4380" w:type="dxa"/>
            <w:vAlign w:val="bottom"/>
          </w:tcPr>
          <w:p>
            <w:pPr>
              <w:spacing w:after="0"/>
              <w:rPr>
                <w:sz w:val="11"/>
                <w:szCs w:val="11"/>
                <w:color w:val="auto"/>
              </w:rPr>
            </w:pPr>
          </w:p>
        </w:tc>
        <w:tc>
          <w:tcPr>
            <w:tcW w:w="2440" w:type="dxa"/>
            <w:vAlign w:val="bottom"/>
          </w:tcPr>
          <w:p>
            <w:pPr>
              <w:ind w:left="1100"/>
              <w:spacing w:after="0" w:line="135" w:lineRule="exact"/>
              <w:rPr>
                <w:sz w:val="20"/>
                <w:szCs w:val="20"/>
                <w:color w:val="auto"/>
              </w:rPr>
            </w:pPr>
            <w:r>
              <w:rPr>
                <w:rFonts w:ascii="Arial" w:cs="Arial" w:eastAsia="Arial" w:hAnsi="Arial"/>
                <w:sz w:val="13"/>
                <w:szCs w:val="13"/>
                <w:b w:val="1"/>
                <w:bCs w:val="1"/>
                <w:color w:val="auto"/>
              </w:rPr>
              <w:t>Amount to be</w:t>
            </w:r>
          </w:p>
        </w:tc>
        <w:tc>
          <w:tcPr>
            <w:tcW w:w="300" w:type="dxa"/>
            <w:vAlign w:val="bottom"/>
          </w:tcPr>
          <w:p>
            <w:pPr>
              <w:spacing w:after="0"/>
              <w:rPr>
                <w:sz w:val="11"/>
                <w:szCs w:val="11"/>
                <w:color w:val="auto"/>
              </w:rPr>
            </w:pPr>
          </w:p>
        </w:tc>
        <w:tc>
          <w:tcPr>
            <w:tcW w:w="1260" w:type="dxa"/>
            <w:vAlign w:val="bottom"/>
          </w:tcPr>
          <w:p>
            <w:pPr>
              <w:jc w:val="center"/>
              <w:ind w:right="253"/>
              <w:spacing w:after="0" w:line="135" w:lineRule="exact"/>
              <w:rPr>
                <w:sz w:val="20"/>
                <w:szCs w:val="20"/>
                <w:color w:val="auto"/>
              </w:rPr>
            </w:pPr>
            <w:r>
              <w:rPr>
                <w:rFonts w:ascii="Arial" w:cs="Arial" w:eastAsia="Arial" w:hAnsi="Arial"/>
                <w:sz w:val="13"/>
                <w:szCs w:val="13"/>
                <w:b w:val="1"/>
                <w:bCs w:val="1"/>
                <w:color w:val="auto"/>
                <w:w w:val="90"/>
              </w:rPr>
              <w:t>Offering Price</w:t>
            </w:r>
          </w:p>
        </w:tc>
        <w:tc>
          <w:tcPr>
            <w:tcW w:w="340" w:type="dxa"/>
            <w:vAlign w:val="bottom"/>
          </w:tcPr>
          <w:p>
            <w:pPr>
              <w:spacing w:after="0"/>
              <w:rPr>
                <w:sz w:val="11"/>
                <w:szCs w:val="11"/>
                <w:color w:val="auto"/>
              </w:rPr>
            </w:pPr>
          </w:p>
        </w:tc>
        <w:tc>
          <w:tcPr>
            <w:tcW w:w="1200" w:type="dxa"/>
            <w:vAlign w:val="bottom"/>
          </w:tcPr>
          <w:p>
            <w:pPr>
              <w:jc w:val="center"/>
              <w:ind w:right="276"/>
              <w:spacing w:after="0" w:line="135" w:lineRule="exact"/>
              <w:rPr>
                <w:sz w:val="20"/>
                <w:szCs w:val="20"/>
                <w:color w:val="auto"/>
              </w:rPr>
            </w:pPr>
            <w:r>
              <w:rPr>
                <w:rFonts w:ascii="Arial" w:cs="Arial" w:eastAsia="Arial" w:hAnsi="Arial"/>
                <w:sz w:val="13"/>
                <w:szCs w:val="13"/>
                <w:b w:val="1"/>
                <w:bCs w:val="1"/>
                <w:color w:val="auto"/>
                <w:w w:val="90"/>
              </w:rPr>
              <w:t>Offering</w:t>
            </w:r>
          </w:p>
        </w:tc>
        <w:tc>
          <w:tcPr>
            <w:tcW w:w="280" w:type="dxa"/>
            <w:vAlign w:val="bottom"/>
          </w:tcPr>
          <w:p>
            <w:pPr>
              <w:spacing w:after="0"/>
              <w:rPr>
                <w:sz w:val="11"/>
                <w:szCs w:val="11"/>
                <w:color w:val="auto"/>
              </w:rPr>
            </w:pPr>
          </w:p>
        </w:tc>
        <w:tc>
          <w:tcPr>
            <w:tcW w:w="100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86"/>
              </w:rPr>
              <w:t>Registration</w:t>
            </w:r>
          </w:p>
        </w:tc>
      </w:tr>
      <w:tr>
        <w:trPr>
          <w:trHeight w:val="165"/>
        </w:trPr>
        <w:tc>
          <w:tcPr>
            <w:tcW w:w="438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auto"/>
              </w:rPr>
              <w:t>Title of Securities to be Registered (1)</w:t>
            </w:r>
          </w:p>
        </w:tc>
        <w:tc>
          <w:tcPr>
            <w:tcW w:w="2440" w:type="dxa"/>
            <w:vAlign w:val="bottom"/>
            <w:tcBorders>
              <w:bottom w:val="single" w:sz="8" w:color="auto"/>
            </w:tcBorders>
          </w:tcPr>
          <w:p>
            <w:pPr>
              <w:ind w:left="1120"/>
              <w:spacing w:after="0"/>
              <w:rPr>
                <w:sz w:val="20"/>
                <w:szCs w:val="20"/>
                <w:color w:val="auto"/>
              </w:rPr>
            </w:pPr>
            <w:r>
              <w:rPr>
                <w:rFonts w:ascii="Arial" w:cs="Arial" w:eastAsia="Arial" w:hAnsi="Arial"/>
                <w:sz w:val="13"/>
                <w:szCs w:val="13"/>
                <w:b w:val="1"/>
                <w:bCs w:val="1"/>
                <w:color w:val="auto"/>
              </w:rPr>
              <w:t>Registered(2)</w:t>
            </w: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33"/>
              <w:spacing w:after="0"/>
              <w:rPr>
                <w:sz w:val="20"/>
                <w:szCs w:val="20"/>
                <w:color w:val="auto"/>
              </w:rPr>
            </w:pPr>
            <w:r>
              <w:rPr>
                <w:rFonts w:ascii="Arial" w:cs="Arial" w:eastAsia="Arial" w:hAnsi="Arial"/>
                <w:sz w:val="13"/>
                <w:szCs w:val="13"/>
                <w:b w:val="1"/>
                <w:bCs w:val="1"/>
                <w:color w:val="auto"/>
                <w:w w:val="88"/>
              </w:rPr>
              <w:t>Per Share(3)</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76"/>
              <w:spacing w:after="0"/>
              <w:rPr>
                <w:sz w:val="20"/>
                <w:szCs w:val="20"/>
                <w:color w:val="auto"/>
              </w:rPr>
            </w:pPr>
            <w:r>
              <w:rPr>
                <w:rFonts w:ascii="Arial" w:cs="Arial" w:eastAsia="Arial" w:hAnsi="Arial"/>
                <w:sz w:val="13"/>
                <w:szCs w:val="13"/>
                <w:b w:val="1"/>
                <w:bCs w:val="1"/>
                <w:color w:val="auto"/>
                <w:w w:val="87"/>
              </w:rPr>
              <w:t>Price(3)</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w w:val="80"/>
              </w:rPr>
              <w:t>Fee</w:t>
            </w:r>
          </w:p>
        </w:tc>
      </w:tr>
      <w:tr>
        <w:trPr>
          <w:trHeight w:val="187"/>
        </w:trPr>
        <w:tc>
          <w:tcPr>
            <w:tcW w:w="4380" w:type="dxa"/>
            <w:vAlign w:val="bottom"/>
          </w:tcPr>
          <w:p>
            <w:pPr>
              <w:ind w:left="20"/>
              <w:spacing w:after="0"/>
              <w:rPr>
                <w:sz w:val="20"/>
                <w:szCs w:val="20"/>
                <w:color w:val="auto"/>
              </w:rPr>
            </w:pPr>
            <w:r>
              <w:rPr>
                <w:rFonts w:ascii="Arial" w:cs="Arial" w:eastAsia="Arial" w:hAnsi="Arial"/>
                <w:sz w:val="16"/>
                <w:szCs w:val="16"/>
                <w:color w:val="auto"/>
              </w:rPr>
              <w:t>Common stock, $0.0001 par value, to be issued</w:t>
            </w:r>
          </w:p>
        </w:tc>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4380" w:type="dxa"/>
            <w:vAlign w:val="bottom"/>
          </w:tcPr>
          <w:p>
            <w:pPr>
              <w:ind w:left="200"/>
              <w:spacing w:after="0"/>
              <w:rPr>
                <w:sz w:val="20"/>
                <w:szCs w:val="20"/>
                <w:color w:val="auto"/>
              </w:rPr>
            </w:pPr>
            <w:r>
              <w:rPr>
                <w:rFonts w:ascii="Arial" w:cs="Arial" w:eastAsia="Arial" w:hAnsi="Arial"/>
                <w:sz w:val="16"/>
                <w:szCs w:val="16"/>
                <w:color w:val="auto"/>
              </w:rPr>
              <w:t>pursuant to the Registrant’s Amended and</w:t>
            </w:r>
          </w:p>
        </w:tc>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380" w:type="dxa"/>
            <w:vAlign w:val="bottom"/>
          </w:tcPr>
          <w:p>
            <w:pPr>
              <w:ind w:left="200"/>
              <w:spacing w:after="0"/>
              <w:rPr>
                <w:sz w:val="20"/>
                <w:szCs w:val="20"/>
                <w:color w:val="auto"/>
              </w:rPr>
            </w:pPr>
            <w:r>
              <w:rPr>
                <w:rFonts w:ascii="Arial" w:cs="Arial" w:eastAsia="Arial" w:hAnsi="Arial"/>
                <w:sz w:val="16"/>
                <w:szCs w:val="16"/>
                <w:color w:val="auto"/>
              </w:rPr>
              <w:t>Restated 2015 Omnibus Incentive</w:t>
            </w:r>
          </w:p>
        </w:tc>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3"/>
        </w:trPr>
        <w:tc>
          <w:tcPr>
            <w:tcW w:w="43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Compensation Plan</w:t>
            </w:r>
          </w:p>
        </w:tc>
        <w:tc>
          <w:tcPr>
            <w:tcW w:w="244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w w:val="98"/>
              </w:rPr>
              <w:t>1,494,963 shares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color w:val="auto"/>
              </w:rPr>
              <w:t>55.28</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color w:val="auto"/>
              </w:rPr>
              <w:t>82,641,554.64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color w:val="auto"/>
              </w:rPr>
              <w:t>9,016.19</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32" w:right="20" w:hanging="432"/>
        <w:spacing w:after="0" w:line="266" w:lineRule="auto"/>
        <w:tabs>
          <w:tab w:leader="none" w:pos="432"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(the “Registration Statement”) covers shares of the Registrant’s common stock, $0.0001 par value per share (“Common Stock”), which are issuable pursuant to the Registrant’s Amended and Restated 2015 Omnibus Incentive Compensation Plan (the “Plan”).</w:t>
      </w:r>
    </w:p>
    <w:p>
      <w:pPr>
        <w:spacing w:after="0" w:line="1" w:lineRule="exact"/>
        <w:rPr>
          <w:rFonts w:ascii="Arial" w:cs="Arial" w:eastAsia="Arial" w:hAnsi="Arial"/>
          <w:sz w:val="16"/>
          <w:szCs w:val="16"/>
          <w:color w:val="auto"/>
        </w:rPr>
      </w:pPr>
    </w:p>
    <w:p>
      <w:pPr>
        <w:ind w:left="432" w:right="240" w:hanging="432"/>
        <w:spacing w:after="0" w:line="264" w:lineRule="auto"/>
        <w:tabs>
          <w:tab w:leader="none" w:pos="432"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shall also cover any additional shares of Common Stock which become issuable under the Plan by reason of any stock dividend, stock split, recapitalization or other similar transaction effected without the Registrant’s receipt of consideration which results in an increase in the number of the outstanding shares of Registrant’s Common Stock.</w:t>
      </w:r>
    </w:p>
    <w:p>
      <w:pPr>
        <w:ind w:left="432" w:right="160" w:hanging="432"/>
        <w:spacing w:after="0" w:line="288" w:lineRule="auto"/>
        <w:tabs>
          <w:tab w:leader="none" w:pos="432"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solely for purposes of this offering under Rule 457(h) of the Securities Act of 1933, as amended (the “1933 Act”), on the basis of the average of the high and low prices per share of Registrant’s Common Stock on May 10, 2021 as reported by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319405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895"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2" w:lineRule="exact"/>
        <w:rPr>
          <w:sz w:val="20"/>
          <w:szCs w:val="20"/>
          <w:color w:val="auto"/>
        </w:rPr>
      </w:pPr>
    </w:p>
    <w:p>
      <w:pPr>
        <w:ind w:right="60" w:firstLine="864"/>
        <w:spacing w:after="0" w:line="271" w:lineRule="auto"/>
        <w:rPr>
          <w:sz w:val="20"/>
          <w:szCs w:val="20"/>
          <w:color w:val="auto"/>
        </w:rPr>
      </w:pPr>
      <w:r>
        <w:rPr>
          <w:rFonts w:ascii="Arial" w:cs="Arial" w:eastAsia="Arial" w:hAnsi="Arial"/>
          <w:sz w:val="17"/>
          <w:szCs w:val="17"/>
          <w:color w:val="auto"/>
        </w:rPr>
        <w:t>This Registration Statement relates to the registration of an additional 1,494,963 shares (the “Shares”) of the common stock, par value $0.0001 per share, of Axsome Therapeutics, Inc. (the “Registrant”). The Shares are securities of the same class and relate to the same employee benefit plan, the 2015 Omnibus Incentive Compensation Plan, as those registered pursuant to the Registrant’s registration statements on Form S-8, previously filed with the Securities and Exchange Commission on December 16, 2015, March 29, 2017, August 13, 2018, March 15, 2019 and May 11, 2020. In accordance with General Instruction E of Form S-8, the contents of the Registrant’s registration statements on Form S-8 (File Nos. 333-208579, 333-217002, 333-226824, 333-230296 and 333-238174) filed with the Securities and Exchange Commission on December 16, 2015, March 29, 2017, August 13, 2018, March 15, 2019 and May 11, 2020 are incorporated herein by reference and the information required by Part II is omitted, except as supplemented by the information set forth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0"/>
                <w:szCs w:val="20"/>
                <w:color w:val="auto"/>
              </w:rPr>
            </w:pPr>
          </w:p>
        </w:tc>
        <w:tc>
          <w:tcPr>
            <w:tcW w:w="9940" w:type="dxa"/>
            <w:vAlign w:val="bottom"/>
            <w:gridSpan w:val="15"/>
          </w:tcPr>
          <w:p>
            <w:pPr>
              <w:spacing w:after="0"/>
              <w:rPr>
                <w:sz w:val="20"/>
                <w:szCs w:val="20"/>
                <w:color w:val="auto"/>
              </w:rPr>
            </w:pPr>
            <w:r>
              <w:rPr>
                <w:rFonts w:ascii="Arial" w:cs="Arial" w:eastAsia="Arial" w:hAnsi="Arial"/>
                <w:sz w:val="18"/>
                <w:szCs w:val="18"/>
                <w:b w:val="1"/>
                <w:bCs w:val="1"/>
                <w:color w:val="auto"/>
              </w:rPr>
              <w:t>Exhibit</w:t>
            </w:r>
          </w:p>
        </w:tc>
      </w:tr>
      <w:tr>
        <w:trPr>
          <w:trHeight w:val="297"/>
        </w:trPr>
        <w:tc>
          <w:tcPr>
            <w:tcW w:w="1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40" w:type="dxa"/>
            <w:vAlign w:val="bottom"/>
            <w:tcBorders>
              <w:top w:val="single" w:sz="8" w:color="auto"/>
            </w:tcBorders>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Opinion and Consent of DLA Piper LLP (US).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Consent of DLA Piper LLP (US) is contained in Exhibit 5.1.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Consent of Ernst &amp; Young LLP, Independent Registered Public Accounting Firm.</w:t>
              </w:r>
            </w:hyperlink>
          </w:p>
        </w:tc>
        <w:tc>
          <w:tcPr>
            <w:tcW w:w="4060" w:type="dxa"/>
            <w:vAlign w:val="bottom"/>
            <w:gridSpan w:val="7"/>
          </w:tcPr>
          <w:p>
            <w:pPr>
              <w:spacing w:after="0"/>
              <w:rPr>
                <w:sz w:val="24"/>
                <w:szCs w:val="24"/>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Power of Attorney. Reference is made to page 4 of this Registration Statement.</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w w:val="91"/>
              </w:rPr>
            </w:pPr>
            <w:hyperlink r:id="rId16">
              <w:r>
                <w:rPr>
                  <w:rFonts w:ascii="Arial" w:cs="Arial" w:eastAsia="Arial" w:hAnsi="Arial"/>
                  <w:sz w:val="18"/>
                  <w:szCs w:val="18"/>
                  <w:color w:val="0000EE"/>
                  <w:w w:val="91"/>
                </w:rPr>
                <w:t>Axsome Therapeutics, Inc. Amended and Restated 2015 Omnibus Incentive Compensation Plan (Incorporated by reference, Exhibit 10.2</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6">
              <w:r>
                <w:rPr>
                  <w:rFonts w:ascii="Arial" w:cs="Arial" w:eastAsia="Arial" w:hAnsi="Arial"/>
                  <w:sz w:val="18"/>
                  <w:szCs w:val="18"/>
                  <w:color w:val="0000EE"/>
                  <w:w w:val="91"/>
                </w:rPr>
                <w:t>to Registrant’s Quarterly Report on Form 10-Q, filed on August 10, 2020).</w:t>
              </w:r>
            </w:hyperlink>
          </w:p>
        </w:tc>
        <w:tc>
          <w:tcPr>
            <w:tcW w:w="4480" w:type="dxa"/>
            <w:vAlign w:val="bottom"/>
            <w:tcBorders>
              <w:top w:val="single" w:sz="8" w:color="0000EE"/>
            </w:tcBorders>
            <w:gridSpan w:val="9"/>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w w:val="99"/>
              </w:rPr>
            </w:pPr>
            <w:hyperlink r:id="rId17">
              <w:r>
                <w:rPr>
                  <w:rFonts w:ascii="Arial" w:cs="Arial" w:eastAsia="Arial" w:hAnsi="Arial"/>
                  <w:sz w:val="18"/>
                  <w:szCs w:val="18"/>
                  <w:color w:val="0000EE"/>
                  <w:w w:val="99"/>
                </w:rPr>
                <w:t>Axsome Therapeutics, Inc. Form of Stock Option Agreement pursuant to the Amended and Restated 2015 Omnibus Incentive</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Compensation Plan (Incorporated by reference, Exhibit 99.2 to Registrant’s Registration Statement on Form S-8, File No. 333-208579,</w:t>
              </w:r>
            </w:hyperlink>
          </w:p>
        </w:tc>
        <w:tc>
          <w:tcPr>
            <w:tcW w:w="22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filed December 16, 2015).</w:t>
              </w:r>
            </w:hyperlink>
          </w:p>
        </w:tc>
        <w:tc>
          <w:tcPr>
            <w:tcW w:w="8040" w:type="dxa"/>
            <w:vAlign w:val="bottom"/>
            <w:gridSpan w:val="14"/>
          </w:tcPr>
          <w:p>
            <w:pPr>
              <w:spacing w:after="0"/>
              <w:rPr>
                <w:sz w:val="17"/>
                <w:szCs w:val="17"/>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5"/>
          </w:tcPr>
          <w:p>
            <w:pPr>
              <w:spacing w:after="0"/>
              <w:rPr>
                <w:rFonts w:ascii="Arial" w:cs="Arial" w:eastAsia="Arial" w:hAnsi="Arial"/>
                <w:sz w:val="18"/>
                <w:szCs w:val="18"/>
                <w:color w:val="0000EE"/>
                <w:w w:val="94"/>
              </w:rPr>
            </w:pPr>
            <w:hyperlink r:id="rId18">
              <w:r>
                <w:rPr>
                  <w:rFonts w:ascii="Arial" w:cs="Arial" w:eastAsia="Arial" w:hAnsi="Arial"/>
                  <w:sz w:val="18"/>
                  <w:szCs w:val="18"/>
                  <w:color w:val="0000EE"/>
                  <w:w w:val="94"/>
                </w:rPr>
                <w:t>Axsome Therapeutics, Inc. Form of Restricted Stock Unit Agreement (Non-Executives) pursuant to the Amended and Restated 2015</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15"/>
          </w:tcPr>
          <w:p>
            <w:pPr>
              <w:spacing w:after="0" w:line="196" w:lineRule="exact"/>
              <w:rPr>
                <w:rFonts w:ascii="Arial" w:cs="Arial" w:eastAsia="Arial" w:hAnsi="Arial"/>
                <w:sz w:val="18"/>
                <w:szCs w:val="18"/>
                <w:color w:val="0000EE"/>
                <w:w w:val="92"/>
              </w:rPr>
            </w:pPr>
            <w:hyperlink r:id="rId18">
              <w:r>
                <w:rPr>
                  <w:rFonts w:ascii="Arial" w:cs="Arial" w:eastAsia="Arial" w:hAnsi="Arial"/>
                  <w:sz w:val="18"/>
                  <w:szCs w:val="18"/>
                  <w:color w:val="0000EE"/>
                  <w:w w:val="92"/>
                </w:rPr>
                <w:t>Omnibus Incentive Compensation Plan (Incorporated by reference, Exhibit 99.3 to the Company’s Registration Statement on Form S-8</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8">
              <w:r>
                <w:rPr>
                  <w:rFonts w:ascii="Arial" w:cs="Arial" w:eastAsia="Arial" w:hAnsi="Arial"/>
                  <w:sz w:val="18"/>
                  <w:szCs w:val="18"/>
                  <w:color w:val="0000EE"/>
                  <w:w w:val="92"/>
                </w:rPr>
                <w:t>(File No. 333-238174), filed May 11, 2020).</w:t>
              </w:r>
            </w:hyperlink>
          </w:p>
        </w:tc>
        <w:tc>
          <w:tcPr>
            <w:tcW w:w="6520" w:type="dxa"/>
            <w:vAlign w:val="bottom"/>
            <w:tcBorders>
              <w:top w:val="single" w:sz="8" w:color="0000EE"/>
            </w:tcBorders>
            <w:gridSpan w:val="11"/>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318"/>
        </w:trPr>
        <w:tc>
          <w:tcPr>
            <w:tcW w:w="1140" w:type="dxa"/>
            <w:vAlign w:val="bottom"/>
          </w:tcPr>
          <w:p>
            <w:pPr>
              <w:ind w:left="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Axsome Therapeutics, Inc. Form of Restricted Stock Unit Agreement (Executives and Non-Employee Directors) pursuant to the</w:t>
              </w:r>
            </w:hyperlink>
          </w:p>
        </w:tc>
        <w:tc>
          <w:tcPr>
            <w:tcW w:w="70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Amended and Restated 2015 Omnibus Incentive Compensation Plan (Incorporated by reference, Exhibit 99.4 to the Company’s</w:t>
              </w:r>
            </w:hyperlink>
          </w:p>
        </w:tc>
        <w:tc>
          <w:tcPr>
            <w:tcW w:w="74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9">
              <w:r>
                <w:rPr>
                  <w:rFonts w:ascii="Arial" w:cs="Arial" w:eastAsia="Arial" w:hAnsi="Arial"/>
                  <w:sz w:val="18"/>
                  <w:szCs w:val="18"/>
                  <w:color w:val="0000EE"/>
                  <w:w w:val="91"/>
                </w:rPr>
                <w:t>Registration Statement on Form S-8 (File No. 333-238174), filed May 11, 2020).</w:t>
              </w:r>
            </w:hyperlink>
          </w:p>
        </w:tc>
        <w:tc>
          <w:tcPr>
            <w:tcW w:w="4100" w:type="dxa"/>
            <w:vAlign w:val="bottom"/>
            <w:gridSpan w:val="8"/>
          </w:tcPr>
          <w:p>
            <w:pPr>
              <w:spacing w:after="0"/>
              <w:rPr>
                <w:sz w:val="17"/>
                <w:szCs w:val="17"/>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40" w:firstLine="864"/>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11</w:t>
      </w:r>
      <w:r>
        <w:rPr>
          <w:rFonts w:ascii="Arial" w:cs="Arial" w:eastAsia="Arial" w:hAnsi="Arial"/>
          <w:sz w:val="15"/>
          <w:szCs w:val="15"/>
          <w:color w:val="auto"/>
        </w:rPr>
        <w:t>th</w:t>
      </w:r>
      <w:r>
        <w:rPr>
          <w:rFonts w:ascii="Arial" w:cs="Arial" w:eastAsia="Arial" w:hAnsi="Arial"/>
          <w:sz w:val="18"/>
          <w:szCs w:val="18"/>
          <w:color w:val="auto"/>
        </w:rPr>
        <w:t xml:space="preserve"> day of May, 2021.</w:t>
      </w:r>
    </w:p>
    <w:p>
      <w:pPr>
        <w:spacing w:after="0" w:line="18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AXSOME THERAPEUTICS, INC.</w:t>
      </w:r>
    </w:p>
    <w:p>
      <w:pPr>
        <w:spacing w:after="0" w:line="256" w:lineRule="exact"/>
        <w:rPr>
          <w:sz w:val="20"/>
          <w:szCs w:val="20"/>
          <w:color w:val="auto"/>
        </w:rPr>
      </w:pPr>
    </w:p>
    <w:p>
      <w:pPr>
        <w:ind w:left="5660"/>
        <w:spacing w:after="0"/>
        <w:tabs>
          <w:tab w:leader="none" w:pos="6080" w:val="left"/>
        </w:tabs>
        <w:rPr>
          <w:sz w:val="20"/>
          <w:szCs w:val="20"/>
          <w:color w:val="auto"/>
        </w:rPr>
      </w:pPr>
      <w:r>
        <w:rPr>
          <w:rFonts w:ascii="Arial" w:cs="Arial" w:eastAsia="Arial" w:hAnsi="Arial"/>
          <w:sz w:val="18"/>
          <w:szCs w:val="18"/>
          <w:color w:val="auto"/>
        </w:rPr>
        <w:t>By</w:t>
        <w:tab/>
        <w:t>/s/ Herriot Tabuteau, M.D.</w:t>
      </w:r>
    </w:p>
    <w:p>
      <w:pPr>
        <w:spacing w:after="0" w:line="3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658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 ALL PERSONS BY THESE PRESENTS:</w:t>
      </w:r>
    </w:p>
    <w:p>
      <w:pPr>
        <w:spacing w:after="0" w:line="229" w:lineRule="exact"/>
        <w:rPr>
          <w:sz w:val="20"/>
          <w:szCs w:val="20"/>
          <w:color w:val="auto"/>
        </w:rPr>
      </w:pPr>
    </w:p>
    <w:p>
      <w:pPr>
        <w:ind w:right="20" w:firstLine="864"/>
        <w:spacing w:after="0" w:line="254" w:lineRule="auto"/>
        <w:rPr>
          <w:sz w:val="20"/>
          <w:szCs w:val="20"/>
          <w:color w:val="auto"/>
        </w:rPr>
      </w:pPr>
      <w:r>
        <w:rPr>
          <w:rFonts w:ascii="Arial" w:cs="Arial" w:eastAsia="Arial" w:hAnsi="Arial"/>
          <w:sz w:val="18"/>
          <w:szCs w:val="18"/>
          <w:color w:val="auto"/>
        </w:rPr>
        <w:t>That each person whose signature appears below constitutes and appoints Herriot Tabuteau, M.D., Chief Executive Officer, and Nick Pizzie, Chief Financial Officer,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spacing w:after="0" w:line="165" w:lineRule="exact"/>
        <w:rPr>
          <w:sz w:val="20"/>
          <w:szCs w:val="20"/>
          <w:color w:val="auto"/>
        </w:rPr>
      </w:pPr>
    </w:p>
    <w:p>
      <w:pPr>
        <w:ind w:right="300" w:firstLine="86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42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17"/>
        </w:trPr>
        <w:tc>
          <w:tcPr>
            <w:tcW w:w="4060" w:type="dxa"/>
            <w:vAlign w:val="bottom"/>
          </w:tcPr>
          <w:p>
            <w:pPr>
              <w:jc w:val="center"/>
              <w:spacing w:after="0"/>
              <w:rPr>
                <w:sz w:val="20"/>
                <w:szCs w:val="20"/>
                <w:color w:val="auto"/>
              </w:rPr>
            </w:pPr>
            <w:r>
              <w:rPr>
                <w:rFonts w:ascii="Arial" w:cs="Arial" w:eastAsia="Arial" w:hAnsi="Arial"/>
                <w:sz w:val="18"/>
                <w:szCs w:val="18"/>
                <w:color w:val="auto"/>
                <w:w w:val="91"/>
              </w:rPr>
              <w:t>/s/ Herriot Tabuteau, M.D.</w:t>
            </w:r>
          </w:p>
        </w:tc>
        <w:tc>
          <w:tcPr>
            <w:tcW w:w="3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of the Board</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11, 2021</w:t>
            </w:r>
          </w:p>
        </w:tc>
        <w:tc>
          <w:tcPr>
            <w:tcW w:w="0" w:type="dxa"/>
            <w:vAlign w:val="bottom"/>
          </w:tcPr>
          <w:p>
            <w:pPr>
              <w:spacing w:after="0"/>
              <w:rPr>
                <w:sz w:val="1"/>
                <w:szCs w:val="1"/>
                <w:color w:val="auto"/>
              </w:rPr>
            </w:pPr>
          </w:p>
        </w:tc>
      </w:tr>
      <w:tr>
        <w:trPr>
          <w:trHeight w:val="28"/>
        </w:trPr>
        <w:tc>
          <w:tcPr>
            <w:tcW w:w="406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60" w:type="dxa"/>
            <w:vAlign w:val="bottom"/>
          </w:tcPr>
          <w:p>
            <w:pPr>
              <w:jc w:val="center"/>
              <w:spacing w:after="0"/>
              <w:rPr>
                <w:sz w:val="20"/>
                <w:szCs w:val="20"/>
                <w:color w:val="auto"/>
              </w:rPr>
            </w:pPr>
            <w:r>
              <w:rPr>
                <w:rFonts w:ascii="Arial" w:cs="Arial" w:eastAsia="Arial" w:hAnsi="Arial"/>
                <w:sz w:val="18"/>
                <w:szCs w:val="18"/>
                <w:color w:val="auto"/>
                <w:w w:val="92"/>
              </w:rPr>
              <w:t>1Herriot Tabuteau, M.D.</w:t>
            </w:r>
          </w:p>
        </w:tc>
        <w:tc>
          <w:tcPr>
            <w:tcW w:w="340" w:type="dxa"/>
            <w:vAlign w:val="bottom"/>
            <w:vMerge w:val="continue"/>
          </w:tcPr>
          <w:p>
            <w:pPr>
              <w:spacing w:after="0"/>
              <w:rPr>
                <w:sz w:val="19"/>
                <w:szCs w:val="19"/>
                <w:color w:val="auto"/>
              </w:rPr>
            </w:pPr>
          </w:p>
        </w:tc>
        <w:tc>
          <w:tcPr>
            <w:tcW w:w="460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Nick Pizzie, CPA, MBA</w:t>
            </w:r>
          </w:p>
        </w:tc>
        <w:tc>
          <w:tcPr>
            <w:tcW w:w="3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11, 2021</w:t>
            </w:r>
          </w:p>
        </w:tc>
        <w:tc>
          <w:tcPr>
            <w:tcW w:w="0" w:type="dxa"/>
            <w:vAlign w:val="bottom"/>
          </w:tcPr>
          <w:p>
            <w:pPr>
              <w:spacing w:after="0"/>
              <w:rPr>
                <w:sz w:val="1"/>
                <w:szCs w:val="1"/>
                <w:color w:val="auto"/>
              </w:rPr>
            </w:pP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5"/>
              </w:rPr>
              <w:t>Nick Pizzie, CPA, MBA</w:t>
            </w:r>
          </w:p>
        </w:tc>
        <w:tc>
          <w:tcPr>
            <w:tcW w:w="34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Coleman, M.D.</w:t>
            </w:r>
          </w:p>
        </w:tc>
        <w:tc>
          <w:tcPr>
            <w:tcW w:w="3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11, 2021</w:t>
            </w:r>
          </w:p>
        </w:tc>
        <w:tc>
          <w:tcPr>
            <w:tcW w:w="0" w:type="dxa"/>
            <w:vAlign w:val="bottom"/>
          </w:tcPr>
          <w:p>
            <w:pPr>
              <w:spacing w:after="0"/>
              <w:rPr>
                <w:sz w:val="1"/>
                <w:szCs w:val="1"/>
                <w:color w:val="auto"/>
              </w:rPr>
            </w:pP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4"/>
              </w:rPr>
              <w:t>Mark Coleman, M.D.</w:t>
            </w:r>
          </w:p>
        </w:tc>
        <w:tc>
          <w:tcPr>
            <w:tcW w:w="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Roger Jeffs, Ph.D.</w:t>
            </w:r>
          </w:p>
        </w:tc>
        <w:tc>
          <w:tcPr>
            <w:tcW w:w="3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11, 2021</w:t>
            </w:r>
          </w:p>
        </w:tc>
        <w:tc>
          <w:tcPr>
            <w:tcW w:w="0" w:type="dxa"/>
            <w:vAlign w:val="bottom"/>
          </w:tcPr>
          <w:p>
            <w:pPr>
              <w:spacing w:after="0"/>
              <w:rPr>
                <w:sz w:val="1"/>
                <w:szCs w:val="1"/>
                <w:color w:val="auto"/>
              </w:rPr>
            </w:pP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89"/>
              </w:rPr>
              <w:t>Roger Jeffs, Ph.D.</w:t>
            </w:r>
          </w:p>
        </w:tc>
        <w:tc>
          <w:tcPr>
            <w:tcW w:w="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Mark Saad</w:t>
            </w:r>
          </w:p>
        </w:tc>
        <w:tc>
          <w:tcPr>
            <w:tcW w:w="3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May 11, 2021</w:t>
            </w:r>
          </w:p>
        </w:tc>
        <w:tc>
          <w:tcPr>
            <w:tcW w:w="0" w:type="dxa"/>
            <w:vAlign w:val="bottom"/>
          </w:tcPr>
          <w:p>
            <w:pPr>
              <w:spacing w:after="0"/>
              <w:rPr>
                <w:sz w:val="1"/>
                <w:szCs w:val="1"/>
                <w:color w:val="auto"/>
              </w:rPr>
            </w:pP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89"/>
              </w:rPr>
              <w:t>Mark Saad</w:t>
            </w:r>
          </w:p>
        </w:tc>
        <w:tc>
          <w:tcPr>
            <w:tcW w:w="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 John F. Kennedy Parkway, Suite 120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Short Hills, New Jersey 07078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www.dlapiper.com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 973-520-2550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 973-520-2551</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6"/>
          <w:szCs w:val="16"/>
          <w:color w:val="auto"/>
        </w:rPr>
        <w:t>Attorney Responsible for Short Hills Office:</w:t>
      </w:r>
    </w:p>
    <w:p>
      <w:pPr>
        <w:spacing w:after="0" w:line="32"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Andrew P. Gilbert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May 11,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10007</w:t>
      </w:r>
    </w:p>
    <w:p>
      <w:pPr>
        <w:spacing w:after="0" w:line="21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Re:</w:t>
        <w:tab/>
        <w:t>Axsome Therapeutics, Inc. – Registration Statement on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6831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63"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have acted as counsel to Axsome Therapeutics, Inc., a Delaware corporation (the “Company”), in connection with the preparation of a Registration Statement on Form S-8 (the “Registration Statement”) under the Securities Act of 1933, as amended (the “Act”). The Registration Statement relates to the registration of [•] shares (the “Plan Shares”) of the Company’s common stock, par value $0.0001 per share (the “Common Stock”), issuable under the Axsome Therapeutics, Inc. Amended and Restated 2015 Omnibus Incentive Compensation Plan (the “Plan”), as referenced in the Registration Statement.</w:t>
      </w:r>
    </w:p>
    <w:p>
      <w:pPr>
        <w:spacing w:after="0" w:line="80"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7"/>
          <w:szCs w:val="17"/>
          <w:color w:val="auto"/>
        </w:rPr>
        <w:t>In connection with this opinion letter, we have examined the Registration Statement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5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76" w:lineRule="exact"/>
        <w:rPr>
          <w:sz w:val="20"/>
          <w:szCs w:val="20"/>
          <w:color w:val="auto"/>
        </w:rPr>
      </w:pPr>
    </w:p>
    <w:p>
      <w:pPr>
        <w:jc w:val="both"/>
        <w:ind w:firstLine="589"/>
        <w:spacing w:after="0" w:line="342" w:lineRule="auto"/>
        <w:rPr>
          <w:sz w:val="20"/>
          <w:szCs w:val="20"/>
          <w:color w:val="auto"/>
        </w:rPr>
      </w:pPr>
      <w:r>
        <w:rPr>
          <w:rFonts w:ascii="Arial" w:cs="Arial" w:eastAsia="Arial" w:hAnsi="Arial"/>
          <w:sz w:val="16"/>
          <w:szCs w:val="16"/>
          <w:color w:val="auto"/>
        </w:rPr>
        <w:t>Based upon the foregoing, we are of the opinion that the Plan Shares have been duly authorized and, when and to the extent issued in accordance with the terms of the Plan and any award agreement entered into under the Plan, the Plan Shares will be validly issued, fully paid and nonassessable.</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opinion expressed herein is limited to the Delaware General Corporation Law.</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hereby consent to the use of this opinion as Exhibit 5.1 to the Registration Statement. In giving such consent, we do not hereby admit that we are acting within the category of persons whose consent is required under Section 7 of the Act or the rules or regulations of the U.S. Securities and Exchange Commission thereunder.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DLA Piper LLP (US)</w:t>
      </w:r>
    </w:p>
    <w:p>
      <w:pPr>
        <w:sectPr>
          <w:pgSz w:w="11900" w:h="16838" w:orient="portrait"/>
          <w:cols w:equalWidth="0" w:num="1">
            <w:col w:w="11240"/>
          </w:cols>
          <w:pgMar w:left="320" w:top="33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23.2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13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We consent to the incorporation by reference in the Registration Statement (Form S-8) pertaining to the Axsome Therapeutics, Inc. 2015 Omnibus Incentive Compensation Plan of our reports dated March 1, 2021, with respect to the consolidated financial statements of Axsome Therapeutics, Inc. and the effectiveness of internal control over financial reporting of Axsome Therapeutics, Inc. included in its Annual Report (Form 10-K) for the year ended December 31, 2020, filed with the Securities and Exchange Commission.</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8" w:lineRule="auto"/>
        <w:rPr>
          <w:sz w:val="20"/>
          <w:szCs w:val="20"/>
          <w:color w:val="auto"/>
        </w:rPr>
      </w:pPr>
      <w:r>
        <w:rPr>
          <w:rFonts w:ascii="Arial" w:cs="Arial" w:eastAsia="Arial" w:hAnsi="Arial"/>
          <w:sz w:val="22"/>
          <w:szCs w:val="22"/>
          <w:color w:val="auto"/>
        </w:rPr>
        <w:t>New York, NY</w:t>
      </w:r>
    </w:p>
    <w:p>
      <w:pPr>
        <w:spacing w:after="0"/>
        <w:rPr>
          <w:sz w:val="20"/>
          <w:szCs w:val="20"/>
          <w:color w:val="auto"/>
        </w:rPr>
      </w:pPr>
      <w:r>
        <w:rPr>
          <w:rFonts w:ascii="Arial" w:cs="Arial" w:eastAsia="Arial" w:hAnsi="Arial"/>
          <w:sz w:val="22"/>
          <w:szCs w:val="22"/>
          <w:color w:val="auto"/>
        </w:rPr>
        <w:t>May 11, 2021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16" Type="http://schemas.openxmlformats.org/officeDocument/2006/relationships/hyperlink" Target="http://www.sec.gov/Archives/edgar/data/1579428/000155837020010231/axsm-20200630xex10d2.htm" TargetMode="External"/><Relationship Id="rId17" Type="http://schemas.openxmlformats.org/officeDocument/2006/relationships/hyperlink" Target="http://www.sec.gov/Archives/edgar/data/1579428/000110465915085196/a15-24973_1ex99d2.htm" TargetMode="External"/><Relationship Id="rId18" Type="http://schemas.openxmlformats.org/officeDocument/2006/relationships/hyperlink" Target="http://www.sec.gov/Archives/edgar/data/1579428/000155837020006307/axsm-20200508xex99d3.htm" TargetMode="External"/><Relationship Id="rId19" Type="http://schemas.openxmlformats.org/officeDocument/2006/relationships/hyperlink" Target="http://www.sec.gov/Archives/edgar/data/1579428/000155837020006307/axsm-20200508xex99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2021-05-11T16:51:17Z</dcterms:created>
  <dcterms:modified xsi:type="dcterms:W3CDTF">2021-05-11T16:51:17Z</dcterms:modified>
</cp:coreProperties>
</file>