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3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161290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Date of Report (Date of earliest event reported): November 06,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222885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9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Axsome Therapeutics, Inc.</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247650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900" w:type="dxa"/>
        <w:tblCellMar>
          <w:top w:w="0" w:type="dxa"/>
          <w:left w:w="0" w:type="dxa"/>
          <w:bottom w:w="0" w:type="dxa"/>
          <w:right w:w="0" w:type="dxa"/>
        </w:tblCellMar>
      </w:tblPr>
      <w:tr>
        <w:trPr>
          <w:trHeight w:val="234"/>
        </w:trPr>
        <w:tc>
          <w:tcPr>
            <w:tcW w:w="3400" w:type="dxa"/>
            <w:vAlign w:val="bottom"/>
          </w:tcPr>
          <w:p>
            <w:pPr>
              <w:jc w:val="center"/>
              <w:ind w:right="481"/>
              <w:spacing w:after="0"/>
              <w:rPr>
                <w:sz w:val="20"/>
                <w:szCs w:val="20"/>
                <w:color w:val="auto"/>
              </w:rPr>
            </w:pPr>
            <w:r>
              <w:rPr>
                <w:rFonts w:ascii="Arial" w:cs="Arial" w:eastAsia="Arial" w:hAnsi="Arial"/>
                <w:sz w:val="18"/>
                <w:szCs w:val="18"/>
                <w:b w:val="1"/>
                <w:bCs w:val="1"/>
                <w:color w:val="auto"/>
                <w:w w:val="91"/>
              </w:rPr>
              <w:t>Delaware</w:t>
            </w:r>
          </w:p>
        </w:tc>
        <w:tc>
          <w:tcPr>
            <w:tcW w:w="3120" w:type="dxa"/>
            <w:vAlign w:val="bottom"/>
          </w:tcPr>
          <w:p>
            <w:pPr>
              <w:jc w:val="right"/>
              <w:ind w:right="1321"/>
              <w:spacing w:after="0"/>
              <w:rPr>
                <w:sz w:val="20"/>
                <w:szCs w:val="20"/>
                <w:color w:val="auto"/>
              </w:rPr>
            </w:pPr>
            <w:r>
              <w:rPr>
                <w:rFonts w:ascii="Arial" w:cs="Arial" w:eastAsia="Arial" w:hAnsi="Arial"/>
                <w:sz w:val="18"/>
                <w:szCs w:val="18"/>
                <w:b w:val="1"/>
                <w:bCs w:val="1"/>
                <w:color w:val="auto"/>
              </w:rPr>
              <w:t>001-37635</w:t>
            </w:r>
          </w:p>
        </w:tc>
        <w:tc>
          <w:tcPr>
            <w:tcW w:w="2040" w:type="dxa"/>
            <w:vAlign w:val="bottom"/>
          </w:tcPr>
          <w:p>
            <w:pPr>
              <w:jc w:val="right"/>
              <w:ind w:right="4"/>
              <w:spacing w:after="0"/>
              <w:rPr>
                <w:sz w:val="20"/>
                <w:szCs w:val="20"/>
                <w:color w:val="auto"/>
              </w:rPr>
            </w:pPr>
            <w:r>
              <w:rPr>
                <w:rFonts w:ascii="Arial" w:cs="Arial" w:eastAsia="Arial" w:hAnsi="Arial"/>
                <w:sz w:val="18"/>
                <w:szCs w:val="18"/>
                <w:b w:val="1"/>
                <w:bCs w:val="1"/>
                <w:color w:val="auto"/>
              </w:rPr>
              <w:t>45-4241907</w:t>
            </w:r>
          </w:p>
        </w:tc>
      </w:tr>
      <w:tr>
        <w:trPr>
          <w:trHeight w:val="149"/>
        </w:trPr>
        <w:tc>
          <w:tcPr>
            <w:tcW w:w="3400" w:type="dxa"/>
            <w:vAlign w:val="bottom"/>
          </w:tcPr>
          <w:p>
            <w:pPr>
              <w:jc w:val="center"/>
              <w:ind w:right="481"/>
              <w:spacing w:after="0"/>
              <w:rPr>
                <w:sz w:val="20"/>
                <w:szCs w:val="20"/>
                <w:color w:val="auto"/>
              </w:rPr>
            </w:pPr>
            <w:r>
              <w:rPr>
                <w:rFonts w:ascii="Arial" w:cs="Arial" w:eastAsia="Arial" w:hAnsi="Arial"/>
                <w:sz w:val="13"/>
                <w:szCs w:val="13"/>
                <w:b w:val="1"/>
                <w:bCs w:val="1"/>
                <w:color w:val="auto"/>
                <w:w w:val="95"/>
              </w:rPr>
              <w:t>(State or Other Jurisdiction</w:t>
            </w:r>
          </w:p>
        </w:tc>
        <w:tc>
          <w:tcPr>
            <w:tcW w:w="3120" w:type="dxa"/>
            <w:vAlign w:val="bottom"/>
          </w:tcPr>
          <w:p>
            <w:pPr>
              <w:jc w:val="center"/>
              <w:ind w:right="381"/>
              <w:spacing w:after="0"/>
              <w:rPr>
                <w:sz w:val="20"/>
                <w:szCs w:val="20"/>
                <w:color w:val="auto"/>
              </w:rPr>
            </w:pPr>
            <w:r>
              <w:rPr>
                <w:rFonts w:ascii="Arial" w:cs="Arial" w:eastAsia="Arial" w:hAnsi="Arial"/>
                <w:sz w:val="13"/>
                <w:szCs w:val="13"/>
                <w:b w:val="1"/>
                <w:bCs w:val="1"/>
                <w:color w:val="auto"/>
                <w:w w:val="95"/>
              </w:rPr>
              <w:t>(Commission File Number)</w:t>
            </w:r>
          </w:p>
        </w:tc>
        <w:tc>
          <w:tcPr>
            <w:tcW w:w="2040" w:type="dxa"/>
            <w:vAlign w:val="bottom"/>
          </w:tcPr>
          <w:p>
            <w:pPr>
              <w:jc w:val="center"/>
              <w:ind w:left="924"/>
              <w:spacing w:after="0"/>
              <w:rPr>
                <w:sz w:val="20"/>
                <w:szCs w:val="20"/>
                <w:color w:val="auto"/>
              </w:rPr>
            </w:pPr>
            <w:r>
              <w:rPr>
                <w:rFonts w:ascii="Arial" w:cs="Arial" w:eastAsia="Arial" w:hAnsi="Arial"/>
                <w:sz w:val="13"/>
                <w:szCs w:val="13"/>
                <w:b w:val="1"/>
                <w:bCs w:val="1"/>
                <w:color w:val="auto"/>
                <w:w w:val="98"/>
              </w:rPr>
              <w:t>(IRS Employer</w:t>
            </w:r>
          </w:p>
        </w:tc>
      </w:tr>
      <w:tr>
        <w:trPr>
          <w:trHeight w:val="174"/>
        </w:trPr>
        <w:tc>
          <w:tcPr>
            <w:tcW w:w="3400" w:type="dxa"/>
            <w:vAlign w:val="bottom"/>
          </w:tcPr>
          <w:p>
            <w:pPr>
              <w:jc w:val="center"/>
              <w:ind w:right="481"/>
              <w:spacing w:after="0"/>
              <w:rPr>
                <w:sz w:val="20"/>
                <w:szCs w:val="20"/>
                <w:color w:val="auto"/>
              </w:rPr>
            </w:pPr>
            <w:r>
              <w:rPr>
                <w:rFonts w:ascii="Arial" w:cs="Arial" w:eastAsia="Arial" w:hAnsi="Arial"/>
                <w:sz w:val="13"/>
                <w:szCs w:val="13"/>
                <w:b w:val="1"/>
                <w:bCs w:val="1"/>
                <w:color w:val="auto"/>
                <w:w w:val="96"/>
              </w:rPr>
              <w:t>of Incorporation)</w:t>
            </w:r>
          </w:p>
        </w:tc>
        <w:tc>
          <w:tcPr>
            <w:tcW w:w="312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Arial" w:cs="Arial" w:eastAsia="Arial" w:hAnsi="Arial"/>
                <w:sz w:val="13"/>
                <w:szCs w:val="13"/>
                <w:b w:val="1"/>
                <w:bCs w:val="1"/>
                <w:color w:val="auto"/>
                <w:w w:val="96"/>
              </w:rPr>
              <w:t>Identification No.)</w:t>
            </w:r>
          </w:p>
        </w:tc>
      </w:tr>
      <w:tr>
        <w:trPr>
          <w:trHeight w:val="441"/>
        </w:trPr>
        <w:tc>
          <w:tcPr>
            <w:tcW w:w="3400" w:type="dxa"/>
            <w:vAlign w:val="bottom"/>
          </w:tcPr>
          <w:p>
            <w:pPr>
              <w:jc w:val="center"/>
              <w:ind w:right="481"/>
              <w:spacing w:after="0"/>
              <w:rPr>
                <w:sz w:val="20"/>
                <w:szCs w:val="20"/>
                <w:color w:val="auto"/>
              </w:rPr>
            </w:pPr>
            <w:r>
              <w:rPr>
                <w:rFonts w:ascii="Arial" w:cs="Arial" w:eastAsia="Arial" w:hAnsi="Arial"/>
                <w:sz w:val="18"/>
                <w:szCs w:val="18"/>
                <w:b w:val="1"/>
                <w:bCs w:val="1"/>
                <w:color w:val="auto"/>
                <w:w w:val="91"/>
              </w:rPr>
              <w:t>One World Trade Center, 22nd Floor</w:t>
            </w:r>
          </w:p>
        </w:tc>
        <w:tc>
          <w:tcPr>
            <w:tcW w:w="312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34"/>
        </w:trPr>
        <w:tc>
          <w:tcPr>
            <w:tcW w:w="3400" w:type="dxa"/>
            <w:vAlign w:val="bottom"/>
          </w:tcPr>
          <w:p>
            <w:pPr>
              <w:jc w:val="center"/>
              <w:ind w:right="501"/>
              <w:spacing w:after="0"/>
              <w:rPr>
                <w:sz w:val="20"/>
                <w:szCs w:val="20"/>
                <w:color w:val="auto"/>
              </w:rPr>
            </w:pPr>
            <w:r>
              <w:rPr>
                <w:rFonts w:ascii="Arial" w:cs="Arial" w:eastAsia="Arial" w:hAnsi="Arial"/>
                <w:sz w:val="18"/>
                <w:szCs w:val="18"/>
                <w:b w:val="1"/>
                <w:bCs w:val="1"/>
                <w:color w:val="auto"/>
                <w:w w:val="93"/>
              </w:rPr>
              <w:t>New York, New York</w:t>
            </w:r>
          </w:p>
        </w:tc>
        <w:tc>
          <w:tcPr>
            <w:tcW w:w="3120" w:type="dxa"/>
            <w:vAlign w:val="bottom"/>
          </w:tcPr>
          <w:p>
            <w:pPr>
              <w:spacing w:after="0"/>
              <w:rPr>
                <w:sz w:val="20"/>
                <w:szCs w:val="20"/>
                <w:color w:val="auto"/>
              </w:rPr>
            </w:pPr>
          </w:p>
        </w:tc>
        <w:tc>
          <w:tcPr>
            <w:tcW w:w="2040" w:type="dxa"/>
            <w:vAlign w:val="bottom"/>
          </w:tcPr>
          <w:p>
            <w:pPr>
              <w:jc w:val="right"/>
              <w:ind w:right="224"/>
              <w:spacing w:after="0"/>
              <w:rPr>
                <w:sz w:val="20"/>
                <w:szCs w:val="20"/>
                <w:color w:val="auto"/>
              </w:rPr>
            </w:pPr>
            <w:r>
              <w:rPr>
                <w:rFonts w:ascii="Arial" w:cs="Arial" w:eastAsia="Arial" w:hAnsi="Arial"/>
                <w:sz w:val="18"/>
                <w:szCs w:val="18"/>
                <w:b w:val="1"/>
                <w:bCs w:val="1"/>
                <w:color w:val="auto"/>
              </w:rPr>
              <w:t>10007</w:t>
            </w:r>
          </w:p>
        </w:tc>
      </w:tr>
      <w:tr>
        <w:trPr>
          <w:trHeight w:val="175"/>
        </w:trPr>
        <w:tc>
          <w:tcPr>
            <w:tcW w:w="3400" w:type="dxa"/>
            <w:vAlign w:val="bottom"/>
          </w:tcPr>
          <w:p>
            <w:pPr>
              <w:jc w:val="center"/>
              <w:ind w:right="481"/>
              <w:spacing w:after="0"/>
              <w:rPr>
                <w:sz w:val="20"/>
                <w:szCs w:val="20"/>
                <w:color w:val="auto"/>
              </w:rPr>
            </w:pPr>
            <w:r>
              <w:rPr>
                <w:rFonts w:ascii="Arial" w:cs="Arial" w:eastAsia="Arial" w:hAnsi="Arial"/>
                <w:sz w:val="13"/>
                <w:szCs w:val="13"/>
                <w:b w:val="1"/>
                <w:bCs w:val="1"/>
                <w:color w:val="auto"/>
                <w:w w:val="93"/>
              </w:rPr>
              <w:t>(Address of Principal Executive Offices)</w:t>
            </w:r>
          </w:p>
        </w:tc>
        <w:tc>
          <w:tcPr>
            <w:tcW w:w="312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Arial" w:cs="Arial" w:eastAsia="Arial" w:hAnsi="Arial"/>
                <w:sz w:val="13"/>
                <w:szCs w:val="13"/>
                <w:b w:val="1"/>
                <w:bCs w:val="1"/>
                <w:color w:val="auto"/>
                <w:w w:val="99"/>
              </w:rPr>
              <w:t>(Zip Code)</w:t>
            </w:r>
          </w:p>
        </w:tc>
      </w:tr>
    </w:tbl>
    <w:p>
      <w:pPr>
        <w:spacing w:after="0" w:line="200" w:lineRule="exact"/>
        <w:rPr>
          <w:sz w:val="24"/>
          <w:szCs w:val="24"/>
          <w:color w:val="auto"/>
        </w:rPr>
      </w:pPr>
    </w:p>
    <w:p>
      <w:pPr>
        <w:spacing w:after="0" w:line="22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Including Area Code: (212) 332-3241</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255905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3"/>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41"/>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4280" w:type="dxa"/>
            <w:vAlign w:val="bottom"/>
          </w:tcPr>
          <w:p>
            <w:pPr>
              <w:jc w:val="center"/>
              <w:spacing w:after="0"/>
              <w:rPr>
                <w:sz w:val="20"/>
                <w:szCs w:val="20"/>
                <w:color w:val="auto"/>
              </w:rPr>
            </w:pPr>
            <w:r>
              <w:rPr>
                <w:rFonts w:ascii="Arial" w:cs="Arial" w:eastAsia="Arial" w:hAnsi="Arial"/>
                <w:sz w:val="18"/>
                <w:szCs w:val="18"/>
                <w:color w:val="auto"/>
                <w:w w:val="89"/>
              </w:rPr>
              <w:t>Common Stock, Par Value $0.0001 Per Share</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rPr>
              <w:t>AXSM</w:t>
            </w: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Arial" w:cs="Arial" w:eastAsia="Arial" w:hAnsi="Arial"/>
                <w:sz w:val="18"/>
                <w:szCs w:val="18"/>
                <w:color w:val="auto"/>
                <w:w w:val="91"/>
              </w:rPr>
              <w:t>Nasdaq Global Market</w:t>
            </w:r>
          </w:p>
        </w:tc>
      </w:tr>
    </w:tbl>
    <w:p>
      <w:pPr>
        <w:spacing w:after="0" w:line="201"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7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6"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338455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100" w:firstLine="509"/>
        <w:spacing w:after="0" w:line="263" w:lineRule="auto"/>
        <w:rPr>
          <w:sz w:val="20"/>
          <w:szCs w:val="20"/>
          <w:color w:val="auto"/>
        </w:rPr>
      </w:pPr>
      <w:r>
        <w:rPr>
          <w:rFonts w:ascii="Arial" w:cs="Arial" w:eastAsia="Arial" w:hAnsi="Arial"/>
          <w:sz w:val="18"/>
          <w:szCs w:val="18"/>
          <w:color w:val="auto"/>
        </w:rPr>
        <w:t>On November 6, 2023, Axsome Therapeutics, Inc. (the “Company”) issued a press release announcing its financial results for the three months ended September 30, 2023 and provided an update on the Company’s operations. The Company is furnishing a copy of the press release, which is attached hereto as Exhibit 99.1.</w:t>
      </w:r>
    </w:p>
    <w:p>
      <w:pPr>
        <w:spacing w:after="0" w:line="184" w:lineRule="exact"/>
        <w:rPr>
          <w:sz w:val="20"/>
          <w:szCs w:val="20"/>
          <w:color w:val="auto"/>
        </w:rPr>
      </w:pPr>
    </w:p>
    <w:p>
      <w:pPr>
        <w:ind w:right="60" w:firstLine="509"/>
        <w:spacing w:after="0" w:line="279" w:lineRule="auto"/>
        <w:rPr>
          <w:sz w:val="20"/>
          <w:szCs w:val="20"/>
          <w:color w:val="auto"/>
        </w:rPr>
      </w:pPr>
      <w:r>
        <w:rPr>
          <w:rFonts w:ascii="Arial" w:cs="Arial" w:eastAsia="Arial" w:hAnsi="Arial"/>
          <w:sz w:val="17"/>
          <w:szCs w:val="17"/>
          <w:color w:val="auto"/>
        </w:rPr>
        <w:t>In accordance with General Instruction B.2 of Form 8-K, the information included in Item 2.02 of this Current Report on Form 8-K (including Exhibit 99.1 hereto), shall not be deemed “filed” for the purposes of Section 18 of the Securities Exchange Act of 1934, as amended (the “Exchange Act”), or otherwise subject to the liabilities of that section, nor shall it be deemed incorporated by reference into any filing made by the Company under the Exchange Act or Securities Act of 1933, as amended, except as shall be expressly set forth by specific reference in such a filing.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Exhibit No.</w:t>
            </w:r>
          </w:p>
        </w:tc>
        <w:tc>
          <w:tcPr>
            <w:tcW w:w="140" w:type="dxa"/>
            <w:vAlign w:val="bottom"/>
          </w:tcPr>
          <w:p>
            <w:pPr>
              <w:spacing w:after="0"/>
              <w:rPr>
                <w:sz w:val="14"/>
                <w:szCs w:val="14"/>
                <w:color w:val="auto"/>
              </w:rPr>
            </w:pPr>
          </w:p>
        </w:tc>
        <w:tc>
          <w:tcPr>
            <w:tcW w:w="2860" w:type="dxa"/>
            <w:vAlign w:val="bottom"/>
            <w:tcBorders>
              <w:bottom w:val="single" w:sz="8" w:color="auto"/>
            </w:tcBorders>
          </w:tcPr>
          <w:p>
            <w:pPr>
              <w:spacing w:after="0"/>
              <w:rPr>
                <w:sz w:val="14"/>
                <w:szCs w:val="14"/>
                <w:color w:val="auto"/>
              </w:rPr>
            </w:pPr>
          </w:p>
        </w:tc>
        <w:tc>
          <w:tcPr>
            <w:tcW w:w="7000" w:type="dxa"/>
            <w:vAlign w:val="bottom"/>
            <w:tcBorders>
              <w:bottom w:val="single" w:sz="8" w:color="auto"/>
            </w:tcBorders>
          </w:tcPr>
          <w:p>
            <w:pPr>
              <w:ind w:left="1700"/>
              <w:spacing w:after="0"/>
              <w:rPr>
                <w:sz w:val="20"/>
                <w:szCs w:val="20"/>
                <w:color w:val="auto"/>
              </w:rPr>
            </w:pPr>
            <w:r>
              <w:rPr>
                <w:rFonts w:ascii="Arial" w:cs="Arial" w:eastAsia="Arial" w:hAnsi="Arial"/>
                <w:sz w:val="14"/>
                <w:szCs w:val="14"/>
                <w:b w:val="1"/>
                <w:bCs w:val="1"/>
                <w:color w:val="auto"/>
              </w:rPr>
              <w:t>Description</w:t>
            </w:r>
          </w:p>
        </w:tc>
      </w:tr>
      <w:tr>
        <w:trPr>
          <w:trHeight w:val="210"/>
        </w:trPr>
        <w:tc>
          <w:tcPr>
            <w:tcW w:w="1240" w:type="dxa"/>
            <w:vAlign w:val="bottom"/>
          </w:tcPr>
          <w:p>
            <w:pPr>
              <w:ind w:left="20"/>
              <w:spacing w:after="0"/>
              <w:rPr>
                <w:sz w:val="20"/>
                <w:szCs w:val="20"/>
                <w:color w:val="auto"/>
              </w:rPr>
            </w:pPr>
            <w:r>
              <w:rPr>
                <w:rFonts w:ascii="Arial" w:cs="Arial" w:eastAsia="Arial" w:hAnsi="Arial"/>
                <w:sz w:val="18"/>
                <w:szCs w:val="18"/>
                <w:color w:val="auto"/>
              </w:rPr>
              <w:t>99.1</w:t>
            </w:r>
          </w:p>
        </w:tc>
        <w:tc>
          <w:tcPr>
            <w:tcW w:w="140" w:type="dxa"/>
            <w:vAlign w:val="bottom"/>
          </w:tcPr>
          <w:p>
            <w:pPr>
              <w:spacing w:after="0"/>
              <w:rPr>
                <w:sz w:val="18"/>
                <w:szCs w:val="18"/>
                <w:color w:val="auto"/>
              </w:rPr>
            </w:pPr>
          </w:p>
        </w:tc>
        <w:tc>
          <w:tcPr>
            <w:tcW w:w="9860" w:type="dxa"/>
            <w:vAlign w:val="bottom"/>
            <w:gridSpan w:val="2"/>
          </w:tcPr>
          <w:p>
            <w:pPr>
              <w:spacing w:after="0"/>
              <w:rPr>
                <w:sz w:val="20"/>
                <w:szCs w:val="20"/>
                <w:color w:val="auto"/>
              </w:rPr>
            </w:pPr>
            <w:r>
              <w:rPr>
                <w:rFonts w:ascii="Arial" w:cs="Arial" w:eastAsia="Arial" w:hAnsi="Arial"/>
                <w:sz w:val="18"/>
                <w:szCs w:val="18"/>
                <w:color w:val="0000FF"/>
              </w:rPr>
              <w:t>Press Release dated November 6, 2023.</w:t>
            </w:r>
          </w:p>
        </w:tc>
      </w:tr>
      <w:tr>
        <w:trPr>
          <w:trHeight w:val="20"/>
        </w:trPr>
        <w:tc>
          <w:tcPr>
            <w:tcW w:w="12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860" w:type="dxa"/>
            <w:vAlign w:val="bottom"/>
            <w:tcBorders>
              <w:right w:val="single" w:sz="8" w:color="0000EE"/>
            </w:tcBorders>
            <w:shd w:val="clear" w:color="auto" w:fill="0000FF"/>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r>
      <w:tr>
        <w:trPr>
          <w:trHeight w:val="237"/>
        </w:trPr>
        <w:tc>
          <w:tcPr>
            <w:tcW w:w="1240" w:type="dxa"/>
            <w:vAlign w:val="bottom"/>
          </w:tcPr>
          <w:p>
            <w:pPr>
              <w:ind w:left="20"/>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20"/>
                <w:szCs w:val="20"/>
                <w:color w:val="auto"/>
              </w:rPr>
            </w:pPr>
          </w:p>
        </w:tc>
        <w:tc>
          <w:tcPr>
            <w:tcW w:w="986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547"/>
        </w:trPr>
        <w:tc>
          <w:tcPr>
            <w:tcW w:w="1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c>
          <w:tcPr>
            <w:tcW w:w="7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4940" w:type="dxa"/>
            <w:vAlign w:val="bottom"/>
          </w:tcPr>
          <w:p>
            <w:pPr>
              <w:ind w:left="20"/>
              <w:spacing w:after="0"/>
              <w:rPr>
                <w:sz w:val="20"/>
                <w:szCs w:val="20"/>
                <w:color w:val="auto"/>
              </w:rPr>
            </w:pPr>
            <w:r>
              <w:rPr>
                <w:rFonts w:ascii="Arial" w:cs="Arial" w:eastAsia="Arial" w:hAnsi="Arial"/>
                <w:sz w:val="18"/>
                <w:szCs w:val="18"/>
                <w:b w:val="1"/>
                <w:bCs w:val="1"/>
                <w:color w:val="auto"/>
              </w:rPr>
              <w:t>Axsome Therapeutics, Inc.</w:t>
            </w:r>
          </w:p>
        </w:tc>
      </w:tr>
      <w:tr>
        <w:trPr>
          <w:trHeight w:val="614"/>
        </w:trPr>
        <w:tc>
          <w:tcPr>
            <w:tcW w:w="560" w:type="dxa"/>
            <w:vAlign w:val="bottom"/>
          </w:tcPr>
          <w:p>
            <w:pPr>
              <w:ind w:left="20"/>
              <w:spacing w:after="0"/>
              <w:rPr>
                <w:sz w:val="20"/>
                <w:szCs w:val="20"/>
                <w:color w:val="auto"/>
              </w:rPr>
            </w:pPr>
            <w:r>
              <w:rPr>
                <w:rFonts w:ascii="Arial" w:cs="Arial" w:eastAsia="Arial" w:hAnsi="Arial"/>
                <w:sz w:val="18"/>
                <w:szCs w:val="18"/>
                <w:color w:val="auto"/>
              </w:rPr>
              <w:t>Date:</w:t>
            </w:r>
          </w:p>
        </w:tc>
        <w:tc>
          <w:tcPr>
            <w:tcW w:w="3280" w:type="dxa"/>
            <w:vAlign w:val="bottom"/>
          </w:tcPr>
          <w:p>
            <w:pPr>
              <w:ind w:left="140"/>
              <w:spacing w:after="0"/>
              <w:rPr>
                <w:sz w:val="20"/>
                <w:szCs w:val="20"/>
                <w:color w:val="auto"/>
              </w:rPr>
            </w:pPr>
            <w:r>
              <w:rPr>
                <w:rFonts w:ascii="Arial" w:cs="Arial" w:eastAsia="Arial" w:hAnsi="Arial"/>
                <w:sz w:val="18"/>
                <w:szCs w:val="18"/>
                <w:color w:val="auto"/>
              </w:rPr>
              <w:t>November 6, 2023</w:t>
            </w:r>
          </w:p>
        </w:tc>
        <w:tc>
          <w:tcPr>
            <w:tcW w:w="2460" w:type="dxa"/>
            <w:vAlign w:val="bottom"/>
          </w:tcPr>
          <w:p>
            <w:pPr>
              <w:ind w:left="182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Herriot Tabuteau, M.D.</w:t>
            </w:r>
          </w:p>
        </w:tc>
      </w:tr>
      <w:tr>
        <w:trPr>
          <w:trHeight w:val="202"/>
        </w:trPr>
        <w:tc>
          <w:tcPr>
            <w:tcW w:w="56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2460" w:type="dxa"/>
            <w:vAlign w:val="bottom"/>
          </w:tcPr>
          <w:p>
            <w:pPr>
              <w:ind w:left="1820"/>
              <w:spacing w:after="0" w:line="201" w:lineRule="exact"/>
              <w:rPr>
                <w:sz w:val="20"/>
                <w:szCs w:val="20"/>
                <w:color w:val="auto"/>
              </w:rPr>
            </w:pPr>
            <w:r>
              <w:rPr>
                <w:rFonts w:ascii="Arial" w:cs="Arial" w:eastAsia="Arial" w:hAnsi="Arial"/>
                <w:sz w:val="18"/>
                <w:szCs w:val="18"/>
                <w:color w:val="auto"/>
              </w:rPr>
              <w:t>Name:</w:t>
            </w:r>
          </w:p>
        </w:tc>
        <w:tc>
          <w:tcPr>
            <w:tcW w:w="4940" w:type="dxa"/>
            <w:vAlign w:val="bottom"/>
          </w:tcPr>
          <w:p>
            <w:pPr>
              <w:ind w:left="20"/>
              <w:spacing w:after="0" w:line="201" w:lineRule="exact"/>
              <w:rPr>
                <w:sz w:val="20"/>
                <w:szCs w:val="20"/>
                <w:color w:val="auto"/>
              </w:rPr>
            </w:pPr>
            <w:r>
              <w:rPr>
                <w:rFonts w:ascii="Arial" w:cs="Arial" w:eastAsia="Arial" w:hAnsi="Arial"/>
                <w:sz w:val="18"/>
                <w:szCs w:val="18"/>
                <w:color w:val="auto"/>
              </w:rPr>
              <w:t>Herriot Tabuteau, M.D.</w:t>
            </w:r>
          </w:p>
        </w:tc>
      </w:tr>
      <w:tr>
        <w:trPr>
          <w:trHeight w:val="244"/>
        </w:trPr>
        <w:tc>
          <w:tcPr>
            <w:tcW w:w="56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2460" w:type="dxa"/>
            <w:vAlign w:val="bottom"/>
          </w:tcPr>
          <w:p>
            <w:pPr>
              <w:ind w:left="1820"/>
              <w:spacing w:after="0"/>
              <w:rPr>
                <w:sz w:val="20"/>
                <w:szCs w:val="20"/>
                <w:color w:val="auto"/>
              </w:rPr>
            </w:pPr>
            <w:r>
              <w:rPr>
                <w:rFonts w:ascii="Arial" w:cs="Arial" w:eastAsia="Arial" w:hAnsi="Arial"/>
                <w:sz w:val="18"/>
                <w:szCs w:val="18"/>
                <w:color w:val="auto"/>
              </w:rPr>
              <w:t>Title:</w:t>
            </w:r>
          </w:p>
        </w:tc>
        <w:tc>
          <w:tcPr>
            <w:tcW w:w="494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507"/>
        </w:trPr>
        <w:tc>
          <w:tcPr>
            <w:tcW w:w="560" w:type="dxa"/>
            <w:vAlign w:val="bottom"/>
            <w:tcBorders>
              <w:bottom w:val="single" w:sz="8" w:color="9A9A9A"/>
            </w:tcBorders>
          </w:tcPr>
          <w:p>
            <w:pPr>
              <w:spacing w:after="0"/>
              <w:rPr>
                <w:sz w:val="24"/>
                <w:szCs w:val="24"/>
                <w:color w:val="auto"/>
              </w:rPr>
            </w:pPr>
          </w:p>
        </w:tc>
        <w:tc>
          <w:tcPr>
            <w:tcW w:w="328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4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822960" cy="4629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2296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Axsome Therapeutics Reports Third Quarter 2023 Financial Results and Provides Business Update</w:t>
      </w:r>
    </w:p>
    <w:p>
      <w:pPr>
        <w:spacing w:after="0" w:line="202" w:lineRule="exact"/>
        <w:rPr>
          <w:sz w:val="20"/>
          <w:szCs w:val="20"/>
          <w:color w:val="auto"/>
        </w:rPr>
      </w:pPr>
    </w:p>
    <w:p>
      <w:pPr>
        <w:ind w:left="2040"/>
        <w:spacing w:after="0"/>
        <w:rPr>
          <w:sz w:val="20"/>
          <w:szCs w:val="20"/>
          <w:color w:val="auto"/>
        </w:rPr>
      </w:pPr>
      <w:r>
        <w:rPr>
          <w:rFonts w:ascii="Arial" w:cs="Arial" w:eastAsia="Arial" w:hAnsi="Arial"/>
          <w:sz w:val="18"/>
          <w:szCs w:val="18"/>
          <w:i w:val="1"/>
          <w:iCs w:val="1"/>
          <w:color w:val="auto"/>
        </w:rPr>
        <w:t>Total 3Q 2023 product revenue of $57.8 million, representing 244% year-over-year growth</w:t>
      </w:r>
    </w:p>
    <w:p>
      <w:pPr>
        <w:spacing w:after="0" w:line="177" w:lineRule="exact"/>
        <w:rPr>
          <w:sz w:val="20"/>
          <w:szCs w:val="20"/>
          <w:color w:val="auto"/>
        </w:rPr>
      </w:pPr>
    </w:p>
    <w:p>
      <w:pPr>
        <w:ind w:left="1680"/>
        <w:spacing w:after="0"/>
        <w:rPr>
          <w:sz w:val="20"/>
          <w:szCs w:val="20"/>
          <w:color w:val="auto"/>
        </w:rPr>
      </w:pPr>
      <w:r>
        <w:rPr>
          <w:rFonts w:ascii="Arial" w:cs="Arial" w:eastAsia="Arial" w:hAnsi="Arial"/>
          <w:sz w:val="18"/>
          <w:szCs w:val="18"/>
          <w:i w:val="1"/>
          <w:iCs w:val="1"/>
          <w:color w:val="auto"/>
        </w:rPr>
        <w:t>Auvelity</w:t>
      </w:r>
      <w:r>
        <w:rPr>
          <w:rFonts w:ascii="Arial" w:cs="Arial" w:eastAsia="Arial" w:hAnsi="Arial"/>
          <w:sz w:val="24"/>
          <w:szCs w:val="24"/>
          <w:i w:val="1"/>
          <w:iCs w:val="1"/>
          <w:color w:val="auto"/>
          <w:vertAlign w:val="superscript"/>
        </w:rPr>
        <w:t>®</w:t>
      </w:r>
      <w:r>
        <w:rPr>
          <w:rFonts w:ascii="Arial" w:cs="Arial" w:eastAsia="Arial" w:hAnsi="Arial"/>
          <w:sz w:val="18"/>
          <w:szCs w:val="18"/>
          <w:i w:val="1"/>
          <w:iCs w:val="1"/>
          <w:color w:val="auto"/>
        </w:rPr>
        <w:t xml:space="preserve"> 3Q 2023 net product sales of $37.7 million, representing 36% quarter-over-quarter growth</w:t>
      </w:r>
    </w:p>
    <w:p>
      <w:pPr>
        <w:spacing w:after="0" w:line="129" w:lineRule="exact"/>
        <w:rPr>
          <w:sz w:val="20"/>
          <w:szCs w:val="20"/>
          <w:color w:val="auto"/>
        </w:rPr>
      </w:pPr>
    </w:p>
    <w:p>
      <w:pPr>
        <w:ind w:left="1820"/>
        <w:spacing w:after="0"/>
        <w:rPr>
          <w:sz w:val="20"/>
          <w:szCs w:val="20"/>
          <w:color w:val="auto"/>
        </w:rPr>
      </w:pPr>
      <w:r>
        <w:rPr>
          <w:rFonts w:ascii="Arial" w:cs="Arial" w:eastAsia="Arial" w:hAnsi="Arial"/>
          <w:sz w:val="18"/>
          <w:szCs w:val="18"/>
          <w:i w:val="1"/>
          <w:iCs w:val="1"/>
          <w:color w:val="auto"/>
        </w:rPr>
        <w:t>Sunosi</w:t>
      </w:r>
      <w:r>
        <w:rPr>
          <w:rFonts w:ascii="Arial" w:cs="Arial" w:eastAsia="Arial" w:hAnsi="Arial"/>
          <w:sz w:val="24"/>
          <w:szCs w:val="24"/>
          <w:i w:val="1"/>
          <w:iCs w:val="1"/>
          <w:color w:val="auto"/>
          <w:vertAlign w:val="superscript"/>
        </w:rPr>
        <w:t>®</w:t>
      </w:r>
      <w:r>
        <w:rPr>
          <w:rFonts w:ascii="Arial" w:cs="Arial" w:eastAsia="Arial" w:hAnsi="Arial"/>
          <w:sz w:val="18"/>
          <w:szCs w:val="18"/>
          <w:i w:val="1"/>
          <w:iCs w:val="1"/>
          <w:color w:val="auto"/>
        </w:rPr>
        <w:t xml:space="preserve"> 3Q 2023 net product revenue of $20.1 million, representing 20% year-over-year growth</w:t>
      </w:r>
    </w:p>
    <w:p>
      <w:pPr>
        <w:spacing w:after="0" w:line="110" w:lineRule="exact"/>
        <w:rPr>
          <w:sz w:val="20"/>
          <w:szCs w:val="20"/>
          <w:color w:val="auto"/>
        </w:rPr>
      </w:pPr>
    </w:p>
    <w:p>
      <w:pPr>
        <w:jc w:val="center"/>
        <w:spacing w:after="0" w:line="464" w:lineRule="auto"/>
        <w:rPr>
          <w:sz w:val="20"/>
          <w:szCs w:val="20"/>
          <w:color w:val="auto"/>
        </w:rPr>
      </w:pPr>
      <w:r>
        <w:rPr>
          <w:rFonts w:ascii="Arial" w:cs="Arial" w:eastAsia="Arial" w:hAnsi="Arial"/>
          <w:sz w:val="18"/>
          <w:szCs w:val="18"/>
          <w:i w:val="1"/>
          <w:iCs w:val="1"/>
          <w:color w:val="auto"/>
        </w:rPr>
        <w:t>SYMPHONY Phase 3 trial of AXS-12 in narcolepsy on track for completion of enrollment in 4Q 2023; topline results expected in 1Q 2024 Phase 3 trial of solriamfetol in binge eating disorder on track for initiation in 4Q 2023 Phase 3 trial of solriamfetol in shift work disorder on track for initiation in 1Q 2024 NDA submission for AXS-14 in fibromyalgia and NDA resubmission for AXS-07 in migraine both expected in 1H 2024 Company to host conference call today at 8:00 AM Eastern</w:t>
      </w:r>
    </w:p>
    <w:p>
      <w:pPr>
        <w:spacing w:after="0" w:line="322"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NEW YORK, Nov. 6, 2023 (GLOBE NEWSWIRE) -- Axsome Therapeutics, Inc. (NASDAQ: AXSM), a biopharmaceutical company developing and delivering novel therapies for the management of central nervous system (CNS) disorders, today reported financial results for the third quarter ended September 30, 2023.</w:t>
      </w:r>
    </w:p>
    <w:p>
      <w:pPr>
        <w:spacing w:after="0" w:line="14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“Results for the third quarter evidenced significant revenue momentum for Axsome driven by solid performance from both Auvelity and Sunosi. This positive trajectory will be further enhanced by our Auvelity field force expansion, which is expected to be fully implemented by the first quarter,” said Herriot Tabuteau, MD, Chief Executive Officer of Axsome. “We also progressed our extensive and innovative neuroscience pipeline in the quarter, enabling Axsome to potentially execute on numerous important clinical and regulatory milestones over the next 12 months, including multiple potential NDA submissions, and multiple pivotal trial readouts and initiations in new indications. The advancement of our commercial portfolio and clinical programs positions us well to continue to deliver potentially life-changing new medicines to patients with serious brain disorders, and to their health care providers.”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2023 Financial Highlights</w:t>
      </w:r>
    </w:p>
    <w:p>
      <w:pPr>
        <w:spacing w:after="0" w:line="195" w:lineRule="exact"/>
        <w:rPr>
          <w:sz w:val="20"/>
          <w:szCs w:val="20"/>
          <w:color w:val="auto"/>
        </w:rPr>
      </w:pPr>
    </w:p>
    <w:p>
      <w:pPr>
        <w:jc w:val="both"/>
        <w:ind w:left="380" w:right="20" w:hanging="372"/>
        <w:spacing w:after="0" w:line="247" w:lineRule="auto"/>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Total product revenue for the third quarter of 2023 was $57.8 million, representing 244% year-over-year growth, and consisting of net product sales of $57.1 million and royalty revenue of $0.7 million. Total product revenue for the comparable period in 2022 was $16.8 million.</w:t>
      </w:r>
    </w:p>
    <w:p>
      <w:pPr>
        <w:spacing w:after="0" w:line="80" w:lineRule="exact"/>
        <w:rPr>
          <w:rFonts w:ascii="Arial" w:cs="Arial" w:eastAsia="Arial" w:hAnsi="Arial"/>
          <w:sz w:val="18"/>
          <w:szCs w:val="18"/>
          <w:color w:val="auto"/>
        </w:rPr>
      </w:pPr>
    </w:p>
    <w:p>
      <w:pPr>
        <w:ind w:left="380" w:hanging="372"/>
        <w:spacing w:after="0" w:line="225" w:lineRule="auto"/>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Auvelity</w:t>
      </w:r>
      <w:r>
        <w:rPr>
          <w:rFonts w:ascii="Arial" w:cs="Arial" w:eastAsia="Arial" w:hAnsi="Arial"/>
          <w:sz w:val="24"/>
          <w:szCs w:val="24"/>
          <w:color w:val="auto"/>
          <w:vertAlign w:val="superscript"/>
        </w:rPr>
        <w:t>®</w:t>
      </w:r>
      <w:r>
        <w:rPr>
          <w:rFonts w:ascii="Arial" w:cs="Arial" w:eastAsia="Arial" w:hAnsi="Arial"/>
          <w:sz w:val="18"/>
          <w:szCs w:val="18"/>
          <w:color w:val="auto"/>
        </w:rPr>
        <w:t xml:space="preserve"> net product sales were $37.7 million for the third quarter of 2023, representing a 36% sequential increase versus the second quarter of 2023. There were no Auvelity sales in the comparable 2022 period as the product was launched in October 2022.</w:t>
      </w:r>
    </w:p>
    <w:p>
      <w:pPr>
        <w:spacing w:after="0" w:line="87" w:lineRule="exact"/>
        <w:rPr>
          <w:rFonts w:ascii="Arial" w:cs="Arial" w:eastAsia="Arial" w:hAnsi="Arial"/>
          <w:sz w:val="18"/>
          <w:szCs w:val="18"/>
          <w:color w:val="auto"/>
        </w:rPr>
      </w:pPr>
    </w:p>
    <w:p>
      <w:pPr>
        <w:jc w:val="both"/>
        <w:ind w:left="380" w:hanging="372"/>
        <w:spacing w:after="0" w:line="228" w:lineRule="auto"/>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Sunosi</w:t>
      </w:r>
      <w:r>
        <w:rPr>
          <w:rFonts w:ascii="Arial" w:cs="Arial" w:eastAsia="Arial" w:hAnsi="Arial"/>
          <w:sz w:val="24"/>
          <w:szCs w:val="24"/>
          <w:color w:val="auto"/>
          <w:vertAlign w:val="superscript"/>
        </w:rPr>
        <w:t>®</w:t>
      </w:r>
      <w:r>
        <w:rPr>
          <w:rFonts w:ascii="Arial" w:cs="Arial" w:eastAsia="Arial" w:hAnsi="Arial"/>
          <w:sz w:val="18"/>
          <w:szCs w:val="18"/>
          <w:color w:val="auto"/>
        </w:rPr>
        <w:t xml:space="preserve"> net product revenue was $20.1 million for the third quarter of 2023, representing 20% year-over-year growth, and consisting of $19.4 million in net product sales and $0.7 million in royalty revenue associated with Sunosi sales in out-licensed territories. Sunosi net product revenue for the comparable period in 2022 was $16.8 million.</w:t>
      </w:r>
    </w:p>
    <w:p>
      <w:pPr>
        <w:spacing w:after="0" w:line="83" w:lineRule="exact"/>
        <w:rPr>
          <w:rFonts w:ascii="Arial" w:cs="Arial" w:eastAsia="Arial" w:hAnsi="Arial"/>
          <w:sz w:val="18"/>
          <w:szCs w:val="18"/>
          <w:color w:val="auto"/>
        </w:rPr>
      </w:pPr>
    </w:p>
    <w:p>
      <w:pPr>
        <w:ind w:left="380" w:hanging="372"/>
        <w:spacing w:after="0" w:line="260" w:lineRule="auto"/>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Total cost of revenue was $6.5 million for the third quarter of 2023. Total cost of revenue for the comparable period in 2022 was $1.9 million.</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202565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both"/>
        <w:ind w:left="380" w:hanging="372"/>
        <w:spacing w:after="0" w:line="243" w:lineRule="auto"/>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Research and development (R&amp;D) expenses were $28.8 million for the third quarter of 2023, compared to $14.9 million for the comparable period in 2022. The increase was primarily related to the FOCUS trial of solriamfetol in ADHD, the advancement of ongoing trials of AXS-05 and AXS-12, CMC costs associated with the anticipated NDAs for AXS-07 and AXS-14, post-marketing commitments for Auvelity and Sunosi, and higher personnel costs, including non-cash stock-based compensation.</w:t>
      </w:r>
    </w:p>
    <w:p>
      <w:pPr>
        <w:spacing w:after="0" w:line="79" w:lineRule="exact"/>
        <w:rPr>
          <w:rFonts w:ascii="Arial" w:cs="Arial" w:eastAsia="Arial" w:hAnsi="Arial"/>
          <w:sz w:val="18"/>
          <w:szCs w:val="18"/>
          <w:color w:val="auto"/>
        </w:rPr>
      </w:pPr>
    </w:p>
    <w:p>
      <w:pPr>
        <w:jc w:val="both"/>
        <w:ind w:left="380" w:hanging="372"/>
        <w:spacing w:after="0" w:line="247" w:lineRule="auto"/>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Selling, general, and administrative (SG&amp;A) expenses were $83.2 million for the third quarter of 2023, compared to $40.9 million for the comparable period in 2022. The increase was primarily related to commercial activities for Auvelity and Sunosi, and higher personnel costs related to organizational growth, including non-cash stock-based compensation.</w:t>
      </w:r>
    </w:p>
    <w:p>
      <w:pPr>
        <w:spacing w:after="0" w:line="157" w:lineRule="exact"/>
        <w:rPr>
          <w:rFonts w:ascii="Arial" w:cs="Arial" w:eastAsia="Arial" w:hAnsi="Arial"/>
          <w:sz w:val="18"/>
          <w:szCs w:val="18"/>
          <w:color w:val="auto"/>
        </w:rPr>
      </w:pPr>
    </w:p>
    <w:p>
      <w:pPr>
        <w:jc w:val="both"/>
        <w:ind w:left="380" w:hanging="372"/>
        <w:spacing w:after="0" w:line="243" w:lineRule="auto"/>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loss for the third quarter of 2023 was $62.2 million or $(1.32) per share, compared to a net loss of $44.8 million, or $(1.07) per share, for the comparable period in 2022. The net loss in the third quarter of 2023 reflects $18.0 million in non-cash charges, comprised of $16.4 million of non-cash stock-based compensation expense, and $1.6 million of non-cash intangible asset amortization, partially offset by a $0.2 million of non-cash fair value remeasurement gain in contingent consideration.</w:t>
      </w:r>
    </w:p>
    <w:p>
      <w:pPr>
        <w:spacing w:after="0" w:line="147" w:lineRule="exact"/>
        <w:rPr>
          <w:rFonts w:ascii="Arial" w:cs="Arial" w:eastAsia="Arial" w:hAnsi="Arial"/>
          <w:sz w:val="18"/>
          <w:szCs w:val="18"/>
          <w:color w:val="auto"/>
        </w:rPr>
      </w:pPr>
    </w:p>
    <w:p>
      <w:pPr>
        <w:ind w:left="380" w:hanging="372"/>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Cash and cash equivalents totaled $416.6 million at September 30, 2023, compared to $200.8 million at December 31, 2022.</w:t>
      </w:r>
    </w:p>
    <w:p>
      <w:pPr>
        <w:spacing w:after="0" w:line="184" w:lineRule="exact"/>
        <w:rPr>
          <w:rFonts w:ascii="Arial" w:cs="Arial" w:eastAsia="Arial" w:hAnsi="Arial"/>
          <w:sz w:val="18"/>
          <w:szCs w:val="18"/>
          <w:color w:val="auto"/>
        </w:rPr>
      </w:pPr>
    </w:p>
    <w:p>
      <w:pPr>
        <w:ind w:left="380" w:hanging="372"/>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Shares of common stock outstanding were 47,317,381 at September 30, 2023.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Guidance</w:t>
      </w:r>
    </w:p>
    <w:p>
      <w:pPr>
        <w:spacing w:after="0" w:line="181" w:lineRule="exact"/>
        <w:rPr>
          <w:sz w:val="20"/>
          <w:szCs w:val="20"/>
          <w:color w:val="auto"/>
        </w:rPr>
      </w:pPr>
    </w:p>
    <w:p>
      <w:pPr>
        <w:ind w:left="380" w:hanging="372"/>
        <w:spacing w:after="0" w:line="260"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Axsome believes that its current cash is sufficient to fund anticipated operations into cash flow positivity, based on the current operating plan.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Highlights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Auvelity</w:t>
      </w:r>
    </w:p>
    <w:p>
      <w:pPr>
        <w:spacing w:after="0" w:line="181" w:lineRule="exact"/>
        <w:rPr>
          <w:sz w:val="20"/>
          <w:szCs w:val="20"/>
          <w:color w:val="auto"/>
        </w:rPr>
      </w:pPr>
    </w:p>
    <w:p>
      <w:pPr>
        <w:ind w:left="380" w:right="20" w:hanging="372"/>
        <w:spacing w:after="0" w:line="260"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Approximately 69,000 prescriptions were reported for Auvelity in the third quarter of 2023, representing a 30% sequential increase versus the second quarter of 2023.</w:t>
      </w:r>
    </w:p>
    <w:p>
      <w:pPr>
        <w:spacing w:after="0" w:line="132" w:lineRule="exact"/>
        <w:rPr>
          <w:rFonts w:ascii="Arial" w:cs="Arial" w:eastAsia="Arial" w:hAnsi="Arial"/>
          <w:sz w:val="18"/>
          <w:szCs w:val="18"/>
          <w:color w:val="auto"/>
        </w:rPr>
      </w:pPr>
    </w:p>
    <w:p>
      <w:pPr>
        <w:jc w:val="both"/>
        <w:ind w:left="380" w:hanging="372"/>
        <w:spacing w:after="0" w:line="241"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previously announced expansion of the Auvelity sales force from 162 to 260 representatives is underway and expected to be completed in the fourth quarter of 2023. The expansion will allow for greater reach and call frequency to target health care providers, potentially significantly broadening the prescriber base for Auvelity. The increased number of representatives together with Axsome’s innovative Digital Centric Commercialization (DCC™) platform is expected to increase our reach from approximately 26,000 to approximately 44,000 physicians who write approximately 90% of new branded antidepressant prescriptions.</w:t>
      </w:r>
    </w:p>
    <w:p>
      <w:pPr>
        <w:spacing w:after="0" w:line="162" w:lineRule="exact"/>
        <w:rPr>
          <w:rFonts w:ascii="Arial" w:cs="Arial" w:eastAsia="Arial" w:hAnsi="Arial"/>
          <w:sz w:val="18"/>
          <w:szCs w:val="18"/>
          <w:color w:val="auto"/>
        </w:rPr>
      </w:pPr>
    </w:p>
    <w:p>
      <w:pPr>
        <w:jc w:val="both"/>
        <w:ind w:left="380" w:hanging="372"/>
        <w:spacing w:after="0" w:line="247"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Payer coverage for Auvelity across all channels is currently at approximately 70% of all covered lives. The proportion of lives covered in the commercial and government (Medicare and Medicaid) channels are approximately 48% and approximately 100%, respectively. Active discussions with payers continue as coverage further expands and evolves.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Sunosi</w:t>
      </w:r>
    </w:p>
    <w:p>
      <w:pPr>
        <w:spacing w:after="0" w:line="181" w:lineRule="exact"/>
        <w:rPr>
          <w:sz w:val="20"/>
          <w:szCs w:val="20"/>
          <w:color w:val="auto"/>
        </w:rPr>
      </w:pPr>
    </w:p>
    <w:p>
      <w:pPr>
        <w:ind w:left="380" w:hanging="372"/>
        <w:spacing w:after="0" w:line="260" w:lineRule="auto"/>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Third quarter 2023 U.S. Sunosi total prescriptions increased by 16% versus the third quarter of 2022, and sequentially by 5% versus the second quarter of 2023.</w:t>
      </w:r>
    </w:p>
    <w:p>
      <w:pPr>
        <w:spacing w:after="0" w:line="145" w:lineRule="exact"/>
        <w:rPr>
          <w:rFonts w:ascii="Arial" w:cs="Arial" w:eastAsia="Arial" w:hAnsi="Arial"/>
          <w:sz w:val="18"/>
          <w:szCs w:val="18"/>
          <w:color w:val="auto"/>
        </w:rPr>
      </w:pPr>
    </w:p>
    <w:p>
      <w:pPr>
        <w:ind w:left="380" w:right="20" w:hanging="372"/>
        <w:spacing w:after="0" w:line="260" w:lineRule="auto"/>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Sunosi maintains broad payer coverage in the commercial channel with 95% of lives covered. Currently 83% of total lives across all channels are covered.</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202565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3"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Development Pipeline</w:t>
      </w:r>
    </w:p>
    <w:p>
      <w:pPr>
        <w:spacing w:after="0" w:line="195"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Axsome is advancing a portfolio of differentiated, patent-protected, CNS product candidates with five in active clinical development. Recent and anticipated progress for key pipeline programs is summarized below.</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AXS-05</w:t>
      </w:r>
    </w:p>
    <w:p>
      <w:pPr>
        <w:spacing w:after="0" w:line="18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AXS-05 (dextromethorphan-bupropion) is Axsome’s novel, oral, investigational NMDA receptor antagonist and sigma-1 agonist being developed for Alzheimer’s disease (AD) agitation and smoking cessation. AXS-05 has been granted U.S. Food and Drug Administration (FDA) Breakthrough Therapy designation for AD agitation.</w:t>
      </w:r>
    </w:p>
    <w:p>
      <w:pPr>
        <w:spacing w:after="0" w:line="147" w:lineRule="exact"/>
        <w:rPr>
          <w:sz w:val="20"/>
          <w:szCs w:val="20"/>
          <w:color w:val="auto"/>
        </w:rPr>
      </w:pPr>
    </w:p>
    <w:p>
      <w:pPr>
        <w:jc w:val="both"/>
        <w:ind w:left="380" w:hanging="372"/>
        <w:spacing w:after="0" w:line="247" w:lineRule="auto"/>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Alzheimer’s Disease Agitation: </w:t>
      </w:r>
      <w:r>
        <w:rPr>
          <w:rFonts w:ascii="Arial" w:cs="Arial" w:eastAsia="Arial" w:hAnsi="Arial"/>
          <w:sz w:val="18"/>
          <w:szCs w:val="18"/>
          <w:color w:val="auto"/>
        </w:rPr>
        <w:t>The Company is conducting the ADVANCE-2 study, a Phase 3, placebo-controlled, parallel group trial</w:t>
      </w:r>
      <w:r>
        <w:rPr>
          <w:rFonts w:ascii="Arial" w:cs="Arial" w:eastAsia="Arial" w:hAnsi="Arial"/>
          <w:sz w:val="18"/>
          <w:szCs w:val="18"/>
          <w:b w:val="1"/>
          <w:bCs w:val="1"/>
          <w:color w:val="auto"/>
        </w:rPr>
        <w:t xml:space="preserve"> </w:t>
      </w:r>
      <w:r>
        <w:rPr>
          <w:rFonts w:ascii="Arial" w:cs="Arial" w:eastAsia="Arial" w:hAnsi="Arial"/>
          <w:sz w:val="18"/>
          <w:szCs w:val="18"/>
          <w:color w:val="auto"/>
        </w:rPr>
        <w:t>to assess the efficacy and safety of AXS-05 for the treatment of AD agitation. Patients completing ADVANCE-2 may enter a long-term open label safety extension trial. Based on current enrollment trends, the Company continues to anticipate completion of ADVANCE-2 in the first half of 2024.</w:t>
      </w:r>
    </w:p>
    <w:p>
      <w:pPr>
        <w:spacing w:after="0" w:line="133" w:lineRule="exact"/>
        <w:rPr>
          <w:rFonts w:ascii="Arial" w:cs="Arial" w:eastAsia="Arial" w:hAnsi="Arial"/>
          <w:sz w:val="18"/>
          <w:szCs w:val="18"/>
          <w:color w:val="auto"/>
        </w:rPr>
      </w:pPr>
    </w:p>
    <w:p>
      <w:pPr>
        <w:ind w:left="380" w:hanging="372"/>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Smoking Cessation: </w:t>
      </w:r>
      <w:r>
        <w:rPr>
          <w:rFonts w:ascii="Arial" w:cs="Arial" w:eastAsia="Arial" w:hAnsi="Arial"/>
          <w:sz w:val="18"/>
          <w:szCs w:val="18"/>
          <w:color w:val="auto"/>
        </w:rPr>
        <w:t>Axsome plans to initiate a pivotal Phase 2/3 trial in this indication in 2024.</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AXS-07</w:t>
      </w:r>
    </w:p>
    <w:p>
      <w:pPr>
        <w:spacing w:after="0" w:line="195"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AXS-07 (MoSEIC™ meloxicam-rizatriptan) is Axsome’s novel, oral, rapidly absorbed, multi-mechanistic, investigational medicine for the acute treatment of migraine.</w:t>
      </w:r>
    </w:p>
    <w:p>
      <w:pPr>
        <w:spacing w:after="0" w:line="122" w:lineRule="exact"/>
        <w:rPr>
          <w:sz w:val="20"/>
          <w:szCs w:val="20"/>
          <w:color w:val="auto"/>
        </w:rPr>
      </w:pPr>
    </w:p>
    <w:p>
      <w:pPr>
        <w:jc w:val="both"/>
        <w:ind w:left="380" w:hanging="372"/>
        <w:spacing w:after="0" w:line="247" w:lineRule="auto"/>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Migraine: </w:t>
      </w:r>
      <w:r>
        <w:rPr>
          <w:rFonts w:ascii="Arial" w:cs="Arial" w:eastAsia="Arial" w:hAnsi="Arial"/>
          <w:sz w:val="18"/>
          <w:szCs w:val="18"/>
          <w:color w:val="auto"/>
        </w:rPr>
        <w:t>Manufacturing activities related to the planned resubmission of the New Drug Application (NDA) for AXS-07 for the acute</w:t>
      </w:r>
      <w:r>
        <w:rPr>
          <w:rFonts w:ascii="Arial" w:cs="Arial" w:eastAsia="Arial" w:hAnsi="Arial"/>
          <w:sz w:val="18"/>
          <w:szCs w:val="18"/>
          <w:b w:val="1"/>
          <w:bCs w:val="1"/>
          <w:color w:val="auto"/>
        </w:rPr>
        <w:t xml:space="preserve"> </w:t>
      </w:r>
      <w:r>
        <w:rPr>
          <w:rFonts w:ascii="Arial" w:cs="Arial" w:eastAsia="Arial" w:hAnsi="Arial"/>
          <w:sz w:val="18"/>
          <w:szCs w:val="18"/>
          <w:color w:val="auto"/>
        </w:rPr>
        <w:t>treatment of migraine continue to progress. The Company continues to anticipate resubmission of the NDA in the first half of 2024. No additional clinical efficacy or safety trials have been requested by the FDA for a resubmission of the NDA. The Company expects the NDA resubmission to be designated as Class 2 which would be subject to a six-month review.</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AXS-12</w:t>
      </w:r>
    </w:p>
    <w:p>
      <w:pPr>
        <w:spacing w:after="0" w:line="195"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AXS-12 (reboxetine) is Axsome’s novel, oral, potent, investigational highly selective norepinephrine reuptake inhibitor for the treatment of narcolepsy. AXS-12 has been granted FDA Orphan Drug designation for the treatment of narcolepsy.</w:t>
      </w:r>
    </w:p>
    <w:p>
      <w:pPr>
        <w:spacing w:after="0" w:line="122" w:lineRule="exact"/>
        <w:rPr>
          <w:sz w:val="20"/>
          <w:szCs w:val="20"/>
          <w:color w:val="auto"/>
        </w:rPr>
      </w:pPr>
    </w:p>
    <w:p>
      <w:pPr>
        <w:jc w:val="both"/>
        <w:ind w:left="380" w:hanging="372"/>
        <w:spacing w:after="0" w:line="253" w:lineRule="auto"/>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Narcolepsy: </w:t>
      </w:r>
      <w:r>
        <w:rPr>
          <w:rFonts w:ascii="Arial" w:cs="Arial" w:eastAsia="Arial" w:hAnsi="Arial"/>
          <w:sz w:val="18"/>
          <w:szCs w:val="18"/>
          <w:color w:val="auto"/>
        </w:rPr>
        <w:t>Axsome is conducting the SYMPHONY study, a Phase 3 randomized, multicenter, double-blind, placebo-controlled,</w:t>
      </w:r>
      <w:r>
        <w:rPr>
          <w:rFonts w:ascii="Arial" w:cs="Arial" w:eastAsia="Arial" w:hAnsi="Arial"/>
          <w:sz w:val="18"/>
          <w:szCs w:val="18"/>
          <w:b w:val="1"/>
          <w:bCs w:val="1"/>
          <w:color w:val="auto"/>
        </w:rPr>
        <w:t xml:space="preserve"> </w:t>
      </w:r>
      <w:r>
        <w:rPr>
          <w:rFonts w:ascii="Arial" w:cs="Arial" w:eastAsia="Arial" w:hAnsi="Arial"/>
          <w:sz w:val="18"/>
          <w:szCs w:val="18"/>
          <w:color w:val="auto"/>
        </w:rPr>
        <w:t>parallel-group trial of AXS-12 in the treatment of narcolepsy. The Company is on track to complete enrollment in the SYMPHONY trial in the fourth quarter of 2023, with announcement of topline results anticipated in the first quarter of 2024.</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AXS-14</w:t>
      </w:r>
    </w:p>
    <w:p>
      <w:pPr>
        <w:spacing w:after="0" w:line="195"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AXS-14 (esreboxetine) is Axsome’s novel, oral, potent, investigational highly selective norepinephrine reuptake inhibitor for the management of fibromyalgia. Esreboxetine, the SS-enantiomer of reboxetine, is more potent and selective than racemic reboxetine.</w:t>
      </w:r>
    </w:p>
    <w:p>
      <w:pPr>
        <w:spacing w:after="0" w:line="122" w:lineRule="exact"/>
        <w:rPr>
          <w:sz w:val="20"/>
          <w:szCs w:val="20"/>
          <w:color w:val="auto"/>
        </w:rPr>
      </w:pPr>
    </w:p>
    <w:p>
      <w:pPr>
        <w:jc w:val="both"/>
        <w:ind w:left="380" w:hanging="372"/>
        <w:spacing w:after="0" w:line="247" w:lineRule="auto"/>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Fibromyalgia: </w:t>
      </w:r>
      <w:r>
        <w:rPr>
          <w:rFonts w:ascii="Arial" w:cs="Arial" w:eastAsia="Arial" w:hAnsi="Arial"/>
          <w:sz w:val="18"/>
          <w:szCs w:val="18"/>
          <w:color w:val="auto"/>
        </w:rPr>
        <w:t>Pre-submission activities related to the planned submission of an NDA to the FDA for AXS-14 for the management of</w:t>
      </w:r>
      <w:r>
        <w:rPr>
          <w:rFonts w:ascii="Arial" w:cs="Arial" w:eastAsia="Arial" w:hAnsi="Arial"/>
          <w:sz w:val="18"/>
          <w:szCs w:val="18"/>
          <w:b w:val="1"/>
          <w:bCs w:val="1"/>
          <w:color w:val="auto"/>
        </w:rPr>
        <w:t xml:space="preserve"> </w:t>
      </w:r>
      <w:r>
        <w:rPr>
          <w:rFonts w:ascii="Arial" w:cs="Arial" w:eastAsia="Arial" w:hAnsi="Arial"/>
          <w:sz w:val="18"/>
          <w:szCs w:val="18"/>
          <w:color w:val="auto"/>
        </w:rPr>
        <w:t>fibromyalgia are ongoing. The Company expects to submit the NDA in the first quarter of 2024. AXS-14 has previously met the primary endpoints and demonstrated positive and statistically significant results in a Phase 3 and in a Phase 2 trial for the management of fibromyalgia.</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202565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t>Solriamfetol</w:t>
      </w:r>
    </w:p>
    <w:p>
      <w:pPr>
        <w:spacing w:after="0" w:line="181"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Solriamfetol is Axsome’s dopamine and norepinephrine reuptake inhibitor and TAAR1 agonist in development for the treatment of attention deficit hyperactivity disorder (ADHD), binge eating disorder (BED), and excessive sleepiness associated with shift work disorder (SWD).</w:t>
      </w:r>
    </w:p>
    <w:p>
      <w:pPr>
        <w:spacing w:after="0" w:line="136" w:lineRule="exact"/>
        <w:rPr>
          <w:sz w:val="20"/>
          <w:szCs w:val="20"/>
          <w:color w:val="auto"/>
        </w:rPr>
      </w:pPr>
    </w:p>
    <w:p>
      <w:pPr>
        <w:jc w:val="both"/>
        <w:ind w:left="380" w:hanging="372"/>
        <w:spacing w:after="0" w:line="253" w:lineRule="auto"/>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Attention Deficit Hyperactivity Disorder: </w:t>
      </w:r>
      <w:r>
        <w:rPr>
          <w:rFonts w:ascii="Arial" w:cs="Arial" w:eastAsia="Arial" w:hAnsi="Arial"/>
          <w:sz w:val="18"/>
          <w:szCs w:val="18"/>
          <w:color w:val="auto"/>
        </w:rPr>
        <w:t>Axsome is conducting the FOCUS study, a Phase 3, randomized, double-blind, placebo-controlled, multicenter trial to assess the efficacy and safety of solriamfetol for the treatment of ADHD in adults. The Company anticipates topline results from the FOCUS trial in the second half of 2024.</w:t>
      </w:r>
    </w:p>
    <w:p>
      <w:pPr>
        <w:spacing w:after="0" w:line="128" w:lineRule="exact"/>
        <w:rPr>
          <w:rFonts w:ascii="Arial" w:cs="Arial" w:eastAsia="Arial" w:hAnsi="Arial"/>
          <w:sz w:val="18"/>
          <w:szCs w:val="18"/>
          <w:color w:val="auto"/>
        </w:rPr>
      </w:pPr>
    </w:p>
    <w:p>
      <w:pPr>
        <w:jc w:val="both"/>
        <w:ind w:left="380" w:hanging="372"/>
        <w:spacing w:after="0" w:line="233" w:lineRule="auto"/>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Binge Eating Disorder: </w:t>
      </w:r>
      <w:r>
        <w:rPr>
          <w:rFonts w:ascii="Arial" w:cs="Arial" w:eastAsia="Arial" w:hAnsi="Arial"/>
          <w:sz w:val="18"/>
          <w:szCs w:val="18"/>
          <w:color w:val="auto"/>
        </w:rPr>
        <w:t>The Company previously received positive pre-IND meeting feedback from the FDA on the development of</w:t>
      </w:r>
      <w:r>
        <w:rPr>
          <w:rFonts w:ascii="Arial" w:cs="Arial" w:eastAsia="Arial" w:hAnsi="Arial"/>
          <w:sz w:val="18"/>
          <w:szCs w:val="18"/>
          <w:b w:val="1"/>
          <w:bCs w:val="1"/>
          <w:color w:val="auto"/>
        </w:rPr>
        <w:t xml:space="preserve"> </w:t>
      </w:r>
      <w:r>
        <w:rPr>
          <w:rFonts w:ascii="Arial" w:cs="Arial" w:eastAsia="Arial" w:hAnsi="Arial"/>
          <w:sz w:val="18"/>
          <w:szCs w:val="18"/>
          <w:color w:val="auto"/>
        </w:rPr>
        <w:t>solriamfetol for the treatment of BED and is on track to initiate a Phase 3 trial in the fourth quarter of 2023. BED is the most common eating disorder, affecting an estimated 2.8% of U.S. adults.</w:t>
      </w:r>
      <w:r>
        <w:rPr>
          <w:rFonts w:ascii="Arial" w:cs="Arial" w:eastAsia="Arial" w:hAnsi="Arial"/>
          <w:sz w:val="24"/>
          <w:szCs w:val="24"/>
          <w:color w:val="auto"/>
          <w:vertAlign w:val="superscript"/>
        </w:rPr>
        <w:t>1</w:t>
      </w:r>
      <w:r>
        <w:rPr>
          <w:rFonts w:ascii="Arial" w:cs="Arial" w:eastAsia="Arial" w:hAnsi="Arial"/>
          <w:sz w:val="18"/>
          <w:szCs w:val="18"/>
          <w:color w:val="auto"/>
        </w:rPr>
        <w:t xml:space="preserve"> Treatment options are limited with only one product currently approved for the treatment of BED.</w:t>
      </w:r>
    </w:p>
    <w:p>
      <w:pPr>
        <w:spacing w:after="0" w:line="141" w:lineRule="exact"/>
        <w:rPr>
          <w:rFonts w:ascii="Arial" w:cs="Arial" w:eastAsia="Arial" w:hAnsi="Arial"/>
          <w:sz w:val="18"/>
          <w:szCs w:val="18"/>
          <w:color w:val="auto"/>
        </w:rPr>
      </w:pPr>
    </w:p>
    <w:p>
      <w:pPr>
        <w:jc w:val="both"/>
        <w:ind w:left="380" w:hanging="372"/>
        <w:spacing w:after="0" w:line="233" w:lineRule="auto"/>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Shift Work Disorder: </w:t>
      </w:r>
      <w:r>
        <w:rPr>
          <w:rFonts w:ascii="Arial" w:cs="Arial" w:eastAsia="Arial" w:hAnsi="Arial"/>
          <w:sz w:val="18"/>
          <w:szCs w:val="18"/>
          <w:color w:val="auto"/>
        </w:rPr>
        <w:t>Axsome previously received positive pre-IND meeting feedback from the FDA on the development of solriamfetol</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treatment of excessive sleepiness (ES) associated with SWD, a potentially new indication for solriamfetol and is on track to initiate a Phase 3 trial in patients with ES associated with SWD in the first quarter of 2024. An estimated one third of Americans perform shift work, of whom 10-43% are diagnosed with SWD.</w:t>
      </w:r>
      <w:r>
        <w:rPr>
          <w:rFonts w:ascii="Arial" w:cs="Arial" w:eastAsia="Arial" w:hAnsi="Arial"/>
          <w:sz w:val="24"/>
          <w:szCs w:val="24"/>
          <w:color w:val="auto"/>
          <w:vertAlign w:val="superscript"/>
        </w:rPr>
        <w:t>2-4</w:t>
      </w:r>
      <w:r>
        <w:rPr>
          <w:rFonts w:ascii="Arial" w:cs="Arial" w:eastAsia="Arial" w:hAnsi="Arial"/>
          <w:sz w:val="18"/>
          <w:szCs w:val="18"/>
          <w:color w:val="auto"/>
        </w:rPr>
        <w:t xml:space="preserve"> Treatment options are limited with only two products currently approved for the treatment of ES associated with SWD.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Update</w:t>
      </w:r>
    </w:p>
    <w:p>
      <w:pPr>
        <w:spacing w:after="0" w:line="181" w:lineRule="exact"/>
        <w:rPr>
          <w:sz w:val="20"/>
          <w:szCs w:val="20"/>
          <w:color w:val="auto"/>
        </w:rPr>
      </w:pPr>
    </w:p>
    <w:p>
      <w:pPr>
        <w:jc w:val="both"/>
        <w:ind w:left="380" w:hanging="372"/>
        <w:spacing w:after="0" w:line="247" w:lineRule="auto"/>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October 2023, Axsome announced the appointment of Susan Mahony, PhD, to its board of directors. Dr. Mahony most recently served on the board of directors of Horizon Therapeutics from 2019 until its acquisition by Amgen in October 2023. She was formerly Senior Vice President of Eli Lilly and Company and President of Lilly Oncology.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Anticipated Milestones</w:t>
      </w:r>
    </w:p>
    <w:p>
      <w:pPr>
        <w:spacing w:after="0" w:line="104" w:lineRule="exact"/>
        <w:rPr>
          <w:sz w:val="20"/>
          <w:szCs w:val="20"/>
          <w:color w:val="auto"/>
        </w:rPr>
      </w:pPr>
    </w:p>
    <w:p>
      <w:pPr>
        <w:ind w:left="760" w:hanging="378"/>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Regulatory and Commercial:</w:t>
      </w:r>
    </w:p>
    <w:p>
      <w:pPr>
        <w:spacing w:after="0" w:line="208" w:lineRule="exact"/>
        <w:rPr>
          <w:sz w:val="20"/>
          <w:szCs w:val="20"/>
          <w:color w:val="auto"/>
        </w:rPr>
      </w:pPr>
    </w:p>
    <w:p>
      <w:pPr>
        <w:ind w:left="1500" w:hanging="369"/>
        <w:spacing w:after="0"/>
        <w:tabs>
          <w:tab w:leader="none" w:pos="15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AXS-07 for migraine, NDA resubmission (1H 2024)</w:t>
      </w:r>
    </w:p>
    <w:p>
      <w:pPr>
        <w:spacing w:after="0" w:line="184" w:lineRule="exact"/>
        <w:rPr>
          <w:rFonts w:ascii="Arial" w:cs="Arial" w:eastAsia="Arial" w:hAnsi="Arial"/>
          <w:sz w:val="18"/>
          <w:szCs w:val="18"/>
          <w:color w:val="auto"/>
        </w:rPr>
      </w:pPr>
    </w:p>
    <w:p>
      <w:pPr>
        <w:ind w:left="1500" w:hanging="369"/>
        <w:spacing w:after="0"/>
        <w:tabs>
          <w:tab w:leader="none" w:pos="15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AXS-14 for fibromyalgia, NDA submission (1Q 2024)</w:t>
      </w:r>
    </w:p>
    <w:p>
      <w:pPr>
        <w:spacing w:after="0" w:line="174" w:lineRule="exact"/>
        <w:rPr>
          <w:rFonts w:ascii="Arial" w:cs="Arial" w:eastAsia="Arial" w:hAnsi="Arial"/>
          <w:sz w:val="18"/>
          <w:szCs w:val="18"/>
          <w:color w:val="auto"/>
        </w:rPr>
      </w:pPr>
    </w:p>
    <w:p>
      <w:pPr>
        <w:ind w:left="760" w:hanging="378"/>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Clinical Trial Results:</w:t>
      </w:r>
    </w:p>
    <w:p>
      <w:pPr>
        <w:spacing w:after="0" w:line="208" w:lineRule="exact"/>
        <w:rPr>
          <w:rFonts w:ascii="Arial" w:cs="Arial" w:eastAsia="Arial" w:hAnsi="Arial"/>
          <w:sz w:val="18"/>
          <w:szCs w:val="18"/>
          <w:color w:val="auto"/>
        </w:rPr>
      </w:pPr>
    </w:p>
    <w:p>
      <w:pPr>
        <w:ind w:left="1500" w:hanging="369"/>
        <w:spacing w:after="0"/>
        <w:tabs>
          <w:tab w:leader="none" w:pos="15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Phase 3 SYMPHONY trial of AXS-12 in narcolepsy (1Q 2024)</w:t>
      </w:r>
    </w:p>
    <w:p>
      <w:pPr>
        <w:spacing w:after="0" w:line="184" w:lineRule="exact"/>
        <w:rPr>
          <w:rFonts w:ascii="Arial" w:cs="Arial" w:eastAsia="Arial" w:hAnsi="Arial"/>
          <w:sz w:val="18"/>
          <w:szCs w:val="18"/>
          <w:color w:val="auto"/>
        </w:rPr>
      </w:pPr>
    </w:p>
    <w:p>
      <w:pPr>
        <w:ind w:left="1500" w:hanging="369"/>
        <w:spacing w:after="0"/>
        <w:tabs>
          <w:tab w:leader="none" w:pos="15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Phase 3 ADVANCE-2 trial of AXS-05 for Alzheimer’s disease agitation (1H 2024)</w:t>
      </w:r>
    </w:p>
    <w:p>
      <w:pPr>
        <w:spacing w:after="0" w:line="184" w:lineRule="exact"/>
        <w:rPr>
          <w:rFonts w:ascii="Arial" w:cs="Arial" w:eastAsia="Arial" w:hAnsi="Arial"/>
          <w:sz w:val="18"/>
          <w:szCs w:val="18"/>
          <w:color w:val="auto"/>
        </w:rPr>
      </w:pPr>
    </w:p>
    <w:p>
      <w:pPr>
        <w:ind w:left="1500" w:hanging="369"/>
        <w:spacing w:after="0"/>
        <w:tabs>
          <w:tab w:leader="none" w:pos="15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Phase 3 FOCUS trial of solriamfetol in ADHD in adults (2H 2024)</w:t>
      </w:r>
    </w:p>
    <w:p>
      <w:pPr>
        <w:spacing w:after="0" w:line="188" w:lineRule="exact"/>
        <w:rPr>
          <w:rFonts w:ascii="Arial" w:cs="Arial" w:eastAsia="Arial" w:hAnsi="Arial"/>
          <w:sz w:val="18"/>
          <w:szCs w:val="18"/>
          <w:color w:val="auto"/>
        </w:rPr>
      </w:pPr>
    </w:p>
    <w:p>
      <w:pPr>
        <w:ind w:left="760" w:hanging="378"/>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Clinical Trial Initiations:</w:t>
      </w:r>
    </w:p>
    <w:p>
      <w:pPr>
        <w:spacing w:after="0" w:line="194" w:lineRule="exact"/>
        <w:rPr>
          <w:rFonts w:ascii="Arial" w:cs="Arial" w:eastAsia="Arial" w:hAnsi="Arial"/>
          <w:sz w:val="18"/>
          <w:szCs w:val="18"/>
          <w:color w:val="auto"/>
        </w:rPr>
      </w:pPr>
    </w:p>
    <w:p>
      <w:pPr>
        <w:ind w:left="1500" w:hanging="369"/>
        <w:spacing w:after="0"/>
        <w:tabs>
          <w:tab w:leader="none" w:pos="15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Phase 3 trial of solriamfetol for BED (4Q 2023)</w:t>
      </w:r>
    </w:p>
    <w:p>
      <w:pPr>
        <w:spacing w:after="0" w:line="184" w:lineRule="exact"/>
        <w:rPr>
          <w:rFonts w:ascii="Arial" w:cs="Arial" w:eastAsia="Arial" w:hAnsi="Arial"/>
          <w:sz w:val="18"/>
          <w:szCs w:val="18"/>
          <w:color w:val="auto"/>
        </w:rPr>
      </w:pPr>
    </w:p>
    <w:p>
      <w:pPr>
        <w:ind w:left="1500" w:hanging="369"/>
        <w:spacing w:after="0"/>
        <w:tabs>
          <w:tab w:leader="none" w:pos="15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Phase 3 trial of solriamfetol in SWD (1Q 2024)</w:t>
      </w:r>
    </w:p>
    <w:p>
      <w:pPr>
        <w:spacing w:after="0" w:line="198" w:lineRule="exact"/>
        <w:rPr>
          <w:rFonts w:ascii="Arial" w:cs="Arial" w:eastAsia="Arial" w:hAnsi="Arial"/>
          <w:sz w:val="18"/>
          <w:szCs w:val="18"/>
          <w:color w:val="auto"/>
        </w:rPr>
      </w:pPr>
    </w:p>
    <w:p>
      <w:pPr>
        <w:ind w:left="1500" w:hanging="369"/>
        <w:spacing w:after="0"/>
        <w:tabs>
          <w:tab w:leader="none" w:pos="15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Pivotal Phase 2/3 trial of AXS-05 for smoking cessation (2024)</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202565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Conference Call Information</w:t>
      </w:r>
    </w:p>
    <w:p>
      <w:pPr>
        <w:spacing w:after="0" w:line="18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Axsome will host a conference call and webcast today at 8:00 AM Eastern to discuss third quarter 2023 financial results as well as to provide a corporate update. To participate in the live conference call, please dial (877) 405-1239 (toll-free domestic). The live webcast can be accessed on the "Webcasts &amp; Presentations" page of the "Investors" section of the Company’s website at axsome.com. A replay of the webcast will be available for approximately 30 days following the live event.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Axsome Therapeutics, Inc.</w:t>
      </w:r>
    </w:p>
    <w:p>
      <w:pPr>
        <w:spacing w:after="0" w:line="11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Axsome Therapeutics, Inc. is a biopharmaceutical company developing and delivering novel therapies for central nervous system (CNS) conditions that have limited treatment options. Through development of therapeutic options with novel mechanisms of action, we are transforming the approach to treating CNS conditions. At Axsome, we are committed to developing products that meaningfully improve the lives of patients and provide new therapeutic options for physicians. For more information, please visit the Company’s website at axsome.com. The Company may occasionally disseminate material, nonpublic information on the company website.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14"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Certain matters discussed in this press release are “forward-looking statements”. We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continued commercial success of our Sunosi</w:t>
      </w:r>
      <w:r>
        <w:rPr>
          <w:rFonts w:ascii="Arial" w:cs="Arial" w:eastAsia="Arial" w:hAnsi="Arial"/>
          <w:sz w:val="24"/>
          <w:szCs w:val="24"/>
          <w:color w:val="auto"/>
          <w:vertAlign w:val="superscript"/>
        </w:rPr>
        <w:t>®</w:t>
      </w:r>
      <w:r>
        <w:rPr>
          <w:rFonts w:ascii="Arial" w:cs="Arial" w:eastAsia="Arial" w:hAnsi="Arial"/>
          <w:sz w:val="18"/>
          <w:szCs w:val="18"/>
          <w:color w:val="auto"/>
        </w:rPr>
        <w:t xml:space="preserve"> and Auvelity</w:t>
      </w:r>
      <w:r>
        <w:rPr>
          <w:rFonts w:ascii="Arial" w:cs="Arial" w:eastAsia="Arial" w:hAnsi="Arial"/>
          <w:sz w:val="24"/>
          <w:szCs w:val="24"/>
          <w:color w:val="auto"/>
          <w:vertAlign w:val="superscript"/>
        </w:rPr>
        <w:t>®</w:t>
      </w:r>
      <w:r>
        <w:rPr>
          <w:rFonts w:ascii="Arial" w:cs="Arial" w:eastAsia="Arial" w:hAnsi="Arial"/>
          <w:sz w:val="18"/>
          <w:szCs w:val="18"/>
          <w:color w:val="auto"/>
        </w:rPr>
        <w:t xml:space="preserve"> products and the success of our efforts to obtain any additional indication(s) with respect to solriamfetol and/or AXS-05; the success, timing and cost of our ongoing clinical trials and anticipated clinical trials for our current product candidates, including statements regarding the timing of initiation, pace of enrollment and completion of the trials (including our ability to fully fund our disclosed clinical trials, which assumes no material changes to our currently projected revenues or expenses), futility analyses and receipt of interim results, which are not necessarily indicative of the final results of our ongoing clinical trials, and/or data readouts, and the number or type of studies or nature of results necessary to support the filing of a new drug application (“NDA”) for any of our current product candidates; our ability to fund additional clinical trials to continue the advancement of our product candidates; the timing of and our ability to obtain and maintain U.S. Food and Drug Administration (“FDA”) or other regulatory authority approval of, or other action with respect to, our product candidates, including statements regarding the timing of any NDA submission; whether issues identified by FDA in the complete response letter may impact the potential approvability of the Company’s NDA for AXS-07 for the acute treatment of migraine in adults with or without aura, pursuant to our special protocol assessment for the MOMENTUM clinical trial;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products and product candidates, if approved; the Company’s anticipated capital requirements, including the amount of capital required for the continued commercialization of Sunosi and Auvelity and for the Company’s commercial launch of its other product candidates, if approved, and the potential impact on the Company’s anticipated cash runway; unforeseen circumstances or other disruptions to normal business operations arising from or related to COVID-19;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202565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t>Axsome Therapeutics, Inc.</w:t>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Axsome Therapeutics, Inc.</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Consolidated Balance Sheets</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thousands, except for share and par value amounts)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15"/>
                <w:szCs w:val="15"/>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8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89"/>
              </w:rPr>
              <w:t>2023</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169"/>
        </w:trPr>
        <w:tc>
          <w:tcPr>
            <w:tcW w:w="7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jc w:val="center"/>
              <w:ind w:right="132"/>
              <w:spacing w:after="0"/>
              <w:rPr>
                <w:sz w:val="20"/>
                <w:szCs w:val="20"/>
                <w:color w:val="auto"/>
              </w:rPr>
            </w:pPr>
            <w:r>
              <w:rPr>
                <w:rFonts w:ascii="Arial" w:cs="Arial" w:eastAsia="Arial" w:hAnsi="Arial"/>
                <w:sz w:val="14"/>
                <w:szCs w:val="14"/>
                <w:b w:val="1"/>
                <w:bCs w:val="1"/>
                <w:color w:val="auto"/>
                <w:w w:val="97"/>
              </w:rPr>
              <w:t>(Unaudited)</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7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80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8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416,564</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200,842</w:t>
            </w:r>
          </w:p>
        </w:tc>
        <w:tc>
          <w:tcPr>
            <w:tcW w:w="100" w:type="dxa"/>
            <w:vAlign w:val="bottom"/>
            <w:shd w:val="clear" w:color="auto" w:fill="CFF0FC"/>
          </w:tcPr>
          <w:p>
            <w:pPr>
              <w:spacing w:after="0"/>
              <w:rPr>
                <w:sz w:val="21"/>
                <w:szCs w:val="21"/>
                <w:color w:val="auto"/>
              </w:rPr>
            </w:pPr>
          </w:p>
        </w:tc>
      </w:tr>
      <w:tr>
        <w:trPr>
          <w:trHeight w:val="237"/>
        </w:trPr>
        <w:tc>
          <w:tcPr>
            <w:tcW w:w="7800" w:type="dxa"/>
            <w:vAlign w:val="bottom"/>
          </w:tcPr>
          <w:p>
            <w:pPr>
              <w:ind w:left="180"/>
              <w:spacing w:after="0"/>
              <w:rPr>
                <w:sz w:val="20"/>
                <w:szCs w:val="20"/>
                <w:color w:val="auto"/>
              </w:rPr>
            </w:pPr>
            <w:r>
              <w:rPr>
                <w:rFonts w:ascii="Arial" w:cs="Arial" w:eastAsia="Arial" w:hAnsi="Arial"/>
                <w:sz w:val="18"/>
                <w:szCs w:val="18"/>
                <w:color w:val="auto"/>
              </w:rPr>
              <w:t>Accounts receivables, net</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78,415</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37,699</w:t>
            </w:r>
          </w:p>
        </w:tc>
        <w:tc>
          <w:tcPr>
            <w:tcW w:w="100" w:type="dxa"/>
            <w:vAlign w:val="bottom"/>
          </w:tcPr>
          <w:p>
            <w:pPr>
              <w:spacing w:after="0"/>
              <w:rPr>
                <w:sz w:val="20"/>
                <w:szCs w:val="20"/>
                <w:color w:val="auto"/>
              </w:rPr>
            </w:pPr>
          </w:p>
        </w:tc>
      </w:tr>
      <w:tr>
        <w:trPr>
          <w:trHeight w:val="249"/>
        </w:trPr>
        <w:tc>
          <w:tcPr>
            <w:tcW w:w="78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Inventories, net</w:t>
            </w:r>
          </w:p>
        </w:tc>
        <w:tc>
          <w:tcPr>
            <w:tcW w:w="20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9,985</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4,320</w:t>
            </w:r>
          </w:p>
        </w:tc>
        <w:tc>
          <w:tcPr>
            <w:tcW w:w="100" w:type="dxa"/>
            <w:vAlign w:val="bottom"/>
            <w:shd w:val="clear" w:color="auto" w:fill="CFF0FC"/>
          </w:tcPr>
          <w:p>
            <w:pPr>
              <w:spacing w:after="0"/>
              <w:rPr>
                <w:sz w:val="21"/>
                <w:szCs w:val="21"/>
                <w:color w:val="auto"/>
              </w:rPr>
            </w:pPr>
          </w:p>
        </w:tc>
      </w:tr>
      <w:tr>
        <w:trPr>
          <w:trHeight w:val="237"/>
        </w:trPr>
        <w:tc>
          <w:tcPr>
            <w:tcW w:w="7800" w:type="dxa"/>
            <w:vAlign w:val="bottom"/>
          </w:tcPr>
          <w:p>
            <w:pPr>
              <w:ind w:left="180"/>
              <w:spacing w:after="0"/>
              <w:rPr>
                <w:sz w:val="20"/>
                <w:szCs w:val="20"/>
                <w:color w:val="auto"/>
              </w:rPr>
            </w:pPr>
            <w:r>
              <w:rPr>
                <w:rFonts w:ascii="Arial" w:cs="Arial" w:eastAsia="Arial" w:hAnsi="Arial"/>
                <w:sz w:val="18"/>
                <w:szCs w:val="18"/>
                <w:color w:val="auto"/>
              </w:rPr>
              <w:t>Prepaid and other current assets</w:t>
            </w: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6,799</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2,781</w:t>
            </w:r>
          </w:p>
        </w:tc>
        <w:tc>
          <w:tcPr>
            <w:tcW w:w="100" w:type="dxa"/>
            <w:vAlign w:val="bottom"/>
          </w:tcPr>
          <w:p>
            <w:pPr>
              <w:spacing w:after="0"/>
              <w:rPr>
                <w:sz w:val="20"/>
                <w:szCs w:val="20"/>
                <w:color w:val="auto"/>
              </w:rPr>
            </w:pPr>
          </w:p>
        </w:tc>
      </w:tr>
      <w:tr>
        <w:trPr>
          <w:trHeight w:val="243"/>
        </w:trPr>
        <w:tc>
          <w:tcPr>
            <w:tcW w:w="7800" w:type="dxa"/>
            <w:vAlign w:val="bottom"/>
            <w:shd w:val="clear" w:color="auto" w:fill="CFF0FC"/>
          </w:tcPr>
          <w:p>
            <w:pPr>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511,763</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245,642</w:t>
            </w:r>
          </w:p>
        </w:tc>
        <w:tc>
          <w:tcPr>
            <w:tcW w:w="100" w:type="dxa"/>
            <w:vAlign w:val="bottom"/>
            <w:shd w:val="clear" w:color="auto" w:fill="CFF0FC"/>
          </w:tcPr>
          <w:p>
            <w:pPr>
              <w:spacing w:after="0"/>
              <w:rPr>
                <w:sz w:val="21"/>
                <w:szCs w:val="21"/>
                <w:color w:val="auto"/>
              </w:rPr>
            </w:pPr>
          </w:p>
        </w:tc>
      </w:tr>
      <w:tr>
        <w:trPr>
          <w:trHeight w:val="237"/>
        </w:trPr>
        <w:tc>
          <w:tcPr>
            <w:tcW w:w="7800" w:type="dxa"/>
            <w:vAlign w:val="bottom"/>
          </w:tcPr>
          <w:p>
            <w:pPr>
              <w:spacing w:after="0"/>
              <w:rPr>
                <w:sz w:val="20"/>
                <w:szCs w:val="20"/>
                <w:color w:val="auto"/>
              </w:rPr>
            </w:pPr>
            <w:r>
              <w:rPr>
                <w:rFonts w:ascii="Arial" w:cs="Arial" w:eastAsia="Arial" w:hAnsi="Arial"/>
                <w:sz w:val="18"/>
                <w:szCs w:val="18"/>
                <w:color w:val="auto"/>
              </w:rPr>
              <w:t>Equipment, net</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971</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722</w:t>
            </w:r>
          </w:p>
        </w:tc>
        <w:tc>
          <w:tcPr>
            <w:tcW w:w="100" w:type="dxa"/>
            <w:vAlign w:val="bottom"/>
          </w:tcPr>
          <w:p>
            <w:pPr>
              <w:spacing w:after="0"/>
              <w:rPr>
                <w:sz w:val="20"/>
                <w:szCs w:val="20"/>
                <w:color w:val="auto"/>
              </w:rPr>
            </w:pPr>
          </w:p>
        </w:tc>
      </w:tr>
      <w:tr>
        <w:trPr>
          <w:trHeight w:val="249"/>
        </w:trPr>
        <w:tc>
          <w:tcPr>
            <w:tcW w:w="7800" w:type="dxa"/>
            <w:vAlign w:val="bottom"/>
            <w:shd w:val="clear" w:color="auto" w:fill="CFF0FC"/>
          </w:tcPr>
          <w:p>
            <w:pPr>
              <w:spacing w:after="0"/>
              <w:rPr>
                <w:sz w:val="20"/>
                <w:szCs w:val="20"/>
                <w:color w:val="auto"/>
              </w:rPr>
            </w:pPr>
            <w:r>
              <w:rPr>
                <w:rFonts w:ascii="Arial" w:cs="Arial" w:eastAsia="Arial" w:hAnsi="Arial"/>
                <w:sz w:val="18"/>
                <w:szCs w:val="18"/>
                <w:color w:val="auto"/>
              </w:rPr>
              <w:t>Right-of-use asset - operating lease</w:t>
            </w:r>
          </w:p>
        </w:tc>
        <w:tc>
          <w:tcPr>
            <w:tcW w:w="20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7,068</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w:t>
            </w:r>
          </w:p>
        </w:tc>
        <w:tc>
          <w:tcPr>
            <w:tcW w:w="100" w:type="dxa"/>
            <w:vAlign w:val="bottom"/>
            <w:shd w:val="clear" w:color="auto" w:fill="CFF0FC"/>
          </w:tcPr>
          <w:p>
            <w:pPr>
              <w:spacing w:after="0"/>
              <w:rPr>
                <w:sz w:val="21"/>
                <w:szCs w:val="21"/>
                <w:color w:val="auto"/>
              </w:rPr>
            </w:pPr>
          </w:p>
        </w:tc>
      </w:tr>
      <w:tr>
        <w:trPr>
          <w:trHeight w:val="237"/>
        </w:trPr>
        <w:tc>
          <w:tcPr>
            <w:tcW w:w="7800" w:type="dxa"/>
            <w:vAlign w:val="bottom"/>
          </w:tcPr>
          <w:p>
            <w:pPr>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12,042</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10,310</w:t>
            </w:r>
          </w:p>
        </w:tc>
        <w:tc>
          <w:tcPr>
            <w:tcW w:w="100" w:type="dxa"/>
            <w:vAlign w:val="bottom"/>
          </w:tcPr>
          <w:p>
            <w:pPr>
              <w:spacing w:after="0"/>
              <w:rPr>
                <w:sz w:val="20"/>
                <w:szCs w:val="20"/>
                <w:color w:val="auto"/>
              </w:rPr>
            </w:pPr>
          </w:p>
        </w:tc>
      </w:tr>
      <w:tr>
        <w:trPr>
          <w:trHeight w:val="249"/>
        </w:trPr>
        <w:tc>
          <w:tcPr>
            <w:tcW w:w="780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 net</w:t>
            </w:r>
          </w:p>
        </w:tc>
        <w:tc>
          <w:tcPr>
            <w:tcW w:w="20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54,893</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59,661</w:t>
            </w:r>
          </w:p>
        </w:tc>
        <w:tc>
          <w:tcPr>
            <w:tcW w:w="100" w:type="dxa"/>
            <w:vAlign w:val="bottom"/>
            <w:shd w:val="clear" w:color="auto" w:fill="CFF0FC"/>
          </w:tcPr>
          <w:p>
            <w:pPr>
              <w:spacing w:after="0"/>
              <w:rPr>
                <w:sz w:val="21"/>
                <w:szCs w:val="21"/>
                <w:color w:val="auto"/>
              </w:rPr>
            </w:pPr>
          </w:p>
        </w:tc>
      </w:tr>
      <w:tr>
        <w:trPr>
          <w:trHeight w:val="237"/>
        </w:trPr>
        <w:tc>
          <w:tcPr>
            <w:tcW w:w="7800" w:type="dxa"/>
            <w:vAlign w:val="bottom"/>
          </w:tcPr>
          <w:p>
            <w:pPr>
              <w:spacing w:after="0"/>
              <w:rPr>
                <w:sz w:val="20"/>
                <w:szCs w:val="20"/>
                <w:color w:val="auto"/>
              </w:rPr>
            </w:pPr>
            <w:r>
              <w:rPr>
                <w:rFonts w:ascii="Arial" w:cs="Arial" w:eastAsia="Arial" w:hAnsi="Arial"/>
                <w:sz w:val="18"/>
                <w:szCs w:val="18"/>
                <w:color w:val="auto"/>
              </w:rPr>
              <w:t>Non-current inventory and other assets</w:t>
            </w: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14,120</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14,721</w:t>
            </w:r>
          </w:p>
        </w:tc>
        <w:tc>
          <w:tcPr>
            <w:tcW w:w="100" w:type="dxa"/>
            <w:vAlign w:val="bottom"/>
          </w:tcPr>
          <w:p>
            <w:pPr>
              <w:spacing w:after="0"/>
              <w:rPr>
                <w:sz w:val="20"/>
                <w:szCs w:val="20"/>
                <w:color w:val="auto"/>
              </w:rPr>
            </w:pPr>
          </w:p>
        </w:tc>
      </w:tr>
      <w:tr>
        <w:trPr>
          <w:trHeight w:val="277"/>
        </w:trPr>
        <w:tc>
          <w:tcPr>
            <w:tcW w:w="78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600,857</w:t>
            </w:r>
          </w:p>
        </w:tc>
        <w:tc>
          <w:tcPr>
            <w:tcW w:w="2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331,476</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5"/>
        </w:trPr>
        <w:tc>
          <w:tcPr>
            <w:tcW w:w="780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7"/>
        </w:trPr>
        <w:tc>
          <w:tcPr>
            <w:tcW w:w="780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80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29,098</w:t>
            </w:r>
          </w:p>
        </w:tc>
        <w:tc>
          <w:tcPr>
            <w:tcW w:w="2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38,605</w:t>
            </w:r>
          </w:p>
        </w:tc>
        <w:tc>
          <w:tcPr>
            <w:tcW w:w="100" w:type="dxa"/>
            <w:vAlign w:val="bottom"/>
          </w:tcPr>
          <w:p>
            <w:pPr>
              <w:spacing w:after="0"/>
              <w:rPr>
                <w:sz w:val="20"/>
                <w:szCs w:val="20"/>
                <w:color w:val="auto"/>
              </w:rPr>
            </w:pPr>
          </w:p>
        </w:tc>
      </w:tr>
      <w:tr>
        <w:trPr>
          <w:trHeight w:val="249"/>
        </w:trPr>
        <w:tc>
          <w:tcPr>
            <w:tcW w:w="78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20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78,454</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51,631</w:t>
            </w:r>
          </w:p>
        </w:tc>
        <w:tc>
          <w:tcPr>
            <w:tcW w:w="100" w:type="dxa"/>
            <w:vAlign w:val="bottom"/>
            <w:shd w:val="clear" w:color="auto" w:fill="CFF0FC"/>
          </w:tcPr>
          <w:p>
            <w:pPr>
              <w:spacing w:after="0"/>
              <w:rPr>
                <w:sz w:val="21"/>
                <w:szCs w:val="21"/>
                <w:color w:val="auto"/>
              </w:rPr>
            </w:pPr>
          </w:p>
        </w:tc>
      </w:tr>
      <w:tr>
        <w:trPr>
          <w:trHeight w:val="237"/>
        </w:trPr>
        <w:tc>
          <w:tcPr>
            <w:tcW w:w="7800" w:type="dxa"/>
            <w:vAlign w:val="bottom"/>
          </w:tcPr>
          <w:p>
            <w:pPr>
              <w:ind w:left="180"/>
              <w:spacing w:after="0"/>
              <w:rPr>
                <w:sz w:val="20"/>
                <w:szCs w:val="20"/>
                <w:color w:val="auto"/>
              </w:rPr>
            </w:pPr>
            <w:r>
              <w:rPr>
                <w:rFonts w:ascii="Arial" w:cs="Arial" w:eastAsia="Arial" w:hAnsi="Arial"/>
                <w:sz w:val="18"/>
                <w:szCs w:val="18"/>
                <w:color w:val="auto"/>
              </w:rPr>
              <w:t>Operating lease liability, current portion</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438</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20"/>
                <w:szCs w:val="20"/>
                <w:color w:val="auto"/>
              </w:rPr>
            </w:pPr>
          </w:p>
        </w:tc>
      </w:tr>
      <w:tr>
        <w:trPr>
          <w:trHeight w:val="243"/>
        </w:trPr>
        <w:tc>
          <w:tcPr>
            <w:tcW w:w="78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Contingent consideration, current</w:t>
            </w:r>
          </w:p>
        </w:tc>
        <w:tc>
          <w:tcPr>
            <w:tcW w:w="20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6,672</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5,900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80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114,662</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96,561</w:t>
            </w:r>
          </w:p>
        </w:tc>
        <w:tc>
          <w:tcPr>
            <w:tcW w:w="100" w:type="dxa"/>
            <w:vAlign w:val="bottom"/>
          </w:tcPr>
          <w:p>
            <w:pPr>
              <w:spacing w:after="0"/>
              <w:rPr>
                <w:sz w:val="20"/>
                <w:szCs w:val="20"/>
                <w:color w:val="auto"/>
              </w:rPr>
            </w:pPr>
          </w:p>
        </w:tc>
      </w:tr>
      <w:tr>
        <w:trPr>
          <w:trHeight w:val="249"/>
        </w:trPr>
        <w:tc>
          <w:tcPr>
            <w:tcW w:w="7800" w:type="dxa"/>
            <w:vAlign w:val="bottom"/>
            <w:shd w:val="clear" w:color="auto" w:fill="CFF0FC"/>
          </w:tcPr>
          <w:p>
            <w:pPr>
              <w:spacing w:after="0"/>
              <w:rPr>
                <w:sz w:val="20"/>
                <w:szCs w:val="20"/>
                <w:color w:val="auto"/>
              </w:rPr>
            </w:pPr>
            <w:r>
              <w:rPr>
                <w:rFonts w:ascii="Arial" w:cs="Arial" w:eastAsia="Arial" w:hAnsi="Arial"/>
                <w:sz w:val="18"/>
                <w:szCs w:val="18"/>
                <w:color w:val="auto"/>
              </w:rPr>
              <w:t>Contingent consideration, non-current</w:t>
            </w:r>
          </w:p>
        </w:tc>
        <w:tc>
          <w:tcPr>
            <w:tcW w:w="20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31,550</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31,100</w:t>
            </w:r>
          </w:p>
        </w:tc>
        <w:tc>
          <w:tcPr>
            <w:tcW w:w="100" w:type="dxa"/>
            <w:vAlign w:val="bottom"/>
            <w:shd w:val="clear" w:color="auto" w:fill="CFF0FC"/>
          </w:tcPr>
          <w:p>
            <w:pPr>
              <w:spacing w:after="0"/>
              <w:rPr>
                <w:sz w:val="21"/>
                <w:szCs w:val="21"/>
                <w:color w:val="auto"/>
              </w:rPr>
            </w:pPr>
          </w:p>
        </w:tc>
      </w:tr>
      <w:tr>
        <w:trPr>
          <w:trHeight w:val="237"/>
        </w:trPr>
        <w:tc>
          <w:tcPr>
            <w:tcW w:w="7800" w:type="dxa"/>
            <w:vAlign w:val="bottom"/>
          </w:tcPr>
          <w:p>
            <w:pPr>
              <w:spacing w:after="0"/>
              <w:rPr>
                <w:sz w:val="20"/>
                <w:szCs w:val="20"/>
                <w:color w:val="auto"/>
              </w:rPr>
            </w:pPr>
            <w:r>
              <w:rPr>
                <w:rFonts w:ascii="Arial" w:cs="Arial" w:eastAsia="Arial" w:hAnsi="Arial"/>
                <w:sz w:val="18"/>
                <w:szCs w:val="18"/>
                <w:color w:val="auto"/>
              </w:rPr>
              <w:t>Loan payable, long-term</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177,446</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94,259</w:t>
            </w:r>
          </w:p>
        </w:tc>
        <w:tc>
          <w:tcPr>
            <w:tcW w:w="100" w:type="dxa"/>
            <w:vAlign w:val="bottom"/>
          </w:tcPr>
          <w:p>
            <w:pPr>
              <w:spacing w:after="0"/>
              <w:rPr>
                <w:sz w:val="20"/>
                <w:szCs w:val="20"/>
                <w:color w:val="auto"/>
              </w:rPr>
            </w:pPr>
          </w:p>
        </w:tc>
      </w:tr>
      <w:tr>
        <w:trPr>
          <w:trHeight w:val="243"/>
        </w:trPr>
        <w:tc>
          <w:tcPr>
            <w:tcW w:w="780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liability, long-term</w:t>
            </w:r>
          </w:p>
        </w:tc>
        <w:tc>
          <w:tcPr>
            <w:tcW w:w="20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7,691</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6"/>
        </w:trPr>
        <w:tc>
          <w:tcPr>
            <w:tcW w:w="780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331,349</w:t>
            </w:r>
          </w:p>
        </w:tc>
        <w:tc>
          <w:tcPr>
            <w:tcW w:w="220" w:type="dxa"/>
            <w:vAlign w:val="bottom"/>
            <w:tcBorders>
              <w:top w:val="single" w:sz="8" w:color="CFF0FC"/>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221,920</w:t>
            </w:r>
          </w:p>
        </w:tc>
        <w:tc>
          <w:tcPr>
            <w:tcW w:w="100" w:type="dxa"/>
            <w:vAlign w:val="bottom"/>
            <w:tcBorders>
              <w:top w:val="single" w:sz="8" w:color="CFF0FC"/>
            </w:tcBorders>
          </w:tcPr>
          <w:p>
            <w:pPr>
              <w:spacing w:after="0"/>
              <w:rPr>
                <w:sz w:val="20"/>
                <w:szCs w:val="20"/>
                <w:color w:val="auto"/>
              </w:rPr>
            </w:pPr>
          </w:p>
        </w:tc>
      </w:tr>
      <w:tr>
        <w:trPr>
          <w:trHeight w:val="249"/>
        </w:trPr>
        <w:tc>
          <w:tcPr>
            <w:tcW w:w="780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20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5"/>
        </w:trPr>
        <w:tc>
          <w:tcPr>
            <w:tcW w:w="7800" w:type="dxa"/>
            <w:vAlign w:val="bottom"/>
          </w:tcPr>
          <w:p>
            <w:pPr>
              <w:spacing w:after="0"/>
              <w:rPr>
                <w:sz w:val="20"/>
                <w:szCs w:val="20"/>
                <w:color w:val="auto"/>
              </w:rPr>
            </w:pPr>
            <w:r>
              <w:rPr>
                <w:rFonts w:ascii="Arial" w:cs="Arial" w:eastAsia="Arial" w:hAnsi="Arial"/>
                <w:sz w:val="18"/>
                <w:szCs w:val="18"/>
                <w:color w:val="auto"/>
                <w:w w:val="91"/>
              </w:rPr>
              <w:t>Preferred stock, $0.0001 par value per share (10,000,000 shares authorized, none issued and outstanding</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7800" w:type="dxa"/>
            <w:vAlign w:val="bottom"/>
          </w:tcPr>
          <w:p>
            <w:pPr>
              <w:spacing w:after="0"/>
              <w:rPr>
                <w:sz w:val="20"/>
                <w:szCs w:val="20"/>
                <w:color w:val="auto"/>
              </w:rPr>
            </w:pPr>
            <w:r>
              <w:rPr>
                <w:rFonts w:ascii="Arial" w:cs="Arial" w:eastAsia="Arial" w:hAnsi="Arial"/>
                <w:sz w:val="18"/>
                <w:szCs w:val="18"/>
                <w:color w:val="auto"/>
              </w:rPr>
              <w:t>at September 30, 2023 and December 31, 2022, respectively)</w:t>
            </w:r>
          </w:p>
        </w:tc>
        <w:tc>
          <w:tcPr>
            <w:tcW w:w="200" w:type="dxa"/>
            <w:vAlign w:val="bottom"/>
          </w:tcPr>
          <w:p>
            <w:pPr>
              <w:spacing w:after="0"/>
              <w:rPr>
                <w:sz w:val="20"/>
                <w:szCs w:val="20"/>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2"/>
        </w:trPr>
        <w:tc>
          <w:tcPr>
            <w:tcW w:w="7800" w:type="dxa"/>
            <w:vAlign w:val="bottom"/>
            <w:shd w:val="clear" w:color="auto" w:fill="CFF0FC"/>
          </w:tcPr>
          <w:p>
            <w:pPr>
              <w:spacing w:after="0"/>
              <w:rPr>
                <w:sz w:val="20"/>
                <w:szCs w:val="20"/>
                <w:color w:val="auto"/>
              </w:rPr>
            </w:pPr>
            <w:r>
              <w:rPr>
                <w:rFonts w:ascii="Arial" w:cs="Arial" w:eastAsia="Arial" w:hAnsi="Arial"/>
                <w:sz w:val="18"/>
                <w:szCs w:val="18"/>
                <w:color w:val="auto"/>
                <w:w w:val="92"/>
              </w:rPr>
              <w:t>Common stock, $0.0001 par value per share (150,000,000 shares authorized, 47,317,381 and 43,498,617</w:t>
            </w: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4"/>
        </w:trPr>
        <w:tc>
          <w:tcPr>
            <w:tcW w:w="7800" w:type="dxa"/>
            <w:vAlign w:val="bottom"/>
            <w:shd w:val="clear" w:color="auto" w:fill="CFF0FC"/>
          </w:tcPr>
          <w:p>
            <w:pPr>
              <w:spacing w:after="0"/>
              <w:rPr>
                <w:sz w:val="20"/>
                <w:szCs w:val="20"/>
                <w:color w:val="auto"/>
              </w:rPr>
            </w:pPr>
            <w:r>
              <w:rPr>
                <w:rFonts w:ascii="Arial" w:cs="Arial" w:eastAsia="Arial" w:hAnsi="Arial"/>
                <w:sz w:val="18"/>
                <w:szCs w:val="18"/>
                <w:color w:val="auto"/>
              </w:rPr>
              <w:t>shares issued and outstanding at September 30, 2023 and December 31, 2022, respectively)</w:t>
            </w:r>
          </w:p>
        </w:tc>
        <w:tc>
          <w:tcPr>
            <w:tcW w:w="20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21"/>
                <w:szCs w:val="21"/>
                <w:color w:val="auto"/>
              </w:rPr>
            </w:pPr>
          </w:p>
        </w:tc>
      </w:tr>
      <w:tr>
        <w:trPr>
          <w:trHeight w:val="237"/>
        </w:trPr>
        <w:tc>
          <w:tcPr>
            <w:tcW w:w="780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1,006,423</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705,885</w:t>
            </w:r>
          </w:p>
        </w:tc>
        <w:tc>
          <w:tcPr>
            <w:tcW w:w="100" w:type="dxa"/>
            <w:vAlign w:val="bottom"/>
          </w:tcPr>
          <w:p>
            <w:pPr>
              <w:spacing w:after="0"/>
              <w:rPr>
                <w:sz w:val="20"/>
                <w:szCs w:val="20"/>
                <w:color w:val="auto"/>
              </w:rPr>
            </w:pPr>
          </w:p>
        </w:tc>
      </w:tr>
      <w:tr>
        <w:trPr>
          <w:trHeight w:val="243"/>
        </w:trPr>
        <w:tc>
          <w:tcPr>
            <w:tcW w:w="7800" w:type="dxa"/>
            <w:vAlign w:val="bottom"/>
            <w:shd w:val="clear" w:color="auto" w:fill="CFF0FC"/>
          </w:tcPr>
          <w:p>
            <w:pPr>
              <w:spacing w:after="0"/>
              <w:rPr>
                <w:sz w:val="20"/>
                <w:szCs w:val="20"/>
                <w:color w:val="auto"/>
              </w:rPr>
            </w:pPr>
            <w:r>
              <w:rPr>
                <w:rFonts w:ascii="Arial" w:cs="Arial" w:eastAsia="Arial" w:hAnsi="Arial"/>
                <w:sz w:val="18"/>
                <w:szCs w:val="18"/>
                <w:color w:val="auto"/>
              </w:rPr>
              <w:t>Accumulated deficit</w:t>
            </w:r>
          </w:p>
        </w:tc>
        <w:tc>
          <w:tcPr>
            <w:tcW w:w="20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(736,920 )</w:t>
            </w:r>
          </w:p>
        </w:tc>
        <w:tc>
          <w:tcPr>
            <w:tcW w:w="20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(596,333 )</w:t>
            </w:r>
          </w:p>
        </w:tc>
      </w:tr>
      <w:tr>
        <w:trPr>
          <w:trHeight w:val="236"/>
        </w:trPr>
        <w:tc>
          <w:tcPr>
            <w:tcW w:w="780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269,508</w:t>
            </w:r>
          </w:p>
        </w:tc>
        <w:tc>
          <w:tcPr>
            <w:tcW w:w="22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109,556</w:t>
            </w:r>
          </w:p>
        </w:tc>
        <w:tc>
          <w:tcPr>
            <w:tcW w:w="100" w:type="dxa"/>
            <w:vAlign w:val="bottom"/>
            <w:tcBorders>
              <w:top w:val="single" w:sz="8" w:color="CFF0FC"/>
            </w:tcBorders>
          </w:tcPr>
          <w:p>
            <w:pPr>
              <w:spacing w:after="0"/>
              <w:rPr>
                <w:sz w:val="20"/>
                <w:szCs w:val="20"/>
                <w:color w:val="auto"/>
              </w:rPr>
            </w:pPr>
          </w:p>
        </w:tc>
      </w:tr>
      <w:tr>
        <w:trPr>
          <w:trHeight w:val="277"/>
        </w:trPr>
        <w:tc>
          <w:tcPr>
            <w:tcW w:w="78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600,857</w:t>
            </w:r>
          </w:p>
        </w:tc>
        <w:tc>
          <w:tcPr>
            <w:tcW w:w="2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331,476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5903595</wp:posOffset>
            </wp:positionH>
            <wp:positionV relativeFrom="paragraph">
              <wp:posOffset>-3136900</wp:posOffset>
            </wp:positionV>
            <wp:extent cx="1148715" cy="1797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48715" cy="179705"/>
                    </a:xfrm>
                    <a:prstGeom prst="rect">
                      <a:avLst/>
                    </a:prstGeom>
                    <a:noFill/>
                  </pic:spPr>
                </pic:pic>
              </a:graphicData>
            </a:graphic>
          </wp:anchor>
        </w:drawing>
        <w:drawing>
          <wp:anchor simplePos="0" relativeHeight="251657728" behindDoc="1" locked="0" layoutInCell="0" allowOverlap="1">
            <wp:simplePos x="0" y="0"/>
            <wp:positionH relativeFrom="column">
              <wp:posOffset>5903595</wp:posOffset>
            </wp:positionH>
            <wp:positionV relativeFrom="paragraph">
              <wp:posOffset>-2185035</wp:posOffset>
            </wp:positionV>
            <wp:extent cx="77470" cy="1625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7470" cy="162560"/>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-2185035</wp:posOffset>
            </wp:positionV>
            <wp:extent cx="68580" cy="1625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5903595</wp:posOffset>
            </wp:positionH>
            <wp:positionV relativeFrom="paragraph">
              <wp:posOffset>-1559560</wp:posOffset>
            </wp:positionV>
            <wp:extent cx="77470" cy="1625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470" cy="162560"/>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-1559560</wp:posOffset>
            </wp:positionV>
            <wp:extent cx="68580" cy="1625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5903595</wp:posOffset>
            </wp:positionH>
            <wp:positionV relativeFrom="paragraph">
              <wp:posOffset>-350520</wp:posOffset>
            </wp:positionV>
            <wp:extent cx="7747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-350520</wp:posOffset>
            </wp:positionV>
            <wp:extent cx="6858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5903595</wp:posOffset>
            </wp:positionH>
            <wp:positionV relativeFrom="paragraph">
              <wp:posOffset>-24765</wp:posOffset>
            </wp:positionV>
            <wp:extent cx="774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5903595</wp:posOffset>
            </wp:positionH>
            <wp:positionV relativeFrom="paragraph">
              <wp:posOffset>-7620</wp:posOffset>
            </wp:positionV>
            <wp:extent cx="774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-24765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-7620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202565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00" w:top="333" w:right="399" w:bottom="1440" w:gutter="0" w:footer="0" w:header="0"/>
        </w:sectPr>
      </w:pPr>
    </w:p>
    <w:bookmarkStart w:id="9" w:name="page10"/>
    <w:bookmarkEnd w:id="9"/>
    <w:p>
      <w:pPr>
        <w:jc w:val="center"/>
        <w:spacing w:after="0"/>
        <w:rPr>
          <w:sz w:val="20"/>
          <w:szCs w:val="20"/>
          <w:color w:val="auto"/>
        </w:rPr>
      </w:pPr>
      <w:r>
        <w:rPr>
          <w:rFonts w:ascii="Arial" w:cs="Arial" w:eastAsia="Arial" w:hAnsi="Arial"/>
          <w:sz w:val="16"/>
          <w:szCs w:val="16"/>
          <w:b w:val="1"/>
          <w:bCs w:val="1"/>
          <w:color w:val="auto"/>
        </w:rPr>
        <w:t>Axsome Therapeutics, Inc.</w:t>
      </w:r>
    </w:p>
    <w:p>
      <w:pPr>
        <w:spacing w:after="0" w:line="32" w:lineRule="exact"/>
        <w:rPr>
          <w:sz w:val="20"/>
          <w:szCs w:val="20"/>
          <w:color w:val="auto"/>
        </w:rPr>
      </w:pPr>
    </w:p>
    <w:p>
      <w:pPr>
        <w:ind w:left="3840"/>
        <w:spacing w:after="0"/>
        <w:rPr>
          <w:sz w:val="20"/>
          <w:szCs w:val="20"/>
          <w:color w:val="auto"/>
        </w:rPr>
      </w:pPr>
      <w:r>
        <w:rPr>
          <w:rFonts w:ascii="Arial" w:cs="Arial" w:eastAsia="Arial" w:hAnsi="Arial"/>
          <w:sz w:val="16"/>
          <w:szCs w:val="16"/>
          <w:b w:val="1"/>
          <w:bCs w:val="1"/>
          <w:color w:val="auto"/>
        </w:rPr>
        <w:t>Consolidated Statements of Operations (Unaudited)</w:t>
      </w:r>
    </w:p>
    <w:p>
      <w:pPr>
        <w:spacing w:after="0" w:line="26" w:lineRule="exact"/>
        <w:rPr>
          <w:sz w:val="20"/>
          <w:szCs w:val="20"/>
          <w:color w:val="auto"/>
        </w:rPr>
      </w:pPr>
    </w:p>
    <w:p>
      <w:pPr>
        <w:ind w:left="3860"/>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80" w:type="dxa"/>
            <w:vAlign w:val="bottom"/>
            <w:gridSpan w:val="5"/>
          </w:tcPr>
          <w:p>
            <w:pPr>
              <w:jc w:val="right"/>
              <w:ind w:right="69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5"/>
                <w:szCs w:val="15"/>
                <w:color w:val="auto"/>
              </w:rPr>
            </w:pPr>
          </w:p>
        </w:tc>
        <w:tc>
          <w:tcPr>
            <w:tcW w:w="2100" w:type="dxa"/>
            <w:vAlign w:val="bottom"/>
            <w:gridSpan w:val="5"/>
          </w:tcPr>
          <w:p>
            <w:pPr>
              <w:jc w:val="right"/>
              <w:ind w:right="461"/>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6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80" w:type="dxa"/>
            <w:vAlign w:val="bottom"/>
            <w:gridSpan w:val="5"/>
          </w:tcPr>
          <w:p>
            <w:pPr>
              <w:jc w:val="right"/>
              <w:ind w:right="91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6"/>
                <w:szCs w:val="16"/>
                <w:color w:val="auto"/>
              </w:rPr>
            </w:pPr>
          </w:p>
        </w:tc>
        <w:tc>
          <w:tcPr>
            <w:tcW w:w="2100" w:type="dxa"/>
            <w:vAlign w:val="bottom"/>
            <w:gridSpan w:val="5"/>
          </w:tcPr>
          <w:p>
            <w:pPr>
              <w:jc w:val="right"/>
              <w:ind w:right="641"/>
              <w:spacing w:after="0"/>
              <w:rPr>
                <w:sz w:val="20"/>
                <w:szCs w:val="20"/>
                <w:color w:val="auto"/>
              </w:rPr>
            </w:pPr>
            <w:r>
              <w:rPr>
                <w:rFonts w:ascii="Arial" w:cs="Arial" w:eastAsia="Arial" w:hAnsi="Arial"/>
                <w:sz w:val="14"/>
                <w:szCs w:val="14"/>
                <w:b w:val="1"/>
                <w:bCs w:val="1"/>
                <w:color w:val="auto"/>
              </w:rPr>
              <w:t>September 30,</w:t>
            </w:r>
          </w:p>
        </w:tc>
      </w:tr>
      <w:tr>
        <w:trPr>
          <w:trHeight w:val="169"/>
        </w:trPr>
        <w:tc>
          <w:tcPr>
            <w:tcW w:w="640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top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top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37"/>
        </w:trPr>
        <w:tc>
          <w:tcPr>
            <w:tcW w:w="6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6400" w:type="dxa"/>
            <w:vAlign w:val="bottom"/>
          </w:tcPr>
          <w:p>
            <w:pPr>
              <w:ind w:left="200"/>
              <w:spacing w:after="0"/>
              <w:rPr>
                <w:sz w:val="20"/>
                <w:szCs w:val="20"/>
                <w:color w:val="auto"/>
              </w:rPr>
            </w:pPr>
            <w:r>
              <w:rPr>
                <w:rFonts w:ascii="Arial" w:cs="Arial" w:eastAsia="Arial" w:hAnsi="Arial"/>
                <w:sz w:val="18"/>
                <w:szCs w:val="18"/>
                <w:color w:val="auto"/>
              </w:rPr>
              <w:t>Product sales, net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57,127</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16,846</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131,713</w:t>
            </w:r>
          </w:p>
        </w:tc>
        <w:tc>
          <w:tcPr>
            <w:tcW w:w="2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25,666</w:t>
            </w:r>
          </w:p>
        </w:tc>
        <w:tc>
          <w:tcPr>
            <w:tcW w:w="100" w:type="dxa"/>
            <w:vAlign w:val="bottom"/>
          </w:tcPr>
          <w:p>
            <w:pPr>
              <w:spacing w:after="0"/>
              <w:rPr>
                <w:sz w:val="20"/>
                <w:szCs w:val="20"/>
                <w:color w:val="auto"/>
              </w:rPr>
            </w:pPr>
          </w:p>
        </w:tc>
      </w:tr>
      <w:tr>
        <w:trPr>
          <w:trHeight w:val="249"/>
        </w:trPr>
        <w:tc>
          <w:tcPr>
            <w:tcW w:w="64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License revenue</w:t>
            </w:r>
          </w:p>
        </w:tc>
        <w:tc>
          <w:tcPr>
            <w:tcW w:w="24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65,735</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r>
      <w:tr>
        <w:trPr>
          <w:trHeight w:val="237"/>
        </w:trPr>
        <w:tc>
          <w:tcPr>
            <w:tcW w:w="6400" w:type="dxa"/>
            <w:vAlign w:val="bottom"/>
          </w:tcPr>
          <w:p>
            <w:pPr>
              <w:ind w:left="200"/>
              <w:spacing w:after="0"/>
              <w:rPr>
                <w:sz w:val="20"/>
                <w:szCs w:val="20"/>
                <w:color w:val="auto"/>
              </w:rPr>
            </w:pPr>
            <w:r>
              <w:rPr>
                <w:rFonts w:ascii="Arial" w:cs="Arial" w:eastAsia="Arial" w:hAnsi="Arial"/>
                <w:sz w:val="18"/>
                <w:szCs w:val="18"/>
                <w:color w:val="auto"/>
              </w:rPr>
              <w:t>Royalty revenue</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667</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1,622</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36"/>
        </w:trPr>
        <w:tc>
          <w:tcPr>
            <w:tcW w:w="64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Revenues</w:t>
            </w: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57,794</w:t>
            </w: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16,846</w:t>
            </w: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199,070</w:t>
            </w:r>
          </w:p>
        </w:tc>
        <w:tc>
          <w:tcPr>
            <w:tcW w:w="2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25,666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64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64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Cost of revenue (excluding amortization and depreciation)</w:t>
            </w: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6,532</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1,924</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18,687</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2,907</w:t>
            </w:r>
          </w:p>
        </w:tc>
        <w:tc>
          <w:tcPr>
            <w:tcW w:w="100" w:type="dxa"/>
            <w:vAlign w:val="bottom"/>
            <w:shd w:val="clear" w:color="auto" w:fill="CFF0FC"/>
          </w:tcPr>
          <w:p>
            <w:pPr>
              <w:spacing w:after="0"/>
              <w:rPr>
                <w:sz w:val="21"/>
                <w:szCs w:val="21"/>
                <w:color w:val="auto"/>
              </w:rPr>
            </w:pPr>
          </w:p>
        </w:tc>
      </w:tr>
      <w:tr>
        <w:trPr>
          <w:trHeight w:val="237"/>
        </w:trPr>
        <w:tc>
          <w:tcPr>
            <w:tcW w:w="640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28,767</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14,877</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67,141</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43,254</w:t>
            </w:r>
          </w:p>
        </w:tc>
        <w:tc>
          <w:tcPr>
            <w:tcW w:w="100" w:type="dxa"/>
            <w:vAlign w:val="bottom"/>
          </w:tcPr>
          <w:p>
            <w:pPr>
              <w:spacing w:after="0"/>
              <w:rPr>
                <w:sz w:val="20"/>
                <w:szCs w:val="20"/>
                <w:color w:val="auto"/>
              </w:rPr>
            </w:pPr>
          </w:p>
        </w:tc>
      </w:tr>
      <w:tr>
        <w:trPr>
          <w:trHeight w:val="249"/>
        </w:trPr>
        <w:tc>
          <w:tcPr>
            <w:tcW w:w="64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83,188</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40,892</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236,314</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97,756</w:t>
            </w:r>
          </w:p>
        </w:tc>
        <w:tc>
          <w:tcPr>
            <w:tcW w:w="100" w:type="dxa"/>
            <w:vAlign w:val="bottom"/>
            <w:shd w:val="clear" w:color="auto" w:fill="CFF0FC"/>
          </w:tcPr>
          <w:p>
            <w:pPr>
              <w:spacing w:after="0"/>
              <w:rPr>
                <w:sz w:val="21"/>
                <w:szCs w:val="21"/>
                <w:color w:val="auto"/>
              </w:rPr>
            </w:pPr>
          </w:p>
        </w:tc>
      </w:tr>
      <w:tr>
        <w:trPr>
          <w:trHeight w:val="237"/>
        </w:trPr>
        <w:tc>
          <w:tcPr>
            <w:tcW w:w="6400" w:type="dxa"/>
            <w:vAlign w:val="bottom"/>
          </w:tcPr>
          <w:p>
            <w:pPr>
              <w:ind w:left="200"/>
              <w:spacing w:after="0"/>
              <w:rPr>
                <w:sz w:val="20"/>
                <w:szCs w:val="20"/>
                <w:color w:val="auto"/>
              </w:rPr>
            </w:pPr>
            <w:r>
              <w:rPr>
                <w:rFonts w:ascii="Arial" w:cs="Arial" w:eastAsia="Arial" w:hAnsi="Arial"/>
                <w:sz w:val="18"/>
                <w:szCs w:val="18"/>
                <w:color w:val="auto"/>
              </w:rPr>
              <w:t>Loss (Gain) in fair value of contingent consideration</w:t>
            </w:r>
          </w:p>
        </w:tc>
        <w:tc>
          <w:tcPr>
            <w:tcW w:w="240" w:type="dxa"/>
            <w:vAlign w:val="bottom"/>
          </w:tcPr>
          <w:p>
            <w:pPr>
              <w:spacing w:after="0"/>
              <w:rPr>
                <w:sz w:val="20"/>
                <w:szCs w:val="20"/>
                <w:color w:val="auto"/>
              </w:rPr>
            </w:pPr>
          </w:p>
        </w:tc>
        <w:tc>
          <w:tcPr>
            <w:tcW w:w="1180" w:type="dxa"/>
            <w:vAlign w:val="bottom"/>
            <w:gridSpan w:val="2"/>
          </w:tcPr>
          <w:p>
            <w:pPr>
              <w:jc w:val="right"/>
              <w:ind w:right="70"/>
              <w:spacing w:after="0"/>
              <w:rPr>
                <w:sz w:val="20"/>
                <w:szCs w:val="20"/>
                <w:color w:val="auto"/>
              </w:rPr>
            </w:pPr>
            <w:r>
              <w:rPr>
                <w:rFonts w:ascii="Arial" w:cs="Arial" w:eastAsia="Arial" w:hAnsi="Arial"/>
                <w:sz w:val="18"/>
                <w:szCs w:val="18"/>
                <w:color w:val="auto"/>
              </w:rPr>
              <w:t>(180 )</w:t>
            </w:r>
          </w:p>
        </w:tc>
        <w:tc>
          <w:tcPr>
            <w:tcW w:w="120" w:type="dxa"/>
            <w:vAlign w:val="bottom"/>
          </w:tcPr>
          <w:p>
            <w:pPr>
              <w:spacing w:after="0"/>
              <w:rPr>
                <w:sz w:val="20"/>
                <w:szCs w:val="20"/>
                <w:color w:val="auto"/>
              </w:rPr>
            </w:pPr>
          </w:p>
        </w:tc>
        <w:tc>
          <w:tcPr>
            <w:tcW w:w="1080" w:type="dxa"/>
            <w:vAlign w:val="bottom"/>
            <w:gridSpan w:val="2"/>
          </w:tcPr>
          <w:p>
            <w:pPr>
              <w:jc w:val="right"/>
              <w:ind w:right="70"/>
              <w:spacing w:after="0"/>
              <w:rPr>
                <w:sz w:val="20"/>
                <w:szCs w:val="20"/>
                <w:color w:val="auto"/>
              </w:rPr>
            </w:pPr>
            <w:r>
              <w:rPr>
                <w:rFonts w:ascii="Arial" w:cs="Arial" w:eastAsia="Arial" w:hAnsi="Arial"/>
                <w:sz w:val="18"/>
                <w:szCs w:val="18"/>
                <w:color w:val="auto"/>
              </w:rPr>
              <w:t>(42 )</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5,711</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(902 )</w:t>
            </w:r>
          </w:p>
        </w:tc>
      </w:tr>
      <w:tr>
        <w:trPr>
          <w:trHeight w:val="243"/>
        </w:trPr>
        <w:tc>
          <w:tcPr>
            <w:tcW w:w="64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Intangible asset amortization</w:t>
            </w:r>
          </w:p>
        </w:tc>
        <w:tc>
          <w:tcPr>
            <w:tcW w:w="24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1,607</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1,607</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4,768</w:t>
            </w:r>
          </w:p>
        </w:tc>
        <w:tc>
          <w:tcPr>
            <w:tcW w:w="2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640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119,914</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59,258</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332,621</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145,547</w:t>
            </w:r>
          </w:p>
        </w:tc>
        <w:tc>
          <w:tcPr>
            <w:tcW w:w="100" w:type="dxa"/>
            <w:vAlign w:val="bottom"/>
          </w:tcPr>
          <w:p>
            <w:pPr>
              <w:spacing w:after="0"/>
              <w:rPr>
                <w:sz w:val="20"/>
                <w:szCs w:val="20"/>
                <w:color w:val="auto"/>
              </w:rPr>
            </w:pPr>
          </w:p>
        </w:tc>
      </w:tr>
      <w:tr>
        <w:trPr>
          <w:trHeight w:val="243"/>
        </w:trPr>
        <w:tc>
          <w:tcPr>
            <w:tcW w:w="6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(62,120</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(42,412</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(133,551</w:t>
            </w:r>
          </w:p>
        </w:tc>
        <w:tc>
          <w:tcPr>
            <w:tcW w:w="2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(119,881</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7"/>
        </w:trPr>
        <w:tc>
          <w:tcPr>
            <w:tcW w:w="6400" w:type="dxa"/>
            <w:vAlign w:val="bottom"/>
          </w:tcPr>
          <w:p>
            <w:pPr>
              <w:ind w:left="200"/>
              <w:spacing w:after="0"/>
              <w:rPr>
                <w:sz w:val="20"/>
                <w:szCs w:val="20"/>
                <w:color w:val="auto"/>
              </w:rPr>
            </w:pPr>
            <w:r>
              <w:rPr>
                <w:rFonts w:ascii="Arial" w:cs="Arial" w:eastAsia="Arial" w:hAnsi="Arial"/>
                <w:sz w:val="18"/>
                <w:szCs w:val="18"/>
                <w:color w:val="auto"/>
              </w:rPr>
              <w:t>Interest expense, net</w:t>
            </w:r>
          </w:p>
        </w:tc>
        <w:tc>
          <w:tcPr>
            <w:tcW w:w="240" w:type="dxa"/>
            <w:vAlign w:val="bottom"/>
          </w:tcPr>
          <w:p>
            <w:pPr>
              <w:spacing w:after="0"/>
              <w:rPr>
                <w:sz w:val="20"/>
                <w:szCs w:val="20"/>
                <w:color w:val="auto"/>
              </w:rPr>
            </w:pPr>
          </w:p>
        </w:tc>
        <w:tc>
          <w:tcPr>
            <w:tcW w:w="1180" w:type="dxa"/>
            <w:vAlign w:val="bottom"/>
            <w:gridSpan w:val="2"/>
          </w:tcPr>
          <w:p>
            <w:pPr>
              <w:jc w:val="right"/>
              <w:ind w:right="70"/>
              <w:spacing w:after="0"/>
              <w:rPr>
                <w:sz w:val="20"/>
                <w:szCs w:val="20"/>
                <w:color w:val="auto"/>
              </w:rPr>
            </w:pPr>
            <w:r>
              <w:rPr>
                <w:rFonts w:ascii="Arial" w:cs="Arial" w:eastAsia="Arial" w:hAnsi="Arial"/>
                <w:sz w:val="18"/>
                <w:szCs w:val="18"/>
                <w:color w:val="auto"/>
              </w:rPr>
              <w:t>(757 )</w:t>
            </w:r>
          </w:p>
        </w:tc>
        <w:tc>
          <w:tcPr>
            <w:tcW w:w="120" w:type="dxa"/>
            <w:vAlign w:val="bottom"/>
          </w:tcPr>
          <w:p>
            <w:pPr>
              <w:spacing w:after="0"/>
              <w:rPr>
                <w:sz w:val="20"/>
                <w:szCs w:val="20"/>
                <w:color w:val="auto"/>
              </w:rPr>
            </w:pPr>
          </w:p>
        </w:tc>
        <w:tc>
          <w:tcPr>
            <w:tcW w:w="1080" w:type="dxa"/>
            <w:vAlign w:val="bottom"/>
            <w:gridSpan w:val="2"/>
          </w:tcPr>
          <w:p>
            <w:pPr>
              <w:jc w:val="right"/>
              <w:ind w:right="70"/>
              <w:spacing w:after="0"/>
              <w:rPr>
                <w:sz w:val="20"/>
                <w:szCs w:val="20"/>
                <w:color w:val="auto"/>
              </w:rPr>
            </w:pPr>
            <w:r>
              <w:rPr>
                <w:rFonts w:ascii="Arial" w:cs="Arial" w:eastAsia="Arial" w:hAnsi="Arial"/>
                <w:sz w:val="18"/>
                <w:szCs w:val="18"/>
                <w:color w:val="auto"/>
              </w:rPr>
              <w:t>(2,411 )</w:t>
            </w:r>
          </w:p>
        </w:tc>
        <w:tc>
          <w:tcPr>
            <w:tcW w:w="120" w:type="dxa"/>
            <w:vAlign w:val="bottom"/>
          </w:tcPr>
          <w:p>
            <w:pPr>
              <w:spacing w:after="0"/>
              <w:rPr>
                <w:sz w:val="20"/>
                <w:szCs w:val="20"/>
                <w:color w:val="auto"/>
              </w:rPr>
            </w:pPr>
          </w:p>
        </w:tc>
        <w:tc>
          <w:tcPr>
            <w:tcW w:w="1060" w:type="dxa"/>
            <w:vAlign w:val="bottom"/>
            <w:gridSpan w:val="2"/>
          </w:tcPr>
          <w:p>
            <w:pPr>
              <w:jc w:val="right"/>
              <w:ind w:right="50"/>
              <w:spacing w:after="0"/>
              <w:rPr>
                <w:sz w:val="20"/>
                <w:szCs w:val="20"/>
                <w:color w:val="auto"/>
              </w:rPr>
            </w:pPr>
            <w:r>
              <w:rPr>
                <w:rFonts w:ascii="Arial" w:cs="Arial" w:eastAsia="Arial" w:hAnsi="Arial"/>
                <w:sz w:val="18"/>
                <w:szCs w:val="18"/>
                <w:color w:val="auto"/>
              </w:rPr>
              <w:t>(5,751 )</w:t>
            </w:r>
          </w:p>
        </w:tc>
        <w:tc>
          <w:tcPr>
            <w:tcW w:w="16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(6,012 )</w:t>
            </w:r>
          </w:p>
        </w:tc>
      </w:tr>
      <w:tr>
        <w:trPr>
          <w:trHeight w:val="243"/>
        </w:trPr>
        <w:tc>
          <w:tcPr>
            <w:tcW w:w="6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before income taxes</w:t>
            </w:r>
          </w:p>
        </w:tc>
        <w:tc>
          <w:tcPr>
            <w:tcW w:w="240" w:type="dxa"/>
            <w:vAlign w:val="bottom"/>
            <w:tcBorders>
              <w:top w:val="single" w:sz="8" w:color="auto"/>
            </w:tcBorders>
            <w:shd w:val="clear" w:color="auto" w:fill="CFF0FC"/>
          </w:tcPr>
          <w:p>
            <w:pPr>
              <w:spacing w:after="0"/>
              <w:rPr>
                <w:sz w:val="21"/>
                <w:szCs w:val="21"/>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(62,877</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shd w:val="clear" w:color="auto" w:fill="CFF0FC"/>
          </w:tcPr>
          <w:p>
            <w:pPr>
              <w:spacing w:after="0"/>
              <w:rPr>
                <w:sz w:val="21"/>
                <w:szCs w:val="21"/>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(44,823</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shd w:val="clear" w:color="auto" w:fill="CFF0FC"/>
          </w:tcPr>
          <w:p>
            <w:pPr>
              <w:spacing w:after="0"/>
              <w:rPr>
                <w:sz w:val="21"/>
                <w:szCs w:val="21"/>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(139,302</w:t>
            </w:r>
          </w:p>
        </w:tc>
        <w:tc>
          <w:tcPr>
            <w:tcW w:w="2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tcBorders>
            <w:shd w:val="clear" w:color="auto" w:fill="CFF0FC"/>
          </w:tcPr>
          <w:p>
            <w:pPr>
              <w:spacing w:after="0"/>
              <w:rPr>
                <w:sz w:val="21"/>
                <w:szCs w:val="21"/>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(125,893</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7"/>
        </w:trPr>
        <w:tc>
          <w:tcPr>
            <w:tcW w:w="6400" w:type="dxa"/>
            <w:vAlign w:val="bottom"/>
          </w:tcPr>
          <w:p>
            <w:pPr>
              <w:ind w:left="200"/>
              <w:spacing w:after="0"/>
              <w:rPr>
                <w:sz w:val="20"/>
                <w:szCs w:val="20"/>
                <w:color w:val="auto"/>
              </w:rPr>
            </w:pPr>
            <w:r>
              <w:rPr>
                <w:rFonts w:ascii="Arial" w:cs="Arial" w:eastAsia="Arial" w:hAnsi="Arial"/>
                <w:sz w:val="18"/>
                <w:szCs w:val="18"/>
                <w:color w:val="auto"/>
              </w:rPr>
              <w:t>Income tax benefit (expense)</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678</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60" w:type="dxa"/>
            <w:vAlign w:val="bottom"/>
            <w:gridSpan w:val="2"/>
          </w:tcPr>
          <w:p>
            <w:pPr>
              <w:jc w:val="right"/>
              <w:ind w:right="50"/>
              <w:spacing w:after="0"/>
              <w:rPr>
                <w:sz w:val="20"/>
                <w:szCs w:val="20"/>
                <w:color w:val="auto"/>
              </w:rPr>
            </w:pPr>
            <w:r>
              <w:rPr>
                <w:rFonts w:ascii="Arial" w:cs="Arial" w:eastAsia="Arial" w:hAnsi="Arial"/>
                <w:sz w:val="18"/>
                <w:szCs w:val="18"/>
                <w:color w:val="auto"/>
              </w:rPr>
              <w:t>(1,285 )</w:t>
            </w:r>
          </w:p>
        </w:tc>
        <w:tc>
          <w:tcPr>
            <w:tcW w:w="160" w:type="dxa"/>
            <w:vAlign w:val="bottom"/>
          </w:tcPr>
          <w:p>
            <w:pPr>
              <w:spacing w:after="0"/>
              <w:rPr>
                <w:sz w:val="20"/>
                <w:szCs w:val="20"/>
                <w:color w:val="auto"/>
              </w:rPr>
            </w:pPr>
          </w:p>
        </w:tc>
        <w:tc>
          <w:tcPr>
            <w:tcW w:w="88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76"/>
        </w:trPr>
        <w:tc>
          <w:tcPr>
            <w:tcW w:w="64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(62,199</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(44,823</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(140,587</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(125,893</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24"/>
        </w:trPr>
        <w:tc>
          <w:tcPr>
            <w:tcW w:w="6400" w:type="dxa"/>
            <w:vAlign w:val="bottom"/>
          </w:tcPr>
          <w:p>
            <w:pPr>
              <w:ind w:left="20"/>
              <w:spacing w:after="0"/>
              <w:rPr>
                <w:sz w:val="20"/>
                <w:szCs w:val="20"/>
                <w:color w:val="auto"/>
              </w:rPr>
            </w:pPr>
            <w:r>
              <w:rPr>
                <w:rFonts w:ascii="Arial" w:cs="Arial" w:eastAsia="Arial" w:hAnsi="Arial"/>
                <w:sz w:val="18"/>
                <w:szCs w:val="18"/>
                <w:color w:val="auto"/>
              </w:rPr>
              <w:t>Net loss per common share, basic and diluted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70"/>
              <w:spacing w:after="0"/>
              <w:rPr>
                <w:sz w:val="20"/>
                <w:szCs w:val="20"/>
                <w:color w:val="auto"/>
              </w:rPr>
            </w:pPr>
            <w:r>
              <w:rPr>
                <w:rFonts w:ascii="Arial" w:cs="Arial" w:eastAsia="Arial" w:hAnsi="Arial"/>
                <w:sz w:val="18"/>
                <w:szCs w:val="18"/>
                <w:color w:val="auto"/>
              </w:rPr>
              <w:t>(1.32 )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70"/>
              <w:spacing w:after="0"/>
              <w:rPr>
                <w:sz w:val="20"/>
                <w:szCs w:val="20"/>
                <w:color w:val="auto"/>
              </w:rPr>
            </w:pPr>
            <w:r>
              <w:rPr>
                <w:rFonts w:ascii="Arial" w:cs="Arial" w:eastAsia="Arial" w:hAnsi="Arial"/>
                <w:sz w:val="18"/>
                <w:szCs w:val="18"/>
                <w:color w:val="auto"/>
              </w:rPr>
              <w:t>(1.07 )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50"/>
              <w:spacing w:after="0"/>
              <w:rPr>
                <w:sz w:val="20"/>
                <w:szCs w:val="20"/>
                <w:color w:val="auto"/>
              </w:rPr>
            </w:pPr>
            <w:r>
              <w:rPr>
                <w:rFonts w:ascii="Arial" w:cs="Arial" w:eastAsia="Arial" w:hAnsi="Arial"/>
                <w:sz w:val="18"/>
                <w:szCs w:val="18"/>
                <w:color w:val="auto"/>
              </w:rPr>
              <w:t>(3.14 )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(3.17 )</w:t>
            </w:r>
          </w:p>
        </w:tc>
      </w:tr>
      <w:tr>
        <w:trPr>
          <w:trHeight w:val="20"/>
        </w:trPr>
        <w:tc>
          <w:tcPr>
            <w:tcW w:w="6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2"/>
        </w:trPr>
        <w:tc>
          <w:tcPr>
            <w:tcW w:w="64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Weighted average common shares outstanding, basic and diluted</w:t>
            </w: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2"/>
              </w:rPr>
              <w:t>39,715,26</w:t>
            </w:r>
          </w:p>
        </w:tc>
        <w:tc>
          <w:tcPr>
            <w:tcW w:w="100" w:type="dxa"/>
            <w:vAlign w:val="bottom"/>
            <w:shd w:val="clear" w:color="auto" w:fill="CFF0FC"/>
          </w:tcPr>
          <w:p>
            <w:pPr>
              <w:spacing w:after="0"/>
              <w:rPr>
                <w:sz w:val="17"/>
                <w:szCs w:val="17"/>
                <w:color w:val="auto"/>
              </w:rPr>
            </w:pPr>
          </w:p>
        </w:tc>
      </w:tr>
      <w:tr>
        <w:trPr>
          <w:trHeight w:val="277"/>
        </w:trPr>
        <w:tc>
          <w:tcPr>
            <w:tcW w:w="64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spacing w:after="0"/>
              <w:rPr>
                <w:sz w:val="24"/>
                <w:szCs w:val="24"/>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47,117,196</w:t>
            </w:r>
          </w:p>
        </w:tc>
        <w:tc>
          <w:tcPr>
            <w:tcW w:w="2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spacing w:after="0"/>
              <w:rPr>
                <w:sz w:val="24"/>
                <w:szCs w:val="24"/>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41,704,362</w:t>
            </w:r>
          </w:p>
        </w:tc>
        <w:tc>
          <w:tcPr>
            <w:tcW w:w="2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spacing w:after="0"/>
              <w:rPr>
                <w:sz w:val="24"/>
                <w:szCs w:val="24"/>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44,783,380</w:t>
            </w:r>
          </w:p>
        </w:tc>
        <w:tc>
          <w:tcPr>
            <w:tcW w:w="2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spacing w:after="0"/>
              <w:rPr>
                <w:sz w:val="24"/>
                <w:szCs w:val="24"/>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4813935</wp:posOffset>
            </wp:positionH>
            <wp:positionV relativeFrom="paragraph">
              <wp:posOffset>-2416810</wp:posOffset>
            </wp:positionV>
            <wp:extent cx="77470" cy="1631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-2416810</wp:posOffset>
            </wp:positionV>
            <wp:extent cx="76835" cy="1631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-2416810</wp:posOffset>
            </wp:positionV>
            <wp:extent cx="68580" cy="1631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-2416810</wp:posOffset>
            </wp:positionV>
            <wp:extent cx="68580" cy="1631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-1482090</wp:posOffset>
            </wp:positionV>
            <wp:extent cx="7747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-1482090</wp:posOffset>
            </wp:positionV>
            <wp:extent cx="76835"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-1482090</wp:posOffset>
            </wp:positionV>
            <wp:extent cx="6858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-1482090</wp:posOffset>
            </wp:positionV>
            <wp:extent cx="6858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-522605</wp:posOffset>
            </wp:positionV>
            <wp:extent cx="2322830" cy="2057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322830" cy="20574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-24765</wp:posOffset>
            </wp:positionV>
            <wp:extent cx="774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-8255</wp:posOffset>
            </wp:positionV>
            <wp:extent cx="7747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-24765</wp:posOffset>
            </wp:positionV>
            <wp:extent cx="768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-8255</wp:posOffset>
            </wp:positionV>
            <wp:extent cx="7683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-24765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-8255</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Axsome Contacts: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Mark Jacobson</w:t>
      </w:r>
    </w:p>
    <w:p>
      <w:pPr>
        <w:spacing w:after="0" w:line="234" w:lineRule="auto"/>
        <w:rPr>
          <w:sz w:val="20"/>
          <w:szCs w:val="20"/>
          <w:color w:val="auto"/>
        </w:rPr>
      </w:pPr>
      <w:r>
        <w:rPr>
          <w:rFonts w:ascii="Arial" w:cs="Arial" w:eastAsia="Arial" w:hAnsi="Arial"/>
          <w:sz w:val="18"/>
          <w:szCs w:val="18"/>
          <w:color w:val="auto"/>
        </w:rPr>
        <w:t>Chief Operating Officer</w:t>
      </w:r>
    </w:p>
    <w:p>
      <w:pPr>
        <w:spacing w:after="0" w:line="235" w:lineRule="auto"/>
        <w:rPr>
          <w:sz w:val="20"/>
          <w:szCs w:val="20"/>
          <w:color w:val="auto"/>
        </w:rPr>
      </w:pPr>
      <w:r>
        <w:rPr>
          <w:rFonts w:ascii="Arial" w:cs="Arial" w:eastAsia="Arial" w:hAnsi="Arial"/>
          <w:sz w:val="18"/>
          <w:szCs w:val="18"/>
          <w:color w:val="auto"/>
        </w:rPr>
        <w:t>Axsome Therapeutics, Inc.</w:t>
      </w:r>
    </w:p>
    <w:p>
      <w:pPr>
        <w:spacing w:after="0" w:line="188" w:lineRule="auto"/>
        <w:rPr>
          <w:sz w:val="20"/>
          <w:szCs w:val="20"/>
          <w:color w:val="auto"/>
        </w:rPr>
      </w:pPr>
      <w:r>
        <w:rPr>
          <w:rFonts w:ascii="Arial" w:cs="Arial" w:eastAsia="Arial" w:hAnsi="Arial"/>
          <w:sz w:val="18"/>
          <w:szCs w:val="18"/>
          <w:color w:val="auto"/>
        </w:rPr>
        <w:t>One World Trade Center, 22</w:t>
      </w:r>
      <w:r>
        <w:rPr>
          <w:rFonts w:ascii="Arial" w:cs="Arial" w:eastAsia="Arial" w:hAnsi="Arial"/>
          <w:sz w:val="24"/>
          <w:szCs w:val="24"/>
          <w:color w:val="auto"/>
          <w:vertAlign w:val="superscript"/>
        </w:rPr>
        <w:t>nd</w:t>
      </w:r>
      <w:r>
        <w:rPr>
          <w:rFonts w:ascii="Arial" w:cs="Arial" w:eastAsia="Arial" w:hAnsi="Arial"/>
          <w:sz w:val="18"/>
          <w:szCs w:val="18"/>
          <w:color w:val="auto"/>
        </w:rPr>
        <w:t xml:space="preserve"> Floor</w:t>
      </w:r>
    </w:p>
    <w:p>
      <w:pPr>
        <w:spacing w:after="0" w:line="235" w:lineRule="auto"/>
        <w:rPr>
          <w:sz w:val="20"/>
          <w:szCs w:val="20"/>
          <w:color w:val="auto"/>
        </w:rPr>
      </w:pPr>
      <w:r>
        <w:rPr>
          <w:rFonts w:ascii="Arial" w:cs="Arial" w:eastAsia="Arial" w:hAnsi="Arial"/>
          <w:sz w:val="18"/>
          <w:szCs w:val="18"/>
          <w:color w:val="auto"/>
        </w:rPr>
        <w:t>New York, NY 10007</w:t>
      </w:r>
    </w:p>
    <w:p>
      <w:pPr>
        <w:spacing w:after="0" w:line="234" w:lineRule="auto"/>
        <w:rPr>
          <w:sz w:val="20"/>
          <w:szCs w:val="20"/>
          <w:color w:val="auto"/>
        </w:rPr>
      </w:pPr>
      <w:r>
        <w:rPr>
          <w:rFonts w:ascii="Arial" w:cs="Arial" w:eastAsia="Arial" w:hAnsi="Arial"/>
          <w:sz w:val="18"/>
          <w:szCs w:val="18"/>
          <w:color w:val="auto"/>
        </w:rPr>
        <w:t>Tel: 212-332-3243</w:t>
      </w:r>
    </w:p>
    <w:p>
      <w:pPr>
        <w:spacing w:after="0" w:line="235" w:lineRule="auto"/>
        <w:rPr>
          <w:sz w:val="20"/>
          <w:szCs w:val="20"/>
          <w:color w:val="auto"/>
        </w:rPr>
      </w:pPr>
      <w:r>
        <w:rPr>
          <w:rFonts w:ascii="Arial" w:cs="Arial" w:eastAsia="Arial" w:hAnsi="Arial"/>
          <w:sz w:val="18"/>
          <w:szCs w:val="18"/>
          <w:color w:val="auto"/>
        </w:rPr>
        <w:t>Email: mjacobson@axsome.com</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www.axsome.com</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Darren Opland</w:t>
      </w:r>
    </w:p>
    <w:p>
      <w:pPr>
        <w:spacing w:after="0" w:line="234" w:lineRule="auto"/>
        <w:rPr>
          <w:sz w:val="20"/>
          <w:szCs w:val="20"/>
          <w:color w:val="auto"/>
        </w:rPr>
      </w:pPr>
      <w:r>
        <w:rPr>
          <w:rFonts w:ascii="Arial" w:cs="Arial" w:eastAsia="Arial" w:hAnsi="Arial"/>
          <w:sz w:val="18"/>
          <w:szCs w:val="18"/>
          <w:color w:val="auto"/>
        </w:rPr>
        <w:t>Director, Corporate Communications</w:t>
      </w:r>
    </w:p>
    <w:p>
      <w:pPr>
        <w:spacing w:after="0" w:line="235" w:lineRule="auto"/>
        <w:rPr>
          <w:sz w:val="20"/>
          <w:szCs w:val="20"/>
          <w:color w:val="auto"/>
        </w:rPr>
      </w:pPr>
      <w:r>
        <w:rPr>
          <w:rFonts w:ascii="Arial" w:cs="Arial" w:eastAsia="Arial" w:hAnsi="Arial"/>
          <w:sz w:val="18"/>
          <w:szCs w:val="18"/>
          <w:color w:val="auto"/>
        </w:rPr>
        <w:t>Axsome Therapeutics, Inc.</w:t>
      </w:r>
    </w:p>
    <w:p>
      <w:pPr>
        <w:spacing w:after="0" w:line="188" w:lineRule="auto"/>
        <w:rPr>
          <w:sz w:val="20"/>
          <w:szCs w:val="20"/>
          <w:color w:val="auto"/>
        </w:rPr>
      </w:pPr>
      <w:r>
        <w:rPr>
          <w:rFonts w:ascii="Arial" w:cs="Arial" w:eastAsia="Arial" w:hAnsi="Arial"/>
          <w:sz w:val="18"/>
          <w:szCs w:val="18"/>
          <w:color w:val="auto"/>
        </w:rPr>
        <w:t>One World Trade Center, 22</w:t>
      </w:r>
      <w:r>
        <w:rPr>
          <w:rFonts w:ascii="Arial" w:cs="Arial" w:eastAsia="Arial" w:hAnsi="Arial"/>
          <w:sz w:val="24"/>
          <w:szCs w:val="24"/>
          <w:color w:val="auto"/>
          <w:vertAlign w:val="superscript"/>
        </w:rPr>
        <w:t>nd</w:t>
      </w:r>
      <w:r>
        <w:rPr>
          <w:rFonts w:ascii="Arial" w:cs="Arial" w:eastAsia="Arial" w:hAnsi="Arial"/>
          <w:sz w:val="18"/>
          <w:szCs w:val="18"/>
          <w:color w:val="auto"/>
        </w:rPr>
        <w:t xml:space="preserve"> Floor</w:t>
      </w:r>
    </w:p>
    <w:p>
      <w:pPr>
        <w:spacing w:after="0" w:line="235" w:lineRule="auto"/>
        <w:rPr>
          <w:sz w:val="20"/>
          <w:szCs w:val="20"/>
          <w:color w:val="auto"/>
        </w:rPr>
      </w:pPr>
      <w:r>
        <w:rPr>
          <w:rFonts w:ascii="Arial" w:cs="Arial" w:eastAsia="Arial" w:hAnsi="Arial"/>
          <w:sz w:val="18"/>
          <w:szCs w:val="18"/>
          <w:color w:val="auto"/>
        </w:rPr>
        <w:t>New York, NY 10007</w:t>
      </w:r>
    </w:p>
    <w:p>
      <w:pPr>
        <w:spacing w:after="0"/>
        <w:rPr>
          <w:sz w:val="20"/>
          <w:szCs w:val="20"/>
          <w:color w:val="auto"/>
        </w:rPr>
      </w:pPr>
      <w:r>
        <w:rPr>
          <w:rFonts w:ascii="Arial" w:cs="Arial" w:eastAsia="Arial" w:hAnsi="Arial"/>
          <w:sz w:val="18"/>
          <w:szCs w:val="18"/>
          <w:color w:val="auto"/>
        </w:rPr>
        <w:t>Tel: 929-837-1065</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Email: dopland@axsome.com</w:t>
      </w:r>
    </w:p>
    <w:p>
      <w:pPr>
        <w:spacing w:after="0"/>
        <w:rPr>
          <w:sz w:val="20"/>
          <w:szCs w:val="20"/>
          <w:color w:val="auto"/>
        </w:rPr>
      </w:pPr>
      <w:r>
        <w:rPr>
          <w:rFonts w:ascii="Arial" w:cs="Arial" w:eastAsia="Arial" w:hAnsi="Arial"/>
          <w:sz w:val="18"/>
          <w:szCs w:val="18"/>
          <w:color w:val="auto"/>
        </w:rPr>
        <w:t>www.axsome.com</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202565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References:</w:t>
      </w:r>
    </w:p>
    <w:p>
      <w:pPr>
        <w:spacing w:after="0" w:line="18" w:lineRule="exact"/>
        <w:rPr>
          <w:sz w:val="20"/>
          <w:szCs w:val="20"/>
          <w:color w:val="auto"/>
        </w:rPr>
      </w:pPr>
    </w:p>
    <w:p>
      <w:pPr>
        <w:ind w:left="380" w:right="200" w:hanging="372"/>
        <w:spacing w:after="0" w:line="242" w:lineRule="auto"/>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J. I. Hudson, E. Hiripi, H. G. Pope, and R. C. Kessler, “The Prevalence and Correlates of Eating Disorders in the National Comorbidity Survey Replication,” Biol. Psychiatry, vol. 61, no. 3, pp. 348–358, Feb. 2007, doi: 10.1016/j.biopsych.2006.03.040.</w:t>
      </w:r>
    </w:p>
    <w:p>
      <w:pPr>
        <w:spacing w:after="0" w:line="1" w:lineRule="exact"/>
        <w:rPr>
          <w:rFonts w:ascii="Arial" w:cs="Arial" w:eastAsia="Arial" w:hAnsi="Arial"/>
          <w:sz w:val="18"/>
          <w:szCs w:val="18"/>
          <w:color w:val="auto"/>
        </w:rPr>
      </w:pPr>
    </w:p>
    <w:p>
      <w:pPr>
        <w:ind w:left="380" w:right="340" w:hanging="372"/>
        <w:spacing w:after="0" w:line="248" w:lineRule="auto"/>
        <w:tabs>
          <w:tab w:leader="none" w:pos="3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Alterman, T., Luckhaupt, S. E., Dahlhamer, J. M., Ward, B. W. &amp; Calvert, G. M. Prevalence rates of work organization characteristics among workers in the U.S.: data from the 2010 National Health Interview Survey. Am. J. Ind. Med. 56, 647–659 (2013).</w:t>
      </w:r>
    </w:p>
    <w:p>
      <w:pPr>
        <w:spacing w:after="0" w:line="1" w:lineRule="exact"/>
        <w:rPr>
          <w:rFonts w:ascii="Arial" w:cs="Arial" w:eastAsia="Arial" w:hAnsi="Arial"/>
          <w:sz w:val="17"/>
          <w:szCs w:val="17"/>
          <w:color w:val="auto"/>
        </w:rPr>
      </w:pPr>
    </w:p>
    <w:p>
      <w:pPr>
        <w:ind w:left="380" w:hanging="372"/>
        <w:spacing w:after="0" w:line="234" w:lineRule="auto"/>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Drake, C. L., Roehrs, T., Richardson, G., Walsh, J. K. &amp; Roth, T. Shift work sleep disorder: prevalence and consequences beyond that of symptomatic day workers. Sleep 27, 1453–1462 (2004).</w:t>
      </w:r>
    </w:p>
    <w:p>
      <w:pPr>
        <w:spacing w:after="0" w:line="1" w:lineRule="exact"/>
        <w:rPr>
          <w:rFonts w:ascii="Arial" w:cs="Arial" w:eastAsia="Arial" w:hAnsi="Arial"/>
          <w:sz w:val="18"/>
          <w:szCs w:val="18"/>
          <w:color w:val="auto"/>
        </w:rPr>
      </w:pPr>
    </w:p>
    <w:p>
      <w:pPr>
        <w:ind w:left="380" w:right="220" w:hanging="372"/>
        <w:spacing w:after="0" w:line="246" w:lineRule="auto"/>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Wickwire, E. M., Geiger-Brown, J., Scharf, S. M. &amp; Drake, C. L. Shift Work and Shift Work Sleep Disorder: Clinical and Organizational Perspectives. Chest 151, 1156–1172 (2017).</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202565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11" w:name="page12"/>
    <w:bookmarkEnd w:id="1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
      <w:numFmt w:val="bullet"/>
      <w:start w:val="1"/>
    </w:lvl>
  </w:abstractNum>
  <w:abstractNum w:abstractNumId="13">
    <w:nsid w:val="7FDCC233"/>
    <w:multiLevelType w:val="hybridMultilevel"/>
    <w:lvl w:ilvl="0">
      <w:lvlJc w:val="left"/>
      <w:lvlText w:val="•"/>
      <w:numFmt w:val="bullet"/>
      <w:start w:val="1"/>
    </w:lvl>
    <w:lvl w:ilvl="1">
      <w:lvlJc w:val="left"/>
      <w:lvlText w:val="o"/>
      <w:numFmt w:val="bullet"/>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2023-11-06T06:21:56Z</dcterms:created>
  <dcterms:modified xsi:type="dcterms:W3CDTF">2023-11-06T06:21:56Z</dcterms:modified>
</cp:coreProperties>
</file>