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704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704840"/>
                    </a:xfrm>
                    <a:prstGeom prst="rect">
                      <a:avLst/>
                    </a:prstGeom>
                    <a:noFill/>
                  </pic:spPr>
                </pic:pic>
              </a:graphicData>
            </a:graphic>
          </wp:anchor>
        </w:drawing>
      </w:r>
    </w:p>
    <w:p>
      <w:pPr>
        <w:sectPr>
          <w:pgSz w:w="11900" w:h="16895"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Maizel Ari</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040" w:type="dxa"/>
            <w:vAlign w:val="bottom"/>
            <w:tcBorders>
              <w:top w:val="single" w:sz="8" w:color="0000EE"/>
              <w:bottom w:val="single" w:sz="8" w:color="9A9A9A"/>
            </w:tcBorders>
          </w:tcPr>
          <w:p>
            <w:pPr>
              <w:spacing w:after="0"/>
              <w:rPr>
                <w:sz w:val="17"/>
                <w:szCs w:val="17"/>
                <w:color w:val="auto"/>
              </w:rPr>
            </w:pPr>
          </w:p>
        </w:tc>
        <w:tc>
          <w:tcPr>
            <w:tcW w:w="20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10/14/2024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Axsome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AXSM</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95" w:orient="portrait"/>
          <w:cols w:equalWidth="0" w:num="2">
            <w:col w:w="472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97"/>
        <w:spacing w:after="0" w:line="275" w:lineRule="auto"/>
        <w:rPr>
          <w:sz w:val="20"/>
          <w:szCs w:val="20"/>
          <w:color w:val="auto"/>
        </w:rPr>
      </w:pPr>
      <w:r>
        <w:rPr>
          <w:rFonts w:ascii="Times New Roman" w:cs="Times New Roman" w:eastAsia="Times New Roman" w:hAnsi="Times New Roman"/>
          <w:sz w:val="20"/>
          <w:szCs w:val="20"/>
          <w:color w:val="0000FF"/>
        </w:rPr>
        <w:t>C/O AXSOME THERAPEUTICS, INC.</w:t>
      </w:r>
    </w:p>
    <w:p>
      <w:pPr>
        <w:spacing w:after="0" w:line="13" w:lineRule="exact"/>
        <w:rPr>
          <w:sz w:val="24"/>
          <w:szCs w:val="24"/>
          <w:color w:val="auto"/>
        </w:rPr>
      </w:pPr>
    </w:p>
    <w:p>
      <w:pPr>
        <w:ind w:left="140" w:right="1417"/>
        <w:spacing w:after="0" w:line="275" w:lineRule="auto"/>
        <w:rPr>
          <w:sz w:val="20"/>
          <w:szCs w:val="20"/>
          <w:color w:val="auto"/>
        </w:rPr>
      </w:pPr>
      <w:r>
        <w:rPr>
          <w:rFonts w:ascii="Times New Roman" w:cs="Times New Roman" w:eastAsia="Times New Roman" w:hAnsi="Times New Roman"/>
          <w:sz w:val="20"/>
          <w:szCs w:val="20"/>
          <w:color w:val="0000FF"/>
        </w:rPr>
        <w:t>ONE WORLD TRADE CENTER, 22ND FLOOR</w:t>
      </w:r>
    </w:p>
    <w:p>
      <w:pPr>
        <w:spacing w:after="0" w:line="26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NEW</w:t>
      </w:r>
      <w:r>
        <w:rPr>
          <w:rFonts w:ascii="Times New Roman" w:cs="Times New Roman" w:eastAsia="Times New Roman" w:hAnsi="Times New Roman"/>
          <w:sz w:val="20"/>
          <w:szCs w:val="20"/>
          <w:color w:val="0000FF"/>
        </w:rPr>
        <w:t xml:space="preserve"> NY 10007 YORK</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43"/>
        <w:spacing w:after="0"/>
        <w:rPr>
          <w:sz w:val="20"/>
          <w:szCs w:val="20"/>
          <w:color w:val="auto"/>
        </w:rPr>
      </w:pPr>
      <w:r>
        <w:rPr>
          <w:rFonts w:ascii="Times New Roman" w:cs="Times New Roman" w:eastAsia="Times New Roman" w:hAnsi="Times New Roman"/>
          <w:sz w:val="20"/>
          <w:szCs w:val="20"/>
          <w:color w:val="0000FF"/>
        </w:rPr>
        <w:t>Chief Commercial Officer</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1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33" w:lineRule="exact"/>
        <w:rPr>
          <w:sz w:val="24"/>
          <w:szCs w:val="24"/>
          <w:color w:val="auto"/>
        </w:rPr>
      </w:pPr>
    </w:p>
    <w:p>
      <w:pPr>
        <w:sectPr>
          <w:pgSz w:w="11900" w:h="16895" w:orient="portrait"/>
          <w:cols w:equalWidth="0" w:num="3">
            <w:col w:w="4277" w:space="720"/>
            <w:col w:w="3003" w:space="269"/>
            <w:col w:w="2671"/>
          </w:cols>
          <w:pgMar w:left="480" w:top="230" w:right="479" w:bottom="0" w:gutter="0" w:footer="0" w:header="0"/>
          <w:type w:val="continuous"/>
        </w:sectPr>
      </w:pPr>
    </w:p>
    <w:p>
      <w:pPr>
        <w:spacing w:after="0" w:line="19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09/25/2033</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38,710</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70.73</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02/27/2034</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23,593</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89"/>
              </w:rPr>
              <w:t>84</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16,302</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12,956</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1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was granted on September 25, 2023. 25% of the option vests on the one (1) year anniversary of the date of grant, with the remaining 75% to vest in equal increments on a quarterly basis over a four (4) year period, until fully vested.</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was granted on February 27, 2024 and vests in equal increments on a quarterly basis over a four (4) year period, until fully vested.</w:t>
      </w:r>
    </w:p>
    <w:p>
      <w:pPr>
        <w:spacing w:after="0" w:line="52" w:lineRule="exact"/>
        <w:rPr>
          <w:rFonts w:ascii="Times New Roman" w:cs="Times New Roman" w:eastAsia="Times New Roman" w:hAnsi="Times New Roman"/>
          <w:sz w:val="15"/>
          <w:szCs w:val="15"/>
          <w:color w:val="008000"/>
        </w:rPr>
      </w:pPr>
    </w:p>
    <w:p>
      <w:pPr>
        <w:ind w:left="40" w:right="40" w:firstLine="5"/>
        <w:spacing w:after="0" w:line="237"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restricted stock units ("RSU") was granted on September 25, 2023. 25% of the RSUs will vest on the one (1) year anniversary of the date of grant. The remaining RSUs will vest in three substantially equal annual installments, such that the RSUs will be fully vested on September 25, 2027. Vested shares will be delivered to the reporting person upon the earlier of (i) the closing of a Change in Control (as defined in the Issuer's Amended and Restated 2015 Omnibus Incentive Compensation Plan (the "Plan")), (ii) the reporting person's separation of service from the Issuer (including termination with or without Cause (as defined in the Plan), or termination due to death or disability) of the reporting person, or (iii) seven (7) years from the date of grant.</w:t>
      </w:r>
    </w:p>
    <w:p>
      <w:pPr>
        <w:spacing w:after="0" w:line="33"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RSU represents a contingent right to receive one share of the Issuer's common stock.</w:t>
      </w:r>
    </w:p>
    <w:p>
      <w:pPr>
        <w:spacing w:after="0" w:line="52" w:lineRule="exact"/>
        <w:rPr>
          <w:rFonts w:ascii="Times New Roman" w:cs="Times New Roman" w:eastAsia="Times New Roman" w:hAnsi="Times New Roman"/>
          <w:sz w:val="15"/>
          <w:szCs w:val="15"/>
          <w:color w:val="008000"/>
        </w:rPr>
      </w:pPr>
    </w:p>
    <w:p>
      <w:pPr>
        <w:ind w:left="40" w:right="14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RSUs were granted on February 27, 2024. 25% of the RSUs will vest on the one (1) year anniversary of the date of grant. The remaining RSUs will vest in three substantially equal annual installments, such that the RSUs will be fully vested on February 27, 2028. Vested shares will be delivered to the reporting person upon the earlier of (i) the closing of a Change in Control (as defined in the Plan), (ii) the reporting person's separation of service from the Issuer (including termination with or without Cause (as defined in the Plan), or termination due to death or disability) of the reporting person, or (iii) seven (7) years from the date of grant.</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680" w:firstLine="5"/>
        <w:spacing w:after="0" w:line="259" w:lineRule="auto"/>
        <w:tabs>
          <w:tab w:leader="none" w:pos="203"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Exhibit List Exhibit 24 - Power of Attorney; 2) Ari Maizel was promoted to Chief Commercial Officer from his previous position as Executive Vice President, Head of Commercial. Mr. Maizel joined Axsome Therapeutics, Inc. (the "Issuer") in September 2023.</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Nick Pizzie, Attorney-</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10/24/2024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2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Intentional misstatements or omissions of facts constitute Federal Criminal Violations </w:t>
            </w:r>
            <w:r>
              <w:rPr>
                <w:rFonts w:ascii="Arial" w:cs="Arial" w:eastAsia="Arial" w:hAnsi="Arial"/>
                <w:sz w:val="15"/>
                <w:szCs w:val="15"/>
                <w:i w:val="1"/>
                <w:iCs w:val="1"/>
                <w:color w:val="auto"/>
              </w:rPr>
              <w:t>See</w:t>
            </w:r>
            <w:r>
              <w:rPr>
                <w:rFonts w:ascii="Arial" w:cs="Arial" w:eastAsia="Arial" w:hAnsi="Arial"/>
                <w:sz w:val="15"/>
                <w:szCs w:val="15"/>
                <w:color w:val="auto"/>
              </w:rPr>
              <w:t xml:space="preserve"> 18 U.S.C. 1001 and 15 U.S.C. 78ff(a).</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95"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t xml:space="preserve">Note: File three copies of this Form, one of which must be manually signed. If space is insufficient,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6 for procedure.</w:t>
      </w:r>
    </w:p>
    <w:p>
      <w:pPr>
        <w:spacing w:after="0" w:line="53"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55" w:right="559" w:bottom="1440" w:gutter="0" w:footer="0" w:header="0"/>
        </w:sectPr>
      </w:pPr>
    </w:p>
    <w:bookmarkStart w:id="2" w:name="page3"/>
    <w:bookmarkEnd w:id="2"/>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Power of Attorney</w:t>
      </w:r>
    </w:p>
    <w:p>
      <w:pPr>
        <w:spacing w:after="0" w:line="260" w:lineRule="exact"/>
        <w:rPr>
          <w:sz w:val="20"/>
          <w:szCs w:val="20"/>
          <w:color w:val="auto"/>
        </w:rPr>
      </w:pPr>
    </w:p>
    <w:p>
      <w:pPr>
        <w:ind w:right="80" w:firstLine="729"/>
        <w:spacing w:after="0" w:line="266" w:lineRule="auto"/>
        <w:rPr>
          <w:sz w:val="20"/>
          <w:szCs w:val="20"/>
          <w:color w:val="auto"/>
        </w:rPr>
      </w:pPr>
      <w:r>
        <w:rPr>
          <w:rFonts w:ascii="Times New Roman" w:cs="Times New Roman" w:eastAsia="Times New Roman" w:hAnsi="Times New Roman"/>
          <w:sz w:val="20"/>
          <w:szCs w:val="20"/>
          <w:color w:val="auto"/>
        </w:rPr>
        <w:t>KNOW ALL MEN BY THESE PRESENTS, that the undersigned hereby constitutes and appoints Herriot Tabuteau, M.D. and Nick Pizzie of Axsome Therapeutics, Inc. (the “Company”), or either one of them, his true and lawful attorney-in-fact and agent, with full power of substitution and resubstitution, for him and in his name, place and stead, in any and all capacities, to:</w:t>
      </w:r>
    </w:p>
    <w:p>
      <w:pPr>
        <w:spacing w:after="0" w:line="226" w:lineRule="exact"/>
        <w:rPr>
          <w:sz w:val="20"/>
          <w:szCs w:val="20"/>
          <w:color w:val="auto"/>
        </w:rPr>
      </w:pPr>
    </w:p>
    <w:p>
      <w:pPr>
        <w:ind w:left="1100" w:right="120" w:hanging="371"/>
        <w:spacing w:after="0" w:line="266" w:lineRule="auto"/>
        <w:tabs>
          <w:tab w:leader="none" w:pos="11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an officer, director, or holder of 10% of more of a registered class of securities of the Company, Forms 3, 4, and 5 in accordance with Section 16(a) of the Securities Exchange Act of 1934, as amended (the “Exchange Act”), and the rules thereunder;</w:t>
      </w:r>
    </w:p>
    <w:p>
      <w:pPr>
        <w:spacing w:after="0" w:line="225" w:lineRule="exact"/>
        <w:rPr>
          <w:rFonts w:ascii="Times New Roman" w:cs="Times New Roman" w:eastAsia="Times New Roman" w:hAnsi="Times New Roman"/>
          <w:sz w:val="20"/>
          <w:szCs w:val="20"/>
          <w:color w:val="auto"/>
        </w:rPr>
      </w:pPr>
    </w:p>
    <w:p>
      <w:pPr>
        <w:ind w:left="1100" w:right="120" w:hanging="371"/>
        <w:spacing w:after="0" w:line="261" w:lineRule="auto"/>
        <w:tabs>
          <w:tab w:leader="none" w:pos="11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complete and execute such Form 3, 4, or 5, complete and execute any amendment or amendments thereto, and timely file such forms or amendments with the United States Securities and Exchange Commission and any stock exchange or similar authority; and</w:t>
      </w:r>
    </w:p>
    <w:p>
      <w:pPr>
        <w:spacing w:after="0" w:line="230" w:lineRule="exact"/>
        <w:rPr>
          <w:rFonts w:ascii="Times New Roman" w:cs="Times New Roman" w:eastAsia="Times New Roman" w:hAnsi="Times New Roman"/>
          <w:sz w:val="20"/>
          <w:szCs w:val="20"/>
          <w:color w:val="auto"/>
        </w:rPr>
      </w:pPr>
    </w:p>
    <w:p>
      <w:pPr>
        <w:ind w:left="1100" w:right="80" w:hanging="371"/>
        <w:spacing w:after="0" w:line="258" w:lineRule="auto"/>
        <w:tabs>
          <w:tab w:leader="none" w:pos="11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20" w:firstLine="729"/>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 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until such attorney-in-fact shall no longer be employed by the Company.</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I have hereunto set my hand and seal this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xml:space="preserve"> day of October, 2024.</w:t>
      </w:r>
    </w:p>
    <w:p>
      <w:pPr>
        <w:spacing w:after="0" w:line="21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/s/ Ari Maizel</w:t>
      </w:r>
    </w:p>
    <w:p>
      <w:pPr>
        <w:spacing w:after="0" w:line="4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Name: Ari Maizel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3497580</wp:posOffset>
            </wp:positionH>
            <wp:positionV relativeFrom="paragraph">
              <wp:posOffset>-142240</wp:posOffset>
            </wp:positionV>
            <wp:extent cx="337312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373120" cy="952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1340485</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042289" TargetMode="External"/><Relationship Id="rId11"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2024-10-24T17:27:56Z</dcterms:created>
  <dcterms:modified xsi:type="dcterms:W3CDTF">2024-10-24T17:27:56Z</dcterms:modified>
</cp:coreProperties>
</file>