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May 6, 2024, Axsome Therapeutics, Inc. (the “Company”) issued a press release announcing its financial results for the three months ended March 31, 2024 and provided an update on the Company’s operations. The Company is furnishing a copy of the press release, which is attached hereto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2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6, 2024.</w:t>
            </w:r>
          </w:p>
        </w:tc>
        <w:tc>
          <w:tcPr>
            <w:tcW w:w="20" w:type="dxa"/>
            <w:vAlign w:val="bottom"/>
            <w:tcBorders>
              <w:bottom w:val="single" w:sz="8" w:color="0000EE"/>
            </w:tcBorders>
          </w:tcPr>
          <w:p>
            <w:pPr>
              <w:spacing w:after="0"/>
              <w:rPr>
                <w:sz w:val="18"/>
                <w:szCs w:val="18"/>
                <w:color w:val="auto"/>
              </w:rPr>
            </w:pPr>
          </w:p>
        </w:tc>
        <w:tc>
          <w:tcPr>
            <w:tcW w:w="7420" w:type="dxa"/>
            <w:vAlign w:val="bottom"/>
          </w:tcPr>
          <w:p>
            <w:pPr>
              <w:spacing w:after="0"/>
              <w:rPr>
                <w:sz w:val="18"/>
                <w:szCs w:val="18"/>
                <w:color w:val="auto"/>
              </w:rPr>
            </w:pPr>
          </w:p>
        </w:tc>
      </w:tr>
      <w:tr>
        <w:trPr>
          <w:trHeight w:val="2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6, 2024</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640" w:type="dxa"/>
            <w:vAlign w:val="bottom"/>
          </w:tcPr>
          <w:p>
            <w:pPr>
              <w:spacing w:after="0"/>
              <w:rPr>
                <w:sz w:val="17"/>
                <w:szCs w:val="17"/>
                <w:color w:val="auto"/>
              </w:rPr>
            </w:pPr>
          </w:p>
        </w:tc>
        <w:tc>
          <w:tcPr>
            <w:tcW w:w="2660" w:type="dxa"/>
            <w:vAlign w:val="bottom"/>
          </w:tcPr>
          <w:p>
            <w:pPr>
              <w:ind w:left="20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40" w:type="dxa"/>
            <w:vAlign w:val="bottom"/>
          </w:tcPr>
          <w:p>
            <w:pPr>
              <w:spacing w:after="0"/>
              <w:rPr>
                <w:sz w:val="21"/>
                <w:szCs w:val="21"/>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6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140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14070" cy="4629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2024 Financial Results and Provides Business Update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1Q 2024 net product revenue of $75.0 million, representing 160% year-over-year growth</w:t>
      </w:r>
    </w:p>
    <w:p>
      <w:pPr>
        <w:spacing w:after="0" w:line="212" w:lineRule="exact"/>
        <w:rPr>
          <w:sz w:val="20"/>
          <w:szCs w:val="20"/>
          <w:color w:val="auto"/>
        </w:rPr>
      </w:pPr>
    </w:p>
    <w:p>
      <w:pPr>
        <w:jc w:val="center"/>
        <w:spacing w:after="0" w:line="473" w:lineRule="auto"/>
        <w:rPr>
          <w:sz w:val="20"/>
          <w:szCs w:val="20"/>
          <w:color w:val="auto"/>
        </w:rPr>
      </w:pPr>
      <w:r>
        <w:rPr>
          <w:rFonts w:ascii="Arial" w:cs="Arial" w:eastAsia="Arial" w:hAnsi="Arial"/>
          <w:sz w:val="18"/>
          <w:szCs w:val="18"/>
          <w:i w:val="1"/>
          <w:iCs w:val="1"/>
          <w:color w:val="auto"/>
        </w:rPr>
        <w:t>Auvelity® 1Q 2024 net product sales of $53.4 million, representing 240% year-over-year growth Sunosi® 1Q 2024 net product revenue of $21.6 million representing 64% year-over-year growth Contract executed with second large group purchasing organization (GPO) for potential coverage of Auvelity Positive pivotal Phase 3 trial results of AXS-12 in narcolepsy announced</w:t>
      </w:r>
    </w:p>
    <w:p>
      <w:pPr>
        <w:spacing w:after="0" w:line="2" w:lineRule="exact"/>
        <w:rPr>
          <w:sz w:val="20"/>
          <w:szCs w:val="20"/>
          <w:color w:val="auto"/>
        </w:rPr>
      </w:pPr>
    </w:p>
    <w:p>
      <w:pPr>
        <w:jc w:val="center"/>
        <w:ind w:right="40"/>
        <w:spacing w:after="0" w:line="269" w:lineRule="auto"/>
        <w:rPr>
          <w:sz w:val="20"/>
          <w:szCs w:val="20"/>
          <w:color w:val="auto"/>
        </w:rPr>
      </w:pPr>
      <w:r>
        <w:rPr>
          <w:rFonts w:ascii="Arial" w:cs="Arial" w:eastAsia="Arial" w:hAnsi="Arial"/>
          <w:sz w:val="18"/>
          <w:szCs w:val="18"/>
          <w:i w:val="1"/>
          <w:iCs w:val="1"/>
          <w:color w:val="auto"/>
        </w:rPr>
        <w:t>Topline results of ADVANCE-2 Phase 3 trial of AXS-05 in Alzheimer’s disease agitation and FOCUS Phase 3 trial of solriamfetol in ADHD both anticipated 2H 2024</w:t>
      </w:r>
    </w:p>
    <w:p>
      <w:pPr>
        <w:spacing w:after="0" w:line="14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i w:val="1"/>
          <w:iCs w:val="1"/>
          <w:color w:val="auto"/>
        </w:rPr>
        <w:t>ACCORD-2 Phase 3 randomized withdrawal trial of AXS-05 in Alzheimer's disease agitation initiated; enrollment completion anticipated mid-year 2024</w:t>
      </w:r>
    </w:p>
    <w:p>
      <w:pPr>
        <w:spacing w:after="0" w:line="144" w:lineRule="exact"/>
        <w:rPr>
          <w:sz w:val="20"/>
          <w:szCs w:val="20"/>
          <w:color w:val="auto"/>
        </w:rPr>
      </w:pPr>
    </w:p>
    <w:p>
      <w:pPr>
        <w:jc w:val="center"/>
        <w:spacing w:after="0" w:line="476" w:lineRule="auto"/>
        <w:rPr>
          <w:sz w:val="20"/>
          <w:szCs w:val="20"/>
          <w:color w:val="auto"/>
        </w:rPr>
      </w:pPr>
      <w:r>
        <w:rPr>
          <w:rFonts w:ascii="Arial" w:cs="Arial" w:eastAsia="Arial" w:hAnsi="Arial"/>
          <w:sz w:val="18"/>
          <w:szCs w:val="18"/>
          <w:i w:val="1"/>
          <w:iCs w:val="1"/>
          <w:color w:val="auto"/>
        </w:rPr>
        <w:t>PARADIGM and ENGAGE Phase 3 trials of solriamfetol in major depressive disorder and binge eating disorder, respectively, initiated NDA resubmission for AXS-07 in migraine and NDA submission for AXS-14 in fibromyalgia both targeted for 2Q 2024</w:t>
      </w:r>
    </w:p>
    <w:p>
      <w:pPr>
        <w:jc w:val="both"/>
        <w:spacing w:after="0" w:line="253" w:lineRule="auto"/>
        <w:rPr>
          <w:sz w:val="20"/>
          <w:szCs w:val="20"/>
          <w:color w:val="auto"/>
        </w:rPr>
      </w:pPr>
      <w:r>
        <w:rPr>
          <w:rFonts w:ascii="Arial" w:cs="Arial" w:eastAsia="Arial" w:hAnsi="Arial"/>
          <w:sz w:val="18"/>
          <w:szCs w:val="18"/>
          <w:color w:val="auto"/>
        </w:rPr>
        <w:t>NEW YORK, May 6, 2024 (Globe Newswire) – Axsome Therapeutics, Inc. (NASDAQ: AXSM), a biopharmaceutical company developing and delivering novel therapies for the management of central nervous system (CNS) disorders, today announced financial results for the first quarter of 2024.</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first quarter was marked by strong financial performance for our on-market products which are delivering important and differentiated treatment options for patients living with depression, narcolepsy and obstructive sleep apnea,” said Herriot Tabuteau, MD, CEO of Axsome Therapeutics. “We also significantly advanced our innovative neuroscience pipeline in the quarter. We announced positive Phase 3 results for AXS-12 in narcolepsy, a major step toward making this new medicine available to patients living with this debilitating condition, and we launched two pivotal trials of solriamfetol in major depressive disorder and binge eating disorder. In the coming months we look forward to resubmitting our NDA for AXS-07 in migraine, and to submitting our NDA for AXS-14 in fibromyalgia. Our Phase 3 ADVANCE-2 trial of AXS-05 in Alzheimer’s disease agitation remains on track for completion in the second half of 2024. Further, we added to the robustness of this clinical development program with the initiation of the ACCORD-2 study of AXS-05 in Alzheimer’s disease agitation, a Phase 3 randomized withdrawal trial, for which we expect to complete enrollment mid-year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2024 Financial Highlights</w:t>
      </w:r>
    </w:p>
    <w:p>
      <w:pPr>
        <w:spacing w:after="0" w:line="185" w:lineRule="exact"/>
        <w:rPr>
          <w:sz w:val="20"/>
          <w:szCs w:val="20"/>
          <w:color w:val="auto"/>
        </w:rPr>
      </w:pPr>
    </w:p>
    <w:p>
      <w:pPr>
        <w:jc w:val="both"/>
        <w:ind w:left="380" w:hanging="372"/>
        <w:spacing w:after="0" w:line="24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product revenue for the first quarter of 2024 was $75.0 million, representing 160% year-over-year growth. Total net product revenue for the comparable period in 2023 was $28.8 million. Overall total revenue for the first quarter of 2023 was $94.6 million which included a one-time $65.7 million upfront payment received for the out-licensing of Sunosi commercialization rights in Europe and certain countries in the Middle East and North Africa region.</w:t>
      </w:r>
    </w:p>
    <w:p>
      <w:pPr>
        <w:spacing w:after="0" w:line="136"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were $53.4 million for the first quarter of 2024, representing 240% year-over-year growth. Auvelity net product sales for the comparable period in 2023 were $15.7 million.</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 was $21.6 million for the first quarter of 2024, consisting of $20.7 million in net product sales and $0.9 million in royalty revenue associated with sales in out-licensed territories, representing 64% year-over-year growth. Sunosi net product revenue for the comparable period in 2023 was $13.2 million, consisting of $12.9 million in net product sales and $0.3 million in royalty revenue.</w:t>
      </w:r>
    </w:p>
    <w:p>
      <w:pPr>
        <w:spacing w:after="0" w:line="68"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was $6.3 million for the first quarter of 2024. Total cost of revenue for the comparable period in 2023 was $7.6 million. The 2023 comparable period includes $5.0 million in out-license fee sharing expense.</w:t>
      </w:r>
    </w:p>
    <w:p>
      <w:pPr>
        <w:spacing w:after="0" w:line="46"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$36.8 million for the first quarter of 2024, compared to $17.8 million for the comparable period in 2023, respectively. The increase was primarily related to the initiation and continuation of solriamfetol Phase 3 trials in major depressive disorder, binge eating disorder, and ADHD, ongoing trials of AXS-05 and AXS-12, manufacturing associated with the anticipated NDAs for AXS-07 and AXS-14, post-marketing commitments for Auvelity and Sunosi, and higher personnel costs including non-cash stock-based compensation.</w:t>
      </w:r>
    </w:p>
    <w:p>
      <w:pPr>
        <w:spacing w:after="0" w:line="71"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$99.0 million for the first quarter of 2024, compared to $74.2 million for the comparable period in 2023. The increase was primarily related to commercialization activities for Auvelity and Sunosi specifically around field force expansion and organizational growth, including non-cash stock-based compensation.</w:t>
      </w:r>
    </w:p>
    <w:p>
      <w:pPr>
        <w:spacing w:after="0" w:line="13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first quarter of 2024 was $68.4 million or $(1.44) per share, compared to a net loss of $11.2 million, or $(0.26) per share for the comparable period in 2023. The net loss in the first quarter of 2024 reflects $21.0 million in non-cash charges. The 2023 comparable period includes $62.0 million in net gain from the Sunosi out-licensing.</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$331.4 million at March 31, 2024, compared to $386.2 million at December 31, 2023.</w:t>
      </w:r>
    </w:p>
    <w:p>
      <w:pPr>
        <w:spacing w:after="0" w:line="19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47,464,575 at March 31,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71" w:lineRule="exact"/>
        <w:rPr>
          <w:sz w:val="20"/>
          <w:szCs w:val="20"/>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69" w:lineRule="exact"/>
        <w:rPr>
          <w:sz w:val="20"/>
          <w:szCs w:val="20"/>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95,000 prescriptions were written for Auvelity in the first quarter of 2024, representing a 12% sequential increase versus the fourth quarter of 2023.</w:t>
      </w:r>
    </w:p>
    <w:p>
      <w:pPr>
        <w:spacing w:after="0" w:line="127"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Auvelity across all channels is stable at approximately 70% of all covered lives. The proportion of lives covered in the commercial and government (Medicare and Medicaid) channels are approximately 48% and approximately 100%, respectively.</w:t>
      </w:r>
    </w:p>
    <w:p>
      <w:pPr>
        <w:spacing w:after="0" w:line="14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Effective May 1, 2024, Axsome has contracted with a second large group purchasing organization (GPO) for potential formulary coverage of Auvelity. Pharmacy benefit managers and health plans under this GPO are now able to make coverage decisions for Auvelity based on the contracted terms. Axsome has now contracted with two of the three largest GPOs for Auvelity.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Sunosi</w:t>
      </w:r>
    </w:p>
    <w:p>
      <w:pPr>
        <w:spacing w:after="0" w:line="169"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42,000 prescriptions were written for Sunosi in the U.S. in the first quarter of 2024, representing an 1.6% decrease versus the fourth quarter of 2023.</w:t>
      </w:r>
    </w:p>
    <w:p>
      <w:pPr>
        <w:spacing w:after="0" w:line="167"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Sunosi maintains broad payer coverage in the commercial channel with 95% of lives covered. Currently 83% of total lives across all channels are covered.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is advancing an industry-leading neuroscience portfolio encompassing five innovative, late-stage, patent-protected product candidates for 10 serious psychiatric and neurologic conditions, which affect more than 150 million people in the U.S. alone. Recent and anticipated progress for key pipeline programs is summarized below.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and sigma-1 agonist being developed for Alzheimer’s disease (AD) agitation and smoking cessation. AXS-05 has been granted U.S. Food and Drug Administration (FDA) Breakthrough Therapy designation for AD agitation.</w:t>
      </w:r>
    </w:p>
    <w:p>
      <w:pPr>
        <w:spacing w:after="0" w:line="128" w:lineRule="exact"/>
        <w:rPr>
          <w:sz w:val="20"/>
          <w:szCs w:val="20"/>
          <w:color w:val="auto"/>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 is conducting the ADVANCE-2 study, a Phase 3, placebo-controlled, parallel group trial to</w:t>
      </w:r>
      <w:r>
        <w:rPr>
          <w:rFonts w:ascii="Arial" w:cs="Arial" w:eastAsia="Arial" w:hAnsi="Arial"/>
          <w:sz w:val="18"/>
          <w:szCs w:val="18"/>
          <w:b w:val="1"/>
          <w:bCs w:val="1"/>
          <w:color w:val="auto"/>
        </w:rPr>
        <w:t xml:space="preserve"> </w:t>
      </w:r>
      <w:r>
        <w:rPr>
          <w:rFonts w:ascii="Arial" w:cs="Arial" w:eastAsia="Arial" w:hAnsi="Arial"/>
          <w:sz w:val="18"/>
          <w:szCs w:val="18"/>
          <w:color w:val="auto"/>
        </w:rPr>
        <w:t>evaluate the efficacy and safety of AXS-05 for the treatment of AD agitation. Patients completing ADVANCE-2 may enter a long-term open label safety extension trial. The Company anticipates completion of ADVANCE-2 in the second half of 2024.</w:t>
      </w:r>
    </w:p>
    <w:p>
      <w:pPr>
        <w:spacing w:after="0" w:line="143" w:lineRule="exact"/>
        <w:rPr>
          <w:rFonts w:ascii="Times New Roman" w:cs="Times New Roman" w:eastAsia="Times New Roman" w:hAnsi="Times New Roman"/>
          <w:sz w:val="18"/>
          <w:szCs w:val="18"/>
          <w:color w:val="auto"/>
        </w:rPr>
      </w:pPr>
    </w:p>
    <w:p>
      <w:pPr>
        <w:jc w:val="both"/>
        <w:ind w:left="380"/>
        <w:spacing w:after="0" w:line="243" w:lineRule="auto"/>
        <w:rPr>
          <w:rFonts w:ascii="Times New Roman" w:cs="Times New Roman" w:eastAsia="Times New Roman" w:hAnsi="Times New Roman"/>
          <w:sz w:val="18"/>
          <w:szCs w:val="18"/>
          <w:color w:val="auto"/>
        </w:rPr>
      </w:pPr>
      <w:r>
        <w:rPr>
          <w:rFonts w:ascii="Arial" w:cs="Arial" w:eastAsia="Arial" w:hAnsi="Arial"/>
          <w:sz w:val="18"/>
          <w:szCs w:val="18"/>
          <w:color w:val="auto"/>
        </w:rPr>
        <w:t>Axsome recently initiated the ACCORD-2 study, a Phase 3, double-blind, placebo-controlled, randomized withdrawal trial to evaluate the efficacy and safety of AXS-05 in the treatment of AD agitation. In this study, patients from the Company’s long-term open label safety extension trial are treated with AXS-05 and monitored for treatment response based on the Cohen-Mansfield Agitation Inventory (CMAI). Approximately 140 patients who experience a treatment response are planned to be randomized into the double-blind treatment period, in a 1:1 ratio, to continue treatment with AXS-05 or to switch to placebo, for up to 26 weeks or until a relapse of agitation occurs. The primary endpoint will be the time from randomization to relapse. The Company anticipates completion of enrollment in this study around mid-year.</w:t>
      </w:r>
    </w:p>
    <w:p>
      <w:pPr>
        <w:spacing w:after="0" w:line="139" w:lineRule="exact"/>
        <w:rPr>
          <w:rFonts w:ascii="Times New Roman" w:cs="Times New Roman" w:eastAsia="Times New Roman" w:hAnsi="Times New Roman"/>
          <w:sz w:val="18"/>
          <w:szCs w:val="18"/>
          <w:color w:val="auto"/>
        </w:rPr>
      </w:pPr>
    </w:p>
    <w:p>
      <w:pPr>
        <w:ind w:left="380"/>
        <w:spacing w:after="0" w:line="271" w:lineRule="auto"/>
        <w:rPr>
          <w:rFonts w:ascii="Times New Roman" w:cs="Times New Roman" w:eastAsia="Times New Roman" w:hAnsi="Times New Roman"/>
          <w:sz w:val="18"/>
          <w:szCs w:val="18"/>
          <w:color w:val="auto"/>
        </w:rPr>
      </w:pPr>
      <w:r>
        <w:rPr>
          <w:rFonts w:ascii="Arial" w:cs="Arial" w:eastAsia="Arial" w:hAnsi="Arial"/>
          <w:sz w:val="18"/>
          <w:szCs w:val="18"/>
          <w:color w:val="auto"/>
        </w:rPr>
        <w:t>ACCORD-2 adds a fourth controlled efficacy trial to the robust development program for AXS-05 in AD agitation, which now includes two parallel group trials (ADVANCE-1 and ADVANCE-2) and two randomized withdrawal trials (ACCORD-1 and ACCORD-2).</w:t>
      </w:r>
    </w:p>
    <w:p>
      <w:pPr>
        <w:spacing w:after="0" w:line="1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initiate a pivotal Phase 2/3 trial in this indication in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6" w:name="page7"/>
    <w:bookmarkEnd w:id="6"/>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27" w:lineRule="exact"/>
        <w:rPr>
          <w:sz w:val="20"/>
          <w:szCs w:val="20"/>
          <w:color w:val="auto"/>
        </w:rPr>
      </w:pPr>
    </w:p>
    <w:p>
      <w:pPr>
        <w:jc w:val="both"/>
        <w:ind w:left="380" w:hanging="372"/>
        <w:spacing w:after="0" w:line="246"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Activities for the resubmission of the Company’s New Drug Application (NDA) for AXS-07 for the acute treatment of migraine</w:t>
      </w:r>
      <w:r>
        <w:rPr>
          <w:rFonts w:ascii="Arial" w:cs="Arial" w:eastAsia="Arial" w:hAnsi="Arial"/>
          <w:sz w:val="18"/>
          <w:szCs w:val="18"/>
          <w:b w:val="1"/>
          <w:bCs w:val="1"/>
          <w:color w:val="auto"/>
        </w:rPr>
        <w:t xml:space="preserve"> </w:t>
      </w:r>
      <w:r>
        <w:rPr>
          <w:rFonts w:ascii="Arial" w:cs="Arial" w:eastAsia="Arial" w:hAnsi="Arial"/>
          <w:sz w:val="18"/>
          <w:szCs w:val="18"/>
          <w:color w:val="auto"/>
        </w:rPr>
        <w:t>are nearing completion. The Company is on track to resubmit the NDA in the second quarter of 2024. No additional clinical efficacy or safety trials have been requested by the FDA for a resubmission of the NDA. The Company expects the NDA resubmission to be designated as Class 2 which would be subject to a six-month review.</w:t>
      </w:r>
    </w:p>
    <w:p>
      <w:pPr>
        <w:spacing w:after="0" w:line="136" w:lineRule="exact"/>
        <w:rPr>
          <w:rFonts w:ascii="Times New Roman" w:cs="Times New Roman" w:eastAsia="Times New Roman" w:hAnsi="Times New Roman"/>
          <w:sz w:val="18"/>
          <w:szCs w:val="18"/>
          <w:color w:val="auto"/>
        </w:rPr>
      </w:pPr>
    </w:p>
    <w:p>
      <w:pPr>
        <w:jc w:val="both"/>
        <w:ind w:left="380"/>
        <w:spacing w:after="0" w:line="253" w:lineRule="auto"/>
        <w:rPr>
          <w:rFonts w:ascii="Times New Roman" w:cs="Times New Roman" w:eastAsia="Times New Roman" w:hAnsi="Times New Roman"/>
          <w:sz w:val="18"/>
          <w:szCs w:val="18"/>
          <w:color w:val="auto"/>
        </w:rPr>
      </w:pPr>
      <w:r>
        <w:rPr>
          <w:rFonts w:ascii="Arial" w:cs="Arial" w:eastAsia="Arial" w:hAnsi="Arial"/>
          <w:sz w:val="18"/>
          <w:szCs w:val="18"/>
          <w:color w:val="auto"/>
        </w:rPr>
        <w:t>Axsome is conducting the EMERGE study, a multicenter, Phase 3, single-group trial evaluating the efficacy and safety of AXS-07 in the acute treatment of migraine headache in adults with a prior inadequate response to an oral CGRP inhibitor. The Company anticipates topline results from the EMERGE study in the second half of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and cortical dopamine modulator for the treatment of narcolepsy. AXS-12 has been granted FDA Orphan Drug designation for the treatment of narcolepsy.</w:t>
      </w:r>
    </w:p>
    <w:p>
      <w:pPr>
        <w:spacing w:after="0" w:line="113" w:lineRule="exact"/>
        <w:rPr>
          <w:sz w:val="20"/>
          <w:szCs w:val="20"/>
          <w:color w:val="auto"/>
        </w:rPr>
      </w:pPr>
    </w:p>
    <w:p>
      <w:pPr>
        <w:jc w:val="both"/>
        <w:ind w:left="380" w:hanging="372"/>
        <w:spacing w:after="0" w:line="243"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In March 2024, Axsome announced positive topline results from the SYMPHONY trial, a Phase 3, randomized, double-blind, multicenter, placebo-controlled trial of AXS-12 in patients with narcolepsy. AXS-12 achieved the primary endpoint by significantly reducing the frequency of cataplexy attacks as compared to placebo in patients with narcolepsy. AXS-12 also reduced excessive daytime sleepiness severity (EDS), improved cognitive function, reduced overall narcolepsy severity, and improved patient function and quality of life, as compared to placebo. AXS-12 was well tolerated in the trial.</w:t>
      </w:r>
    </w:p>
    <w:p>
      <w:pPr>
        <w:spacing w:after="0" w:line="13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A Phase 3 open label safety extension trial of AXS-12 is currently ongoing with completion anticipated in the fourth quarter of 2024.</w:t>
      </w:r>
    </w:p>
    <w:p>
      <w:pPr>
        <w:spacing w:after="0" w:line="185" w:lineRule="exact"/>
        <w:rPr>
          <w:sz w:val="20"/>
          <w:szCs w:val="20"/>
          <w:color w:val="auto"/>
        </w:rPr>
      </w:pPr>
    </w:p>
    <w:p>
      <w:pPr>
        <w:jc w:val="both"/>
        <w:ind w:left="380"/>
        <w:spacing w:after="0" w:line="242" w:lineRule="auto"/>
        <w:rPr>
          <w:sz w:val="20"/>
          <w:szCs w:val="20"/>
          <w:color w:val="auto"/>
        </w:rPr>
      </w:pPr>
      <w:r>
        <w:rPr>
          <w:rFonts w:ascii="Arial" w:cs="Arial" w:eastAsia="Arial" w:hAnsi="Arial"/>
          <w:sz w:val="18"/>
          <w:szCs w:val="18"/>
          <w:color w:val="auto"/>
        </w:rPr>
        <w:t>In March 2024, the Company also announced topline results from the CRESCENDO (Characterizing Patient Perspectives on Unmet Needs in Narcolepsy) survey of 203 narcolepsy patients with cataplexy (narcolepsy type 1 or NT1) who are currently receiving treatment. The results demonstrated high rates of persistent symptoms with 77%, 64%, and 74% continuing to experience cataplexy, EDS, and cognitive impairment, respectively, despite being on current treatments. CRESCENDO was conducted by a third-party research firm that worked with Narcolepsy Network to ensure patient privacy. Narcolepsy Network is a national non-profit patient support organization for people with narcolepsy, idiopathic hypersomnia and related sleep disorders.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highly selective investigational norepinephrine reuptake inhibitor for the management of fibromyalgia. Esreboxetine, the SS-enantiomer of reboxetine, is more potent and selective than racemic reboxetine.</w:t>
      </w:r>
    </w:p>
    <w:p>
      <w:pPr>
        <w:spacing w:after="0" w:line="127" w:lineRule="exact"/>
        <w:rPr>
          <w:sz w:val="20"/>
          <w:szCs w:val="20"/>
          <w:color w:val="auto"/>
        </w:rPr>
      </w:pPr>
    </w:p>
    <w:p>
      <w:pPr>
        <w:jc w:val="both"/>
        <w:ind w:left="380" w:hanging="372"/>
        <w:spacing w:after="0" w:line="246"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Pre-submission activities for the Company’s NDA for AXS-14 for the management of fibromyalgia are nearing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completion. The Company is targeting submission of the NDA in the second quarter of 2024. AXS-14 has previously met the primary endpoints and demonstrated positive and statistically significant results in a Phase 3 and in a Phase 2 trial for the management of fibromyalgia.</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Solriamfetol is Axsome’s dopamine and norepinephrine reuptake inhibitor and TAAR1 agonist in development for the treatment of attention deficit hyperactivity disorder (ADHD), major depressive disorder (MDD), binge eating disorder (BED), and excessive sleepiness associated with shift work disorder (SWD).</w:t>
      </w:r>
    </w:p>
    <w:p>
      <w:pPr>
        <w:spacing w:after="0" w:line="142" w:lineRule="exact"/>
        <w:rPr>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Axsome is conducting the FOCUS study, a Phase 3, randomized, double-blind, placebo-controlled, multicenter trial to assess the efficacy and safety of solriamfetol for the treatment of ADHD in adults. The Company anticipates topline results from the FOCUS study in the second half of 2024.</w:t>
      </w:r>
    </w:p>
    <w:p>
      <w:pPr>
        <w:spacing w:after="0" w:line="13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Major Depressive Disorder: </w:t>
      </w:r>
      <w:r>
        <w:rPr>
          <w:rFonts w:ascii="Arial" w:cs="Arial" w:eastAsia="Arial" w:hAnsi="Arial"/>
          <w:sz w:val="18"/>
          <w:szCs w:val="18"/>
          <w:color w:val="auto"/>
        </w:rPr>
        <w:t>In March 2024, Axsome initiated the PARADIGM study, a Phase 3, randomized, double-blind, placebo-controlled, multicenter trial of solriamfetol for the treatment of MDD. The Company anticipates topline results from the PARADIGM study in 2025.</w:t>
      </w:r>
    </w:p>
    <w:p>
      <w:pPr>
        <w:spacing w:after="0" w:line="13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In March 2024, Axsome initiated the ENGAGE study, a Phase 3, randomized,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trial of solriamfetol for the treatment of BED. The Company anticipates topline results from the ENGAGE study in 2025.</w:t>
      </w:r>
    </w:p>
    <w:p>
      <w:pPr>
        <w:spacing w:after="0" w:line="12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The Company is on track initiate a Phase 3 trial of solriamfetol for the treatment of excessive sleepiness (ES)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SWD in the second quarter of 2024.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16" w:lineRule="exact"/>
        <w:rPr>
          <w:sz w:val="20"/>
          <w:szCs w:val="20"/>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(2Q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(2Q 2024)</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Topline Results:</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(2H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open-label safety extension trial of AXS-12 in narcolepsy (2H 2024)</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FOCUS trial of solriamfetol in ADHD in adults (2H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PARADIGM trial of solriamfetol in major depressive disorder (2025)</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ENGAGE trial of solriamfetol in binge eating disorder (2025)</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EMERGE trial of AXS-07 in migraine with inadequate response to oral CGRP inhibitors (2H 2024)</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 and Progress:</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shift work disorder, initiation (2Q 2024)</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ACCORD-2 trial of AXS-05 for Alzheimer's disease agitation, enrollment completion (mid-year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for smoking cessation, initiation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will host a conference call and webcast today at 8:00 AM Eastern to discuss first quarter 2024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20"/>
                <w:szCs w:val="20"/>
                <w:color w:val="auto"/>
              </w:rPr>
            </w:pPr>
          </w:p>
        </w:tc>
      </w:tr>
      <w:tr>
        <w:trPr>
          <w:trHeight w:val="24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460,490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504,263</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545,728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53,791</w:t>
            </w:r>
          </w:p>
        </w:tc>
        <w:tc>
          <w:tcPr>
            <w:tcW w:w="2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3"/>
        </w:trPr>
        <w:tc>
          <w:tcPr>
            <w:tcW w:w="7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178,070</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401,692</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397,259</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47,464,575 and</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47,351,363 shares issued and outstanding at March 31, 2024 and December 31, 2023, respectively)</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50"/>
        </w:trPr>
        <w:tc>
          <w:tcPr>
            <w:tcW w:w="7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1,047,959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(903,928 )</w:t>
            </w:r>
          </w:p>
        </w:tc>
        <w:tc>
          <w:tcPr>
            <w:tcW w:w="20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(835,571 )</w:t>
            </w:r>
          </w:p>
        </w:tc>
      </w:tr>
      <w:tr>
        <w:trPr>
          <w:trHeight w:val="237"/>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545,728</w:t>
            </w:r>
          </w:p>
        </w:tc>
        <w:tc>
          <w:tcPr>
            <w:tcW w:w="260" w:type="dxa"/>
            <w:vAlign w:val="bottom"/>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5886450</wp:posOffset>
            </wp:positionH>
            <wp:positionV relativeFrom="paragraph">
              <wp:posOffset>-3291205</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-3274060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-3291205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-3274060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-2339340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-2339340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5886450</wp:posOffset>
            </wp:positionH>
            <wp:positionV relativeFrom="paragraph">
              <wp:posOffset>-187960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-187960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3"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9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r>
      <w:tr>
        <w:trPr>
          <w:trHeight w:val="236"/>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(1,412 )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(162 )</w:t>
            </w:r>
          </w:p>
        </w:tc>
      </w:tr>
      <w:tr>
        <w:trPr>
          <w:trHeight w:val="243"/>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100" w:type="dxa"/>
            <w:vAlign w:val="bottom"/>
          </w:tcPr>
          <w:p>
            <w:pPr>
              <w:spacing w:after="0"/>
              <w:rPr>
                <w:sz w:val="20"/>
                <w:szCs w:val="20"/>
                <w:color w:val="auto"/>
              </w:rPr>
            </w:pPr>
          </w:p>
        </w:tc>
      </w:tr>
      <w:tr>
        <w:trPr>
          <w:trHeight w:val="241"/>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(67,275 )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(6,374 )</w:t>
            </w: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(2,264 )</w:t>
            </w:r>
          </w:p>
        </w:tc>
      </w:tr>
      <w:tr>
        <w:trPr>
          <w:trHeight w:val="20"/>
        </w:trPr>
        <w:tc>
          <w:tcPr>
            <w:tcW w:w="7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(68,357 )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(8,638 )</w:t>
            </w: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(2,580 )</w:t>
            </w:r>
          </w:p>
        </w:tc>
      </w:tr>
      <w:tr>
        <w:trPr>
          <w:trHeight w:val="20"/>
        </w:trPr>
        <w:tc>
          <w:tcPr>
            <w:tcW w:w="7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(68,357 )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(11,218 )</w:t>
            </w:r>
          </w:p>
        </w:tc>
      </w:tr>
      <w:tr>
        <w:trPr>
          <w:trHeight w:val="20"/>
        </w:trPr>
        <w:tc>
          <w:tcPr>
            <w:tcW w:w="7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(0.26 )</w:t>
            </w:r>
          </w:p>
        </w:tc>
      </w:tr>
      <w:tr>
        <w:trPr>
          <w:trHeight w:val="20"/>
        </w:trPr>
        <w:tc>
          <w:tcPr>
            <w:tcW w:w="7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47,393,563</w:t>
            </w:r>
          </w:p>
        </w:tc>
        <w:tc>
          <w:tcPr>
            <w:tcW w:w="2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43,523,631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-2279650</wp:posOffset>
            </wp:positionV>
            <wp:extent cx="768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-1345565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-385445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-368300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00"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2024-05-06T06:10:27Z</dcterms:created>
  <dcterms:modified xsi:type="dcterms:W3CDTF">2024-05-06T06:10:27Z</dcterms:modified>
</cp:coreProperties>
</file>