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As filed with the Securities and Exchange Commission on May 2, 2022</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S-8</w:t>
      </w:r>
    </w:p>
    <w:p>
      <w:pPr>
        <w:jc w:val="center"/>
        <w:ind w:right="-19"/>
        <w:spacing w:after="0"/>
        <w:rPr>
          <w:sz w:val="20"/>
          <w:szCs w:val="20"/>
          <w:color w:val="auto"/>
        </w:rPr>
      </w:pPr>
      <w:r>
        <w:rPr>
          <w:rFonts w:ascii="Arial" w:cs="Arial" w:eastAsia="Arial" w:hAnsi="Arial"/>
          <w:sz w:val="20"/>
          <w:szCs w:val="20"/>
          <w:b w:val="1"/>
          <w:bCs w:val="1"/>
          <w:color w:val="auto"/>
        </w:rPr>
        <w:t>REGISTRATION STATEMENT</w:t>
      </w:r>
    </w:p>
    <w:p>
      <w:pPr>
        <w:jc w:val="center"/>
        <w:ind w:right="-19"/>
        <w:spacing w:after="0"/>
        <w:rPr>
          <w:sz w:val="20"/>
          <w:szCs w:val="20"/>
          <w:color w:val="auto"/>
        </w:rPr>
      </w:pPr>
      <w:r>
        <w:rPr>
          <w:rFonts w:ascii="Arial" w:cs="Arial" w:eastAsia="Arial" w:hAnsi="Arial"/>
          <w:sz w:val="20"/>
          <w:szCs w:val="20"/>
          <w:b w:val="1"/>
          <w:bCs w:val="1"/>
          <w:color w:val="auto"/>
        </w:rPr>
        <w:t>Under</w:t>
      </w:r>
    </w:p>
    <w:p>
      <w:pPr>
        <w:jc w:val="center"/>
        <w:ind w:right="-19"/>
        <w:spacing w:after="0" w:line="237" w:lineRule="auto"/>
        <w:rPr>
          <w:sz w:val="20"/>
          <w:szCs w:val="20"/>
          <w:color w:val="auto"/>
        </w:rPr>
      </w:pPr>
      <w:r>
        <w:rPr>
          <w:rFonts w:ascii="Arial" w:cs="Arial" w:eastAsia="Arial" w:hAnsi="Arial"/>
          <w:sz w:val="20"/>
          <w:szCs w:val="20"/>
          <w:b w:val="1"/>
          <w:bCs w:val="1"/>
          <w:color w:val="auto"/>
        </w:rPr>
        <w:t>The Securities Act of 1933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AXSOME THERAPEUTICS, INC.</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463" w:right="339" w:bottom="1440" w:gutter="0" w:footer="0" w:header="0"/>
        </w:sectPr>
      </w:pPr>
    </w:p>
    <w:p>
      <w:pPr>
        <w:spacing w:after="0" w:line="14" w:lineRule="exact"/>
        <w:rPr>
          <w:sz w:val="24"/>
          <w:szCs w:val="24"/>
          <w:color w:val="auto"/>
        </w:rPr>
      </w:pPr>
    </w:p>
    <w:p>
      <w:pPr>
        <w:ind w:left="244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45-4241907</w:t>
      </w:r>
    </w:p>
    <w:p>
      <w:pPr>
        <w:spacing w:after="0" w:line="100" w:lineRule="exact"/>
        <w:rPr>
          <w:sz w:val="24"/>
          <w:szCs w:val="24"/>
          <w:color w:val="auto"/>
        </w:rPr>
      </w:pPr>
    </w:p>
    <w:p>
      <w:pPr>
        <w:sectPr>
          <w:pgSz w:w="11900" w:h="16838" w:orient="portrait"/>
          <w:cols w:equalWidth="0" w:num="2">
            <w:col w:w="7380" w:space="720"/>
            <w:col w:w="3140"/>
          </w:cols>
          <w:pgMar w:left="320" w:top="463" w:right="339" w:bottom="1440" w:gutter="0" w:footer="0" w:header="0"/>
          <w:type w:val="continuous"/>
        </w:sectPr>
      </w:pPr>
    </w:p>
    <w:p>
      <w:pPr>
        <w:ind w:left="1900"/>
        <w:spacing w:after="0"/>
        <w:rPr>
          <w:sz w:val="20"/>
          <w:szCs w:val="20"/>
          <w:color w:val="auto"/>
        </w:rPr>
      </w:pPr>
      <w:r>
        <w:rPr>
          <w:rFonts w:ascii="Arial" w:cs="Arial" w:eastAsia="Arial" w:hAnsi="Arial"/>
          <w:sz w:val="15"/>
          <w:szCs w:val="15"/>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84" w:lineRule="exact"/>
        <w:rPr>
          <w:sz w:val="24"/>
          <w:szCs w:val="24"/>
          <w:color w:val="auto"/>
        </w:rPr>
      </w:pPr>
    </w:p>
    <w:p>
      <w:pPr>
        <w:sectPr>
          <w:pgSz w:w="11900" w:h="16838" w:orient="portrait"/>
          <w:cols w:equalWidth="0" w:num="2">
            <w:col w:w="6660" w:space="720"/>
            <w:col w:w="3860"/>
          </w:cols>
          <w:pgMar w:left="320" w:top="463" w:right="339" w:bottom="1440" w:gutter="0" w:footer="0" w:header="0"/>
          <w:type w:val="continuous"/>
        </w:sectPr>
      </w:pPr>
    </w:p>
    <w:p>
      <w:pPr>
        <w:ind w:left="1700"/>
        <w:spacing w:after="0"/>
        <w:rPr>
          <w:sz w:val="20"/>
          <w:szCs w:val="20"/>
          <w:color w:val="auto"/>
        </w:rPr>
      </w:pPr>
      <w:r>
        <w:rPr>
          <w:rFonts w:ascii="Arial" w:cs="Arial" w:eastAsia="Arial" w:hAnsi="Arial"/>
          <w:sz w:val="16"/>
          <w:szCs w:val="16"/>
          <w:color w:val="auto"/>
        </w:rPr>
        <w:t>of incorporation or organization)</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22 Cortlandt Street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16th Floor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New York, New York 10007</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(Address of principal executive offices) (Zip Code)</w:t>
      </w:r>
    </w:p>
    <w:p>
      <w:pPr>
        <w:sectPr>
          <w:pgSz w:w="11900" w:h="16838" w:orient="portrait"/>
          <w:cols w:equalWidth="0" w:num="1">
            <w:col w:w="11240"/>
          </w:cols>
          <w:pgMar w:left="320" w:top="463" w:right="339" w:bottom="1440" w:gutter="0" w:footer="0" w:header="0"/>
          <w:type w:val="continuous"/>
        </w:sect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Axsome Therapeutics, Inc. Amended and Restated 2015 Omnibus Incentive Compensation Plan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(Full title of the Plans)</w:t>
      </w:r>
    </w:p>
    <w:p>
      <w:pPr>
        <w:spacing w:after="0" w:line="213" w:lineRule="exact"/>
        <w:rPr>
          <w:sz w:val="24"/>
          <w:szCs w:val="24"/>
          <w:color w:val="auto"/>
        </w:rPr>
      </w:pPr>
    </w:p>
    <w:p>
      <w:pPr>
        <w:ind w:left="4780"/>
        <w:spacing w:after="0"/>
        <w:rPr>
          <w:sz w:val="20"/>
          <w:szCs w:val="20"/>
          <w:color w:val="auto"/>
        </w:rPr>
      </w:pPr>
      <w:r>
        <w:rPr>
          <w:rFonts w:ascii="Arial" w:cs="Arial" w:eastAsia="Arial" w:hAnsi="Arial"/>
          <w:sz w:val="16"/>
          <w:szCs w:val="16"/>
          <w:b w:val="1"/>
          <w:bCs w:val="1"/>
          <w:color w:val="auto"/>
        </w:rPr>
        <w:t>Herriot Tabuteau, M.D.</w:t>
      </w:r>
    </w:p>
    <w:p>
      <w:pPr>
        <w:spacing w:after="0" w:line="26" w:lineRule="exact"/>
        <w:rPr>
          <w:sz w:val="24"/>
          <w:szCs w:val="24"/>
          <w:color w:val="auto"/>
        </w:rPr>
      </w:pPr>
    </w:p>
    <w:p>
      <w:pPr>
        <w:ind w:left="430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19" w:lineRule="exact"/>
        <w:rPr>
          <w:sz w:val="24"/>
          <w:szCs w:val="24"/>
          <w:color w:val="auto"/>
        </w:rPr>
      </w:pPr>
    </w:p>
    <w:p>
      <w:pPr>
        <w:ind w:left="4680"/>
        <w:spacing w:after="0"/>
        <w:rPr>
          <w:sz w:val="20"/>
          <w:szCs w:val="20"/>
          <w:color w:val="auto"/>
        </w:rPr>
      </w:pPr>
      <w:r>
        <w:rPr>
          <w:rFonts w:ascii="Arial" w:cs="Arial" w:eastAsia="Arial" w:hAnsi="Arial"/>
          <w:sz w:val="16"/>
          <w:szCs w:val="16"/>
          <w:b w:val="1"/>
          <w:bCs w:val="1"/>
          <w:color w:val="auto"/>
        </w:rPr>
        <w:t>Axsome Therapeutics, Inc.</w:t>
      </w:r>
    </w:p>
    <w:p>
      <w:pPr>
        <w:spacing w:after="0" w:line="19" w:lineRule="exact"/>
        <w:rPr>
          <w:sz w:val="24"/>
          <w:szCs w:val="24"/>
          <w:color w:val="auto"/>
        </w:rPr>
      </w:pPr>
    </w:p>
    <w:p>
      <w:pPr>
        <w:ind w:left="4940"/>
        <w:spacing w:after="0"/>
        <w:rPr>
          <w:sz w:val="20"/>
          <w:szCs w:val="20"/>
          <w:color w:val="auto"/>
        </w:rPr>
      </w:pPr>
      <w:r>
        <w:rPr>
          <w:rFonts w:ascii="Arial" w:cs="Arial" w:eastAsia="Arial" w:hAnsi="Arial"/>
          <w:sz w:val="16"/>
          <w:szCs w:val="16"/>
          <w:b w:val="1"/>
          <w:bCs w:val="1"/>
          <w:color w:val="auto"/>
        </w:rPr>
        <w:t>22 Cortlandt Street</w:t>
      </w:r>
    </w:p>
    <w:p>
      <w:pPr>
        <w:spacing w:after="0" w:line="19" w:lineRule="exact"/>
        <w:rPr>
          <w:sz w:val="24"/>
          <w:szCs w:val="24"/>
          <w:color w:val="auto"/>
        </w:rPr>
      </w:pPr>
    </w:p>
    <w:p>
      <w:pPr>
        <w:ind w:left="5260"/>
        <w:spacing w:after="0"/>
        <w:rPr>
          <w:sz w:val="20"/>
          <w:szCs w:val="20"/>
          <w:color w:val="auto"/>
        </w:rPr>
      </w:pPr>
      <w:r>
        <w:rPr>
          <w:rFonts w:ascii="Arial" w:cs="Arial" w:eastAsia="Arial" w:hAnsi="Arial"/>
          <w:sz w:val="16"/>
          <w:szCs w:val="16"/>
          <w:b w:val="1"/>
          <w:bCs w:val="1"/>
          <w:color w:val="auto"/>
        </w:rPr>
        <w:t>16th Floor</w:t>
      </w:r>
    </w:p>
    <w:p>
      <w:pPr>
        <w:spacing w:after="0" w:line="19" w:lineRule="exact"/>
        <w:rPr>
          <w:sz w:val="24"/>
          <w:szCs w:val="24"/>
          <w:color w:val="auto"/>
        </w:rPr>
      </w:pPr>
    </w:p>
    <w:p>
      <w:pPr>
        <w:ind w:left="4680"/>
        <w:spacing w:after="0"/>
        <w:rPr>
          <w:sz w:val="20"/>
          <w:szCs w:val="20"/>
          <w:color w:val="auto"/>
        </w:rPr>
      </w:pPr>
      <w:r>
        <w:rPr>
          <w:rFonts w:ascii="Arial" w:cs="Arial" w:eastAsia="Arial" w:hAnsi="Arial"/>
          <w:sz w:val="16"/>
          <w:szCs w:val="16"/>
          <w:b w:val="1"/>
          <w:bCs w:val="1"/>
          <w:color w:val="auto"/>
        </w:rPr>
        <w:t>New York, New York 10007</w:t>
      </w:r>
    </w:p>
    <w:p>
      <w:pPr>
        <w:spacing w:after="0" w:line="19" w:lineRule="exact"/>
        <w:rPr>
          <w:sz w:val="24"/>
          <w:szCs w:val="24"/>
          <w:color w:val="auto"/>
        </w:rPr>
      </w:pPr>
    </w:p>
    <w:p>
      <w:pPr>
        <w:ind w:left="4320"/>
        <w:spacing w:after="0"/>
        <w:rPr>
          <w:sz w:val="20"/>
          <w:szCs w:val="20"/>
          <w:color w:val="auto"/>
        </w:rPr>
      </w:pPr>
      <w:r>
        <w:rPr>
          <w:rFonts w:ascii="Arial" w:cs="Arial" w:eastAsia="Arial" w:hAnsi="Arial"/>
          <w:sz w:val="16"/>
          <w:szCs w:val="16"/>
          <w:color w:val="auto"/>
        </w:rPr>
        <w:t>(Name and address of agent for service)</w:t>
      </w:r>
    </w:p>
    <w:p>
      <w:pPr>
        <w:spacing w:after="0" w:line="19" w:lineRule="exact"/>
        <w:rPr>
          <w:sz w:val="24"/>
          <w:szCs w:val="24"/>
          <w:color w:val="auto"/>
        </w:rPr>
      </w:pPr>
    </w:p>
    <w:p>
      <w:pPr>
        <w:ind w:left="5120"/>
        <w:spacing w:after="0"/>
        <w:rPr>
          <w:sz w:val="20"/>
          <w:szCs w:val="20"/>
          <w:color w:val="auto"/>
        </w:rPr>
      </w:pPr>
      <w:r>
        <w:rPr>
          <w:rFonts w:ascii="Arial" w:cs="Arial" w:eastAsia="Arial" w:hAnsi="Arial"/>
          <w:sz w:val="16"/>
          <w:szCs w:val="16"/>
          <w:b w:val="1"/>
          <w:bCs w:val="1"/>
          <w:color w:val="auto"/>
        </w:rPr>
        <w:t>(212) 332-3241</w:t>
      </w:r>
    </w:p>
    <w:p>
      <w:pPr>
        <w:spacing w:after="0" w:line="19" w:lineRule="exact"/>
        <w:rPr>
          <w:sz w:val="24"/>
          <w:szCs w:val="24"/>
          <w:color w:val="auto"/>
        </w:rPr>
      </w:pPr>
    </w:p>
    <w:p>
      <w:pPr>
        <w:ind w:left="3620"/>
        <w:spacing w:after="0"/>
        <w:rPr>
          <w:sz w:val="20"/>
          <w:szCs w:val="20"/>
          <w:color w:val="auto"/>
        </w:rPr>
      </w:pPr>
      <w:r>
        <w:rPr>
          <w:rFonts w:ascii="Arial" w:cs="Arial" w:eastAsia="Arial" w:hAnsi="Arial"/>
          <w:sz w:val="16"/>
          <w:szCs w:val="16"/>
          <w:color w:val="auto"/>
        </w:rPr>
        <w:t>(Telephone number, including area code, of agent for service)</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Copies to:</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Emilio Ragosa</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DLA Piper LLP (US)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51 John F. Kennedy Parkway, Suite 120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Short Hills, New Jersey 07078</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Telephone: (973) 520-2550</w:t>
      </w:r>
    </w:p>
    <w:p>
      <w:pPr>
        <w:spacing w:after="0" w:line="217" w:lineRule="exact"/>
        <w:rPr>
          <w:sz w:val="24"/>
          <w:szCs w:val="24"/>
          <w:color w:val="auto"/>
        </w:rPr>
      </w:pPr>
    </w:p>
    <w:p>
      <w:pPr>
        <w:ind w:right="160"/>
        <w:spacing w:after="0" w:line="26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463" w:right="339" w:bottom="1440" w:gutter="0" w:footer="0" w:header="0"/>
          <w:type w:val="continuous"/>
        </w:sectPr>
      </w:pPr>
    </w:p>
    <w:p>
      <w:pPr>
        <w:spacing w:after="0" w:line="2" w:lineRule="exact"/>
        <w:rPr>
          <w:sz w:val="24"/>
          <w:szCs w:val="24"/>
          <w:color w:val="auto"/>
        </w:rPr>
      </w:pPr>
    </w:p>
    <w:p>
      <w:pPr>
        <w:ind w:left="19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64" w:lineRule="exact"/>
        <w:rPr>
          <w:sz w:val="24"/>
          <w:szCs w:val="24"/>
          <w:color w:val="auto"/>
        </w:rPr>
      </w:pPr>
    </w:p>
    <w:p>
      <w:pPr>
        <w:sectPr>
          <w:pgSz w:w="11900" w:h="16838" w:orient="portrait"/>
          <w:cols w:equalWidth="0" w:num="2">
            <w:col w:w="7120" w:space="720"/>
            <w:col w:w="3400"/>
          </w:cols>
          <w:pgMar w:left="320" w:top="463" w:right="339" w:bottom="1440" w:gutter="0" w:footer="0" w:header="0"/>
          <w:type w:val="continuous"/>
        </w:sectPr>
      </w:pPr>
    </w:p>
    <w:p>
      <w:pPr>
        <w:ind w:left="200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96" w:lineRule="exact"/>
        <w:rPr>
          <w:sz w:val="24"/>
          <w:szCs w:val="24"/>
          <w:color w:val="auto"/>
        </w:rPr>
      </w:pPr>
    </w:p>
    <w:p>
      <w:pPr>
        <w:sectPr>
          <w:pgSz w:w="11900" w:h="16838" w:orient="portrait"/>
          <w:cols w:equalWidth="0" w:num="2">
            <w:col w:w="6780" w:space="720"/>
            <w:col w:w="3740"/>
          </w:cols>
          <w:pgMar w:left="320" w:top="463" w:right="339" w:bottom="1440" w:gutter="0" w:footer="0" w:header="0"/>
          <w:type w:val="continuous"/>
        </w:sectPr>
      </w:pPr>
    </w:p>
    <w:p>
      <w:pPr>
        <w:ind w:left="750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240"/>
          </w:cols>
          <w:pgMar w:left="320" w:top="463" w:right="339" w:bottom="1440" w:gutter="0" w:footer="0" w:header="0"/>
          <w:type w:val="continuous"/>
        </w:sectPr>
      </w:pPr>
    </w:p>
    <w:p>
      <w:pPr>
        <w:spacing w:after="0" w:line="112"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748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Registration Statement relates to the registration of an additional 1,512,671 shares (the “Shares”) of the common stock, par value $0.0001 per share, of Axsome Therapeutics, Inc. (the “Registrant”). The Shares are securities of the same class and relate to the same employee benefit plan, the 2015 Omnibus Incentive Compensation Plan, as those registered pursuant to the Registrant’s registration statements on Form S-8, previously filed with the Securities and Exchange Commission on December 16, 2015, March 29, 2017, August 13, 2018, March 15, 2019, May 11, 2020 and May 11, 2021. In accordance with General Instruction E of Form S-8, the contents of the Registrant’s registration statements on Form S-8 (File Nos. 333-208579, 333-217002, 333-226824, 333-230296, 333-238174 and 333-256019) filed with the Securities and Exchange Commission on December 16, 2015, March 29, 2017, August 13, 2018, March 15, 2019, May 11, 2020 and May 11, 2021 are incorporated herein by reference and the information required by Part II is omitted, except as supplemented by the information set forth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8. </w:t>
      </w:r>
      <w:r>
        <w:rPr>
          <w:rFonts w:ascii="Arial" w:cs="Arial" w:eastAsia="Arial" w:hAnsi="Arial"/>
          <w:sz w:val="18"/>
          <w:szCs w:val="18"/>
          <w:u w:val="single" w:color="auto"/>
          <w:color w:val="auto"/>
        </w:rPr>
        <w:t>Exhibits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0"/>
                <w:szCs w:val="20"/>
                <w:color w:val="auto"/>
              </w:rPr>
            </w:pPr>
          </w:p>
        </w:tc>
        <w:tc>
          <w:tcPr>
            <w:tcW w:w="9940" w:type="dxa"/>
            <w:vAlign w:val="bottom"/>
            <w:gridSpan w:val="16"/>
          </w:tcPr>
          <w:p>
            <w:pPr>
              <w:spacing w:after="0"/>
              <w:rPr>
                <w:sz w:val="20"/>
                <w:szCs w:val="20"/>
                <w:color w:val="auto"/>
              </w:rPr>
            </w:pPr>
            <w:r>
              <w:rPr>
                <w:rFonts w:ascii="Arial" w:cs="Arial" w:eastAsia="Arial" w:hAnsi="Arial"/>
                <w:sz w:val="18"/>
                <w:szCs w:val="18"/>
                <w:b w:val="1"/>
                <w:bCs w:val="1"/>
                <w:color w:val="auto"/>
              </w:rPr>
              <w:t>Exhibit</w:t>
            </w:r>
          </w:p>
        </w:tc>
      </w:tr>
      <w:tr>
        <w:trPr>
          <w:trHeight w:val="338"/>
        </w:trPr>
        <w:tc>
          <w:tcPr>
            <w:tcW w:w="1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380" w:type="dxa"/>
            <w:vAlign w:val="bottom"/>
            <w:tcBorders>
              <w:top w:val="single" w:sz="8" w:color="auto"/>
              <w:bottom w:val="single" w:sz="8" w:color="0000EE"/>
            </w:tcBorders>
            <w:gridSpan w:val="4"/>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Opinion and Consent of DLA Piper LLP (US).</w:t>
              </w:r>
            </w:hyperlink>
          </w:p>
        </w:tc>
        <w:tc>
          <w:tcPr>
            <w:tcW w:w="6560" w:type="dxa"/>
            <w:vAlign w:val="bottom"/>
            <w:tcBorders>
              <w:top w:val="single" w:sz="8" w:color="auto"/>
            </w:tcBorders>
            <w:gridSpan w:val="12"/>
          </w:tcPr>
          <w:p>
            <w:pPr>
              <w:spacing w:after="0"/>
              <w:rPr>
                <w:sz w:val="24"/>
                <w:szCs w:val="24"/>
                <w:color w:val="auto"/>
              </w:rPr>
            </w:pPr>
          </w:p>
        </w:tc>
      </w:tr>
      <w:tr>
        <w:trPr>
          <w:trHeight w:val="371"/>
        </w:trPr>
        <w:tc>
          <w:tcPr>
            <w:tcW w:w="1120" w:type="dxa"/>
            <w:vAlign w:val="bottom"/>
          </w:tcPr>
          <w:p>
            <w:pPr>
              <w:ind w:left="2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Consent of DLA Piper LLP (US) is contained in Exhibit 5.1.</w:t>
              </w:r>
            </w:hyperlink>
          </w:p>
        </w:tc>
        <w:tc>
          <w:tcPr>
            <w:tcW w:w="5560" w:type="dxa"/>
            <w:vAlign w:val="bottom"/>
            <w:gridSpan w:val="11"/>
          </w:tcPr>
          <w:p>
            <w:pPr>
              <w:spacing w:after="0"/>
              <w:rPr>
                <w:sz w:val="24"/>
                <w:szCs w:val="24"/>
                <w:color w:val="auto"/>
              </w:rPr>
            </w:pPr>
          </w:p>
        </w:tc>
      </w:tr>
      <w:tr>
        <w:trPr>
          <w:trHeight w:val="371"/>
        </w:trPr>
        <w:tc>
          <w:tcPr>
            <w:tcW w:w="1120" w:type="dxa"/>
            <w:vAlign w:val="bottom"/>
          </w:tcPr>
          <w:p>
            <w:pPr>
              <w:ind w:left="2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Consent of Ernst &amp; Young LLP, Independent Registered Public Accounting Firm.</w:t>
              </w:r>
            </w:hyperlink>
          </w:p>
        </w:tc>
      </w:tr>
      <w:tr>
        <w:trPr>
          <w:trHeight w:val="372"/>
        </w:trPr>
        <w:tc>
          <w:tcPr>
            <w:tcW w:w="1120" w:type="dxa"/>
            <w:vAlign w:val="bottom"/>
          </w:tcPr>
          <w:p>
            <w:pPr>
              <w:ind w:left="2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80" w:type="dxa"/>
            <w:vAlign w:val="bottom"/>
            <w:tcBorders>
              <w:top w:val="single" w:sz="8" w:color="0000EE"/>
            </w:tcBorders>
            <w:gridSpan w:val="9"/>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Power of Attorney. Reference is made to page 4 of this Registration Statement.</w:t>
              </w:r>
            </w:hyperlink>
          </w:p>
        </w:tc>
        <w:tc>
          <w:tcPr>
            <w:tcW w:w="4060" w:type="dxa"/>
            <w:vAlign w:val="bottom"/>
            <w:gridSpan w:val="7"/>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1120" w:type="dxa"/>
            <w:vAlign w:val="bottom"/>
          </w:tcPr>
          <w:p>
            <w:pPr>
              <w:ind w:left="2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tcBorders>
              <w:bottom w:val="single" w:sz="8" w:color="0000EE"/>
            </w:tcBorders>
            <w:gridSpan w:val="15"/>
          </w:tcPr>
          <w:p>
            <w:pPr>
              <w:spacing w:after="0"/>
              <w:rPr>
                <w:rFonts w:ascii="Arial" w:cs="Arial" w:eastAsia="Arial" w:hAnsi="Arial"/>
                <w:sz w:val="18"/>
                <w:szCs w:val="18"/>
                <w:color w:val="0000EE"/>
                <w:w w:val="90"/>
              </w:rPr>
            </w:pPr>
            <w:hyperlink r:id="rId9">
              <w:r>
                <w:rPr>
                  <w:rFonts w:ascii="Arial" w:cs="Arial" w:eastAsia="Arial" w:hAnsi="Arial"/>
                  <w:sz w:val="18"/>
                  <w:szCs w:val="18"/>
                  <w:color w:val="0000EE"/>
                  <w:w w:val="90"/>
                </w:rPr>
                <w:t>Axsome Therapeutics, Inc. Amended and Restated 2015 Omnibus Incentive Compensation Plan (Incorporated by reference, Exhibit 10.2</w:t>
              </w:r>
            </w:hyperlink>
          </w:p>
        </w:tc>
        <w:tc>
          <w:tcPr>
            <w:tcW w:w="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40" w:type="dxa"/>
            <w:vAlign w:val="bottom"/>
            <w:gridSpan w:val="16"/>
          </w:tcPr>
          <w:p>
            <w:pPr>
              <w:spacing w:after="0" w:line="196" w:lineRule="exact"/>
              <w:rPr>
                <w:rFonts w:ascii="Arial" w:cs="Arial" w:eastAsia="Arial" w:hAnsi="Arial"/>
                <w:sz w:val="18"/>
                <w:szCs w:val="18"/>
                <w:color w:val="0000EE"/>
              </w:rPr>
            </w:pPr>
            <w:hyperlink r:id="rId9">
              <w:r>
                <w:rPr>
                  <w:rFonts w:ascii="Arial" w:cs="Arial" w:eastAsia="Arial" w:hAnsi="Arial"/>
                  <w:sz w:val="18"/>
                  <w:szCs w:val="18"/>
                  <w:color w:val="0000EE"/>
                </w:rPr>
                <w:t>to Registrant’s Quarterly Report on Form 10-Q, filed on August 10, 2020).</w:t>
              </w:r>
            </w:hyperlink>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372"/>
        </w:trPr>
        <w:tc>
          <w:tcPr>
            <w:tcW w:w="1120" w:type="dxa"/>
            <w:vAlign w:val="bottom"/>
          </w:tcPr>
          <w:p>
            <w:pPr>
              <w:ind w:left="20"/>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6"/>
          </w:tcPr>
          <w:p>
            <w:pPr>
              <w:spacing w:after="0"/>
              <w:rPr>
                <w:rFonts w:ascii="Arial" w:cs="Arial" w:eastAsia="Arial" w:hAnsi="Arial"/>
                <w:sz w:val="18"/>
                <w:szCs w:val="18"/>
                <w:color w:val="0000EE"/>
                <w:w w:val="99"/>
              </w:rPr>
            </w:pPr>
            <w:hyperlink r:id="rId10">
              <w:r>
                <w:rPr>
                  <w:rFonts w:ascii="Arial" w:cs="Arial" w:eastAsia="Arial" w:hAnsi="Arial"/>
                  <w:sz w:val="18"/>
                  <w:szCs w:val="18"/>
                  <w:color w:val="0000EE"/>
                  <w:w w:val="99"/>
                </w:rPr>
                <w:t>Axsome Therapeutics, Inc. Form of Stock Option Agreement pursuant to the Amended and Restated 2015 Omnibus Incentive</w:t>
              </w:r>
            </w:hyperlink>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640" w:type="dxa"/>
            <w:vAlign w:val="bottom"/>
            <w:gridSpan w:val="5"/>
            <w:shd w:val="clear" w:color="auto" w:fill="0000EE"/>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40" w:type="dxa"/>
            <w:vAlign w:val="bottom"/>
            <w:gridSpan w:val="16"/>
          </w:tcPr>
          <w:p>
            <w:pPr>
              <w:spacing w:after="0" w:line="196" w:lineRule="exact"/>
              <w:rPr>
                <w:rFonts w:ascii="Arial" w:cs="Arial" w:eastAsia="Arial" w:hAnsi="Arial"/>
                <w:sz w:val="18"/>
                <w:szCs w:val="18"/>
                <w:color w:val="0000EE"/>
                <w:w w:val="92"/>
              </w:rPr>
            </w:pPr>
            <w:hyperlink r:id="rId10">
              <w:r>
                <w:rPr>
                  <w:rFonts w:ascii="Arial" w:cs="Arial" w:eastAsia="Arial" w:hAnsi="Arial"/>
                  <w:sz w:val="18"/>
                  <w:szCs w:val="18"/>
                  <w:color w:val="0000EE"/>
                  <w:w w:val="92"/>
                </w:rPr>
                <w:t>Compensation Plan (Incorporated by reference, Exhibit 99.2 to Registrant’s Registration Statement on Form S-8, File No. 333-208579,</w:t>
              </w:r>
            </w:hyperlink>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0">
              <w:r>
                <w:rPr>
                  <w:rFonts w:ascii="Arial" w:cs="Arial" w:eastAsia="Arial" w:hAnsi="Arial"/>
                  <w:sz w:val="18"/>
                  <w:szCs w:val="18"/>
                  <w:color w:val="0000EE"/>
                  <w:w w:val="90"/>
                </w:rPr>
                <w:t>filed December 16, 2015).</w:t>
              </w:r>
            </w:hyperlink>
          </w:p>
        </w:tc>
        <w:tc>
          <w:tcPr>
            <w:tcW w:w="7820" w:type="dxa"/>
            <w:vAlign w:val="bottom"/>
            <w:tcBorders>
              <w:top w:val="single" w:sz="8" w:color="0000EE"/>
            </w:tcBorders>
            <w:gridSpan w:val="12"/>
          </w:tcPr>
          <w:p>
            <w:pPr>
              <w:spacing w:after="0"/>
              <w:rPr>
                <w:sz w:val="17"/>
                <w:szCs w:val="17"/>
                <w:color w:val="auto"/>
              </w:rPr>
            </w:pPr>
          </w:p>
        </w:tc>
        <w:tc>
          <w:tcPr>
            <w:tcW w:w="220" w:type="dxa"/>
            <w:vAlign w:val="bottom"/>
            <w:gridSpan w:val="2"/>
          </w:tcPr>
          <w:p>
            <w:pPr>
              <w:spacing w:after="0"/>
              <w:rPr>
                <w:sz w:val="17"/>
                <w:szCs w:val="17"/>
                <w:color w:val="auto"/>
              </w:rPr>
            </w:pPr>
          </w:p>
        </w:tc>
      </w:tr>
      <w:tr>
        <w:trPr>
          <w:trHeight w:val="372"/>
        </w:trPr>
        <w:tc>
          <w:tcPr>
            <w:tcW w:w="1120" w:type="dxa"/>
            <w:vAlign w:val="bottom"/>
          </w:tcPr>
          <w:p>
            <w:pPr>
              <w:ind w:left="20"/>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6"/>
          </w:tcPr>
          <w:p>
            <w:pPr>
              <w:spacing w:after="0"/>
              <w:rPr>
                <w:rFonts w:ascii="Arial" w:cs="Arial" w:eastAsia="Arial" w:hAnsi="Arial"/>
                <w:sz w:val="18"/>
                <w:szCs w:val="18"/>
                <w:color w:val="0000EE"/>
                <w:w w:val="94"/>
              </w:rPr>
            </w:pPr>
            <w:hyperlink r:id="rId11">
              <w:r>
                <w:rPr>
                  <w:rFonts w:ascii="Arial" w:cs="Arial" w:eastAsia="Arial" w:hAnsi="Arial"/>
                  <w:sz w:val="18"/>
                  <w:szCs w:val="18"/>
                  <w:color w:val="0000EE"/>
                  <w:w w:val="94"/>
                </w:rPr>
                <w:t>Axsome Therapeutics, Inc. Form of Restricted Stock Unit Agreement (Non-Executives) pursuant to the Amended and Restated 2015</w:t>
              </w:r>
            </w:hyperlink>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640" w:type="dxa"/>
            <w:vAlign w:val="bottom"/>
            <w:gridSpan w:val="5"/>
            <w:shd w:val="clear" w:color="auto" w:fill="0000EE"/>
          </w:tcPr>
          <w:p>
            <w:pPr>
              <w:spacing w:after="0" w:line="20" w:lineRule="exact"/>
              <w:rPr>
                <w:sz w:val="1"/>
                <w:szCs w:val="1"/>
                <w:color w:val="auto"/>
              </w:rPr>
            </w:pPr>
          </w:p>
        </w:tc>
        <w:tc>
          <w:tcPr>
            <w:tcW w:w="33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40" w:type="dxa"/>
            <w:vAlign w:val="bottom"/>
            <w:gridSpan w:val="16"/>
          </w:tcPr>
          <w:p>
            <w:pPr>
              <w:spacing w:after="0" w:line="196" w:lineRule="exact"/>
              <w:rPr>
                <w:rFonts w:ascii="Arial" w:cs="Arial" w:eastAsia="Arial" w:hAnsi="Arial"/>
                <w:sz w:val="18"/>
                <w:szCs w:val="18"/>
                <w:color w:val="0000EE"/>
                <w:w w:val="92"/>
              </w:rPr>
            </w:pPr>
            <w:hyperlink r:id="rId11">
              <w:r>
                <w:rPr>
                  <w:rFonts w:ascii="Arial" w:cs="Arial" w:eastAsia="Arial" w:hAnsi="Arial"/>
                  <w:sz w:val="18"/>
                  <w:szCs w:val="18"/>
                  <w:color w:val="0000EE"/>
                  <w:w w:val="92"/>
                </w:rPr>
                <w:t>Omnibus Incentive Compensation Plan (Incorporated by reference, Exhibit 99.3 to the Company’s Registration Statement on Form S-8</w:t>
              </w:r>
            </w:hyperlink>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11">
              <w:r>
                <w:rPr>
                  <w:rFonts w:ascii="Arial" w:cs="Arial" w:eastAsia="Arial" w:hAnsi="Arial"/>
                  <w:sz w:val="18"/>
                  <w:szCs w:val="18"/>
                  <w:color w:val="0000EE"/>
                  <w:w w:val="92"/>
                </w:rPr>
                <w:t>(File No. 333-238174), filed May 11, 2020).</w:t>
              </w:r>
            </w:hyperlink>
          </w:p>
        </w:tc>
        <w:tc>
          <w:tcPr>
            <w:tcW w:w="6520" w:type="dxa"/>
            <w:vAlign w:val="bottom"/>
            <w:tcBorders>
              <w:top w:val="single" w:sz="8" w:color="0000EE"/>
            </w:tcBorders>
            <w:gridSpan w:val="11"/>
          </w:tcPr>
          <w:p>
            <w:pPr>
              <w:spacing w:after="0"/>
              <w:rPr>
                <w:sz w:val="17"/>
                <w:szCs w:val="17"/>
                <w:color w:val="auto"/>
              </w:rPr>
            </w:pPr>
          </w:p>
        </w:tc>
        <w:tc>
          <w:tcPr>
            <w:tcW w:w="220" w:type="dxa"/>
            <w:vAlign w:val="bottom"/>
            <w:gridSpan w:val="2"/>
          </w:tcPr>
          <w:p>
            <w:pPr>
              <w:spacing w:after="0"/>
              <w:rPr>
                <w:sz w:val="17"/>
                <w:szCs w:val="17"/>
                <w:color w:val="auto"/>
              </w:rPr>
            </w:pPr>
          </w:p>
        </w:tc>
      </w:tr>
      <w:tr>
        <w:trPr>
          <w:trHeight w:val="371"/>
        </w:trPr>
        <w:tc>
          <w:tcPr>
            <w:tcW w:w="1120" w:type="dxa"/>
            <w:vAlign w:val="bottom"/>
          </w:tcPr>
          <w:p>
            <w:pPr>
              <w:ind w:left="20"/>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6"/>
          </w:tcPr>
          <w:p>
            <w:pPr>
              <w:spacing w:after="0"/>
              <w:rPr>
                <w:rFonts w:ascii="Arial" w:cs="Arial" w:eastAsia="Arial" w:hAnsi="Arial"/>
                <w:sz w:val="18"/>
                <w:szCs w:val="18"/>
                <w:color w:val="0000EE"/>
                <w:w w:val="98"/>
              </w:rPr>
            </w:pPr>
            <w:hyperlink r:id="rId12">
              <w:r>
                <w:rPr>
                  <w:rFonts w:ascii="Arial" w:cs="Arial" w:eastAsia="Arial" w:hAnsi="Arial"/>
                  <w:sz w:val="18"/>
                  <w:szCs w:val="18"/>
                  <w:color w:val="0000EE"/>
                  <w:w w:val="98"/>
                </w:rPr>
                <w:t>Axsome Therapeutics, Inc. Form of Restricted Stock Unit Agreement (Executives and Non-Employee Directors) pursuant to the</w:t>
              </w:r>
            </w:hyperlink>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tcBorders>
              <w:top w:val="single" w:sz="8" w:color="0000EE"/>
            </w:tcBorders>
            <w:gridSpan w:val="12"/>
          </w:tcPr>
          <w:p>
            <w:pPr>
              <w:spacing w:after="0" w:line="196" w:lineRule="exact"/>
              <w:rPr>
                <w:rFonts w:ascii="Arial" w:cs="Arial" w:eastAsia="Arial" w:hAnsi="Arial"/>
                <w:sz w:val="18"/>
                <w:szCs w:val="18"/>
                <w:color w:val="0000EE"/>
                <w:w w:val="90"/>
              </w:rPr>
            </w:pPr>
            <w:hyperlink r:id="rId12">
              <w:r>
                <w:rPr>
                  <w:rFonts w:ascii="Arial" w:cs="Arial" w:eastAsia="Arial" w:hAnsi="Arial"/>
                  <w:sz w:val="18"/>
                  <w:szCs w:val="18"/>
                  <w:color w:val="0000EE"/>
                  <w:w w:val="90"/>
                </w:rPr>
                <w:t>Amended and Restated 2015 Omnibus Incentive Compensation Plan (Incorporated by reference, Exhibit 99.4 to the Company’s</w:t>
              </w:r>
            </w:hyperlink>
          </w:p>
        </w:tc>
        <w:tc>
          <w:tcPr>
            <w:tcW w:w="700" w:type="dxa"/>
            <w:vAlign w:val="bottom"/>
            <w:gridSpan w:val="4"/>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2">
              <w:r>
                <w:rPr>
                  <w:rFonts w:ascii="Arial" w:cs="Arial" w:eastAsia="Arial" w:hAnsi="Arial"/>
                  <w:sz w:val="18"/>
                  <w:szCs w:val="18"/>
                  <w:color w:val="0000EE"/>
                  <w:w w:val="91"/>
                </w:rPr>
                <w:t>Registration Statement on Form S-8 (File No. 333-238174), filed May 11, 2020).</w:t>
              </w:r>
            </w:hyperlink>
          </w:p>
        </w:tc>
        <w:tc>
          <w:tcPr>
            <w:tcW w:w="3360" w:type="dxa"/>
            <w:vAlign w:val="bottom"/>
            <w:tcBorders>
              <w:top w:val="single" w:sz="8" w:color="0000EE"/>
            </w:tcBorders>
            <w:gridSpan w:val="3"/>
          </w:tcPr>
          <w:p>
            <w:pPr>
              <w:spacing w:after="0"/>
              <w:rPr>
                <w:sz w:val="17"/>
                <w:szCs w:val="17"/>
                <w:color w:val="auto"/>
              </w:rPr>
            </w:pPr>
          </w:p>
        </w:tc>
        <w:tc>
          <w:tcPr>
            <w:tcW w:w="740" w:type="dxa"/>
            <w:vAlign w:val="bottom"/>
            <w:gridSpan w:val="5"/>
          </w:tcPr>
          <w:p>
            <w:pPr>
              <w:spacing w:after="0"/>
              <w:rPr>
                <w:sz w:val="17"/>
                <w:szCs w:val="17"/>
                <w:color w:val="auto"/>
              </w:rPr>
            </w:pPr>
          </w:p>
        </w:tc>
      </w:tr>
      <w:tr>
        <w:trPr>
          <w:trHeight w:val="223"/>
        </w:trPr>
        <w:tc>
          <w:tcPr>
            <w:tcW w:w="1120" w:type="dxa"/>
            <w:vAlign w:val="bottom"/>
          </w:tcPr>
          <w:p>
            <w:pPr>
              <w:ind w:left="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Filing Fee Table.</w:t>
              </w:r>
            </w:hyperlink>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636270</wp:posOffset>
            </wp:positionV>
            <wp:extent cx="71748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2</w:t>
      </w:r>
      <w:r>
        <w:rPr>
          <w:rFonts w:ascii="Arial" w:cs="Arial" w:eastAsia="Arial" w:hAnsi="Arial"/>
          <w:sz w:val="15"/>
          <w:szCs w:val="15"/>
          <w:color w:val="auto"/>
        </w:rPr>
        <w:t>nd</w:t>
      </w:r>
      <w:r>
        <w:rPr>
          <w:rFonts w:ascii="Arial" w:cs="Arial" w:eastAsia="Arial" w:hAnsi="Arial"/>
          <w:sz w:val="18"/>
          <w:szCs w:val="18"/>
          <w:color w:val="auto"/>
        </w:rPr>
        <w:t xml:space="preserve"> day of May, 2022.</w:t>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AXSOME THERAPEUTICS, INC.</w:t>
      </w:r>
    </w:p>
    <w:p>
      <w:pPr>
        <w:spacing w:after="0" w:line="30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31750</wp:posOffset>
            </wp:positionV>
            <wp:extent cx="32658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Herriot Tabuteau, M.D.</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Chief Executive Officer</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 ALL PERSONS BY THESE PRESENTS: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That each person whose signature appears below constitutes and appoints Herriot Tabuteau, M.D., Chief Executive Officer, and Nick Pizzie, Chief Financial Officer, and each of them, as such person’s true and lawful attorneys-in-fact and agents, with full power of substitution and resubstitution, for such person and in such person’s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or any of them, or their or his or her substitutes, may lawfully do or cause to be done by virtue thereof.</w:t>
      </w:r>
    </w:p>
    <w:p>
      <w:pPr>
        <w:spacing w:after="0" w:line="16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on behalf of the Registrant and in the capacities and on the dates indicated.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40" w:type="dxa"/>
            <w:vAlign w:val="bottom"/>
          </w:tcPr>
          <w:p>
            <w:pPr>
              <w:spacing w:after="0"/>
              <w:rPr>
                <w:sz w:val="16"/>
                <w:szCs w:val="16"/>
                <w:color w:val="auto"/>
              </w:rPr>
            </w:pPr>
          </w:p>
        </w:tc>
        <w:tc>
          <w:tcPr>
            <w:tcW w:w="428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Title</w:t>
            </w:r>
          </w:p>
        </w:tc>
        <w:tc>
          <w:tcPr>
            <w:tcW w:w="3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63"/>
        </w:trPr>
        <w:tc>
          <w:tcPr>
            <w:tcW w:w="4060" w:type="dxa"/>
            <w:vAlign w:val="bottom"/>
          </w:tcPr>
          <w:p>
            <w:pPr>
              <w:jc w:val="center"/>
              <w:spacing w:after="0"/>
              <w:rPr>
                <w:sz w:val="20"/>
                <w:szCs w:val="20"/>
                <w:color w:val="auto"/>
              </w:rPr>
            </w:pPr>
            <w:r>
              <w:rPr>
                <w:rFonts w:ascii="Arial" w:cs="Arial" w:eastAsia="Arial" w:hAnsi="Arial"/>
                <w:sz w:val="18"/>
                <w:szCs w:val="18"/>
                <w:color w:val="auto"/>
                <w:w w:val="91"/>
              </w:rPr>
              <w:t>/s/ Herriot Tabuteau, M.D.</w:t>
            </w:r>
          </w:p>
        </w:tc>
        <w:tc>
          <w:tcPr>
            <w:tcW w:w="34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Chief Executive Officer and Chairman of the Board</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May 2, 2022</w:t>
            </w:r>
          </w:p>
        </w:tc>
        <w:tc>
          <w:tcPr>
            <w:tcW w:w="0" w:type="dxa"/>
            <w:vAlign w:val="bottom"/>
          </w:tcPr>
          <w:p>
            <w:pPr>
              <w:spacing w:after="0"/>
              <w:rPr>
                <w:sz w:val="1"/>
                <w:szCs w:val="1"/>
                <w:color w:val="auto"/>
              </w:rPr>
            </w:pPr>
          </w:p>
        </w:tc>
      </w:tr>
      <w:tr>
        <w:trPr>
          <w:trHeight w:val="203"/>
        </w:trPr>
        <w:tc>
          <w:tcPr>
            <w:tcW w:w="40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600" w:type="dxa"/>
            <w:vAlign w:val="bottom"/>
            <w:gridSpan w:val="2"/>
          </w:tcPr>
          <w:p>
            <w:pPr>
              <w:spacing w:after="0" w:line="203" w:lineRule="exact"/>
              <w:rPr>
                <w:sz w:val="20"/>
                <w:szCs w:val="20"/>
                <w:color w:val="auto"/>
              </w:rPr>
            </w:pPr>
            <w:r>
              <w:rPr>
                <w:rFonts w:ascii="Arial" w:cs="Arial" w:eastAsia="Arial" w:hAnsi="Arial"/>
                <w:sz w:val="18"/>
                <w:szCs w:val="18"/>
                <w:color w:val="auto"/>
              </w:rPr>
              <w:t>(Principal Executive Officer)</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60" w:type="dxa"/>
            <w:vAlign w:val="bottom"/>
          </w:tcPr>
          <w:p>
            <w:pPr>
              <w:jc w:val="center"/>
              <w:spacing w:after="0"/>
              <w:rPr>
                <w:sz w:val="20"/>
                <w:szCs w:val="20"/>
                <w:color w:val="auto"/>
              </w:rPr>
            </w:pPr>
            <w:r>
              <w:rPr>
                <w:rFonts w:ascii="Arial" w:cs="Arial" w:eastAsia="Arial" w:hAnsi="Arial"/>
                <w:sz w:val="18"/>
                <w:szCs w:val="18"/>
                <w:color w:val="auto"/>
                <w:w w:val="92"/>
              </w:rPr>
              <w:t>Herriot Tabuteau, M.D.</w:t>
            </w:r>
          </w:p>
        </w:tc>
        <w:tc>
          <w:tcPr>
            <w:tcW w:w="3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3"/>
        </w:trPr>
        <w:tc>
          <w:tcPr>
            <w:tcW w:w="4060" w:type="dxa"/>
            <w:vAlign w:val="bottom"/>
          </w:tcPr>
          <w:p>
            <w:pPr>
              <w:jc w:val="center"/>
              <w:spacing w:after="0"/>
              <w:rPr>
                <w:sz w:val="20"/>
                <w:szCs w:val="20"/>
                <w:color w:val="auto"/>
              </w:rPr>
            </w:pPr>
            <w:r>
              <w:rPr>
                <w:rFonts w:ascii="Arial" w:cs="Arial" w:eastAsia="Arial" w:hAnsi="Arial"/>
                <w:sz w:val="18"/>
                <w:szCs w:val="18"/>
                <w:color w:val="auto"/>
                <w:w w:val="95"/>
              </w:rPr>
              <w:t>/s/ Nick Pizzie, CPA, MBA</w:t>
            </w:r>
          </w:p>
        </w:tc>
        <w:tc>
          <w:tcPr>
            <w:tcW w:w="34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May 2, 2022</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(Principal Financial and Accounting Officer)</w:t>
            </w: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060" w:type="dxa"/>
            <w:vAlign w:val="bottom"/>
          </w:tcPr>
          <w:p>
            <w:pPr>
              <w:jc w:val="center"/>
              <w:spacing w:after="0"/>
              <w:rPr>
                <w:sz w:val="20"/>
                <w:szCs w:val="20"/>
                <w:color w:val="auto"/>
              </w:rPr>
            </w:pPr>
            <w:r>
              <w:rPr>
                <w:rFonts w:ascii="Arial" w:cs="Arial" w:eastAsia="Arial" w:hAnsi="Arial"/>
                <w:sz w:val="18"/>
                <w:szCs w:val="18"/>
                <w:color w:val="auto"/>
                <w:w w:val="95"/>
              </w:rPr>
              <w:t>Nick Pizzie, CPA, MBA</w:t>
            </w:r>
          </w:p>
        </w:tc>
        <w:tc>
          <w:tcPr>
            <w:tcW w:w="340" w:type="dxa"/>
            <w:vAlign w:val="bottom"/>
          </w:tcPr>
          <w:p>
            <w:pPr>
              <w:spacing w:after="0"/>
              <w:rPr>
                <w:sz w:val="19"/>
                <w:szCs w:val="19"/>
                <w:color w:val="auto"/>
              </w:rPr>
            </w:pPr>
          </w:p>
        </w:tc>
        <w:tc>
          <w:tcPr>
            <w:tcW w:w="4600" w:type="dxa"/>
            <w:vAlign w:val="bottom"/>
            <w:gridSpan w:val="2"/>
            <w:vMerge w:val="continue"/>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7"/>
        </w:trPr>
        <w:tc>
          <w:tcPr>
            <w:tcW w:w="4060" w:type="dxa"/>
            <w:vAlign w:val="bottom"/>
          </w:tcPr>
          <w:p>
            <w:pPr>
              <w:jc w:val="center"/>
              <w:spacing w:after="0"/>
              <w:rPr>
                <w:sz w:val="20"/>
                <w:szCs w:val="20"/>
                <w:color w:val="auto"/>
              </w:rPr>
            </w:pPr>
            <w:r>
              <w:rPr>
                <w:rFonts w:ascii="Arial" w:cs="Arial" w:eastAsia="Arial" w:hAnsi="Arial"/>
                <w:sz w:val="18"/>
                <w:szCs w:val="18"/>
                <w:color w:val="auto"/>
                <w:w w:val="94"/>
              </w:rPr>
              <w:t>/s/ Mark Coleman, M.D.</w:t>
            </w:r>
          </w:p>
        </w:tc>
        <w:tc>
          <w:tcPr>
            <w:tcW w:w="34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May 2, 2022</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060" w:type="dxa"/>
            <w:vAlign w:val="bottom"/>
          </w:tcPr>
          <w:p>
            <w:pPr>
              <w:jc w:val="center"/>
              <w:spacing w:after="0"/>
              <w:rPr>
                <w:sz w:val="20"/>
                <w:szCs w:val="20"/>
                <w:color w:val="auto"/>
              </w:rPr>
            </w:pPr>
            <w:r>
              <w:rPr>
                <w:rFonts w:ascii="Arial" w:cs="Arial" w:eastAsia="Arial" w:hAnsi="Arial"/>
                <w:sz w:val="18"/>
                <w:szCs w:val="18"/>
                <w:color w:val="auto"/>
                <w:w w:val="94"/>
              </w:rPr>
              <w:t>Mark Coleman, M.D.</w:t>
            </w:r>
          </w:p>
        </w:tc>
        <w:tc>
          <w:tcPr>
            <w:tcW w:w="3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7"/>
        </w:trPr>
        <w:tc>
          <w:tcPr>
            <w:tcW w:w="4060" w:type="dxa"/>
            <w:vAlign w:val="bottom"/>
          </w:tcPr>
          <w:p>
            <w:pPr>
              <w:jc w:val="center"/>
              <w:spacing w:after="0"/>
              <w:rPr>
                <w:sz w:val="20"/>
                <w:szCs w:val="20"/>
                <w:color w:val="auto"/>
              </w:rPr>
            </w:pPr>
            <w:r>
              <w:rPr>
                <w:rFonts w:ascii="Arial" w:cs="Arial" w:eastAsia="Arial" w:hAnsi="Arial"/>
                <w:sz w:val="18"/>
                <w:szCs w:val="18"/>
                <w:color w:val="auto"/>
                <w:w w:val="89"/>
              </w:rPr>
              <w:t>/s/ Roger Jeffs, Ph.D.</w:t>
            </w:r>
          </w:p>
        </w:tc>
        <w:tc>
          <w:tcPr>
            <w:tcW w:w="34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May 2, 2022</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060" w:type="dxa"/>
            <w:vAlign w:val="bottom"/>
          </w:tcPr>
          <w:p>
            <w:pPr>
              <w:jc w:val="center"/>
              <w:spacing w:after="0"/>
              <w:rPr>
                <w:sz w:val="20"/>
                <w:szCs w:val="20"/>
                <w:color w:val="auto"/>
              </w:rPr>
            </w:pPr>
            <w:r>
              <w:rPr>
                <w:rFonts w:ascii="Arial" w:cs="Arial" w:eastAsia="Arial" w:hAnsi="Arial"/>
                <w:sz w:val="18"/>
                <w:szCs w:val="18"/>
                <w:color w:val="auto"/>
                <w:w w:val="89"/>
              </w:rPr>
              <w:t>Roger Jeffs, Ph.D.</w:t>
            </w:r>
          </w:p>
        </w:tc>
        <w:tc>
          <w:tcPr>
            <w:tcW w:w="3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7"/>
        </w:trPr>
        <w:tc>
          <w:tcPr>
            <w:tcW w:w="4060" w:type="dxa"/>
            <w:vAlign w:val="bottom"/>
          </w:tcPr>
          <w:p>
            <w:pPr>
              <w:jc w:val="center"/>
              <w:spacing w:after="0"/>
              <w:rPr>
                <w:sz w:val="20"/>
                <w:szCs w:val="20"/>
                <w:color w:val="auto"/>
              </w:rPr>
            </w:pPr>
            <w:r>
              <w:rPr>
                <w:rFonts w:ascii="Arial" w:cs="Arial" w:eastAsia="Arial" w:hAnsi="Arial"/>
                <w:sz w:val="18"/>
                <w:szCs w:val="18"/>
                <w:color w:val="auto"/>
                <w:w w:val="90"/>
              </w:rPr>
              <w:t>/s/ Mark Saad</w:t>
            </w:r>
          </w:p>
        </w:tc>
        <w:tc>
          <w:tcPr>
            <w:tcW w:w="34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May 2, 2022</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060" w:type="dxa"/>
            <w:vAlign w:val="bottom"/>
          </w:tcPr>
          <w:p>
            <w:pPr>
              <w:jc w:val="center"/>
              <w:spacing w:after="0"/>
              <w:rPr>
                <w:sz w:val="20"/>
                <w:szCs w:val="20"/>
                <w:color w:val="auto"/>
              </w:rPr>
            </w:pPr>
            <w:r>
              <w:rPr>
                <w:rFonts w:ascii="Arial" w:cs="Arial" w:eastAsia="Arial" w:hAnsi="Arial"/>
                <w:sz w:val="18"/>
                <w:szCs w:val="18"/>
                <w:color w:val="auto"/>
                <w:w w:val="89"/>
              </w:rPr>
              <w:t>Mark Saad</w:t>
            </w:r>
          </w:p>
        </w:tc>
        <w:tc>
          <w:tcPr>
            <w:tcW w:w="3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5.1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DLA Piper LLP (US)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 John F. Kennedy Parkway, Suite 120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Short Hills, New Jersey 07078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www.dlapiper.com</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 973-520-2550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 973-520-2551</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6"/>
          <w:szCs w:val="16"/>
          <w:color w:val="auto"/>
        </w:rPr>
        <w:t>Attorney Responsible for Short Hills Office:</w:t>
      </w:r>
    </w:p>
    <w:p>
      <w:pPr>
        <w:spacing w:after="0" w:line="32" w:lineRule="exact"/>
        <w:rPr>
          <w:sz w:val="20"/>
          <w:szCs w:val="20"/>
          <w:color w:val="auto"/>
        </w:rPr>
      </w:pPr>
    </w:p>
    <w:p>
      <w:pPr>
        <w:ind w:left="10180"/>
        <w:spacing w:after="0"/>
        <w:rPr>
          <w:sz w:val="20"/>
          <w:szCs w:val="20"/>
          <w:color w:val="auto"/>
        </w:rPr>
      </w:pPr>
      <w:r>
        <w:rPr>
          <w:rFonts w:ascii="Arial" w:cs="Arial" w:eastAsia="Arial" w:hAnsi="Arial"/>
          <w:sz w:val="16"/>
          <w:szCs w:val="16"/>
          <w:color w:val="auto"/>
        </w:rPr>
        <w:t>Emilio Ragosa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May 2,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 Cortlandt Street, 16th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10007</w:t>
      </w:r>
    </w:p>
    <w:p>
      <w:pPr>
        <w:spacing w:after="0" w:line="211"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color w:val="auto"/>
        </w:rPr>
        <w:t>Re:</w:t>
        <w:tab/>
        <w:t>Axsome Therapeutics, Inc. - Registration Statement on Form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68148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acted as counsel to Axsome Therapeutics, Inc., a Delaware corporation (the “Company”), in connection with the preparation of a Registration Statement on Form S-8 (the “Registration Statement”) under the Securities Act of 1933, as amended (the “Act”). The Registration Statement relates to the registration of 1,512,671 shares (the “Plan Shares”) of the Company’s common stock, par value $0.0001 per share (the “Common Stock”), issuable under the Axsome Therapeutics, Inc. Amended and Restated 2015 Omnibus Incentive Compensation Plan (the “Plan”), as referenced in the Registration Statement.</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this opinion letter, we have examined the Registration Statement and originals, or copies certified or otherwise identified to our satisfaction, of the Amended and Restated Certificate of Incorporation and the Amended and Restated Bylaws of the Company and such other documents, records and other instruments as we have deemed appropriate for purposes of the opinion set forth herein.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w:t>
      </w:r>
    </w:p>
    <w:p>
      <w:pPr>
        <w:spacing w:after="0" w:line="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upon the foregoing, we are of the opinion that the Plan Shares have been duly authorized and, when and to the extent issued in accordance with the terms of the Plan and any award agreement entered into under the Plan, the Plan Shares will be validly issued, fully paid and nonassessable.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opinion expressed herein is limited to the Delaware General Corporation Law.</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hereby consent to the use of this opinion as Exhibit 5.1 to the Registration Statement. In giving such consent, we do not hereby admit that we are acting within the category of persons whose consent is required under Section 7 of the Act or the rules or regulations of the U.S. Securities and Exchange Commission thereunder.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DLA Piper LLP (US)</w:t>
      </w:r>
    </w:p>
    <w:p>
      <w:pPr>
        <w:sectPr>
          <w:pgSz w:w="11900" w:h="16838" w:orient="portrait"/>
          <w:cols w:equalWidth="0" w:num="1">
            <w:col w:w="11240"/>
          </w:cols>
          <w:pgMar w:left="320" w:top="12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23.2</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130"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We consent to the incorporation by reference in the Registration Statement (Form S-8) pertaining to the Axsome Therapeutics, Inc. 2015 Omnibus Incentive Compensation Plan of our reports dated March 1, 2022, with respect to the consolidated financial statements of Axsome Therapeutics, Inc. and the effectiveness of internal control over financial reporting of Axsome Therapeutics, Inc. included in its Annual Report (Form 10-K) for the year ended December 31, 2021, filed with the Securities and Exchange Commission.</w:t>
      </w: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38" w:lineRule="auto"/>
        <w:rPr>
          <w:sz w:val="20"/>
          <w:szCs w:val="20"/>
          <w:color w:val="auto"/>
        </w:rPr>
      </w:pPr>
      <w:r>
        <w:rPr>
          <w:rFonts w:ascii="Arial" w:cs="Arial" w:eastAsia="Arial" w:hAnsi="Arial"/>
          <w:sz w:val="22"/>
          <w:szCs w:val="22"/>
          <w:color w:val="auto"/>
        </w:rPr>
        <w:t>New York, NY</w:t>
      </w:r>
    </w:p>
    <w:p>
      <w:pPr>
        <w:spacing w:after="0"/>
        <w:rPr>
          <w:sz w:val="20"/>
          <w:szCs w:val="20"/>
          <w:color w:val="auto"/>
        </w:rPr>
      </w:pPr>
      <w:r>
        <w:rPr>
          <w:rFonts w:ascii="Arial" w:cs="Arial" w:eastAsia="Arial" w:hAnsi="Arial"/>
          <w:sz w:val="22"/>
          <w:szCs w:val="22"/>
          <w:color w:val="auto"/>
        </w:rPr>
        <w:t>May 2, 2022</w:t>
      </w:r>
    </w:p>
    <w:p>
      <w:pPr>
        <w:sectPr>
          <w:pgSz w:w="11900" w:h="16838" w:orient="portrait"/>
          <w:cols w:equalWidth="0" w:num="1">
            <w:col w:w="11240"/>
          </w:cols>
          <w:pgMar w:left="320" w:top="112" w:right="339" w:bottom="1440" w:gutter="0" w:footer="0" w:header="0"/>
        </w:sectPr>
      </w:pPr>
    </w:p>
    <w:bookmarkStart w:id="5" w:name="page6"/>
    <w:bookmarkEnd w:id="5"/>
    <w:p>
      <w:pPr>
        <w:ind w:left="10160"/>
        <w:spacing w:after="0"/>
        <w:rPr>
          <w:sz w:val="20"/>
          <w:szCs w:val="20"/>
          <w:color w:val="auto"/>
        </w:rPr>
      </w:pPr>
      <w:r>
        <w:rPr>
          <w:rFonts w:ascii="Arial" w:cs="Arial" w:eastAsia="Arial" w:hAnsi="Arial"/>
          <w:sz w:val="18"/>
          <w:szCs w:val="18"/>
          <w:b w:val="1"/>
          <w:bCs w:val="1"/>
          <w:color w:val="auto"/>
        </w:rPr>
        <w:t>EXHIBIT 107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Calculation Of Filing Fee Tables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S-8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Axsome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1: Newly Registered Securities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Proposed</w:t>
            </w: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Maximum</w:t>
            </w: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color w:val="auto"/>
                <w:w w:val="83"/>
              </w:rPr>
              <w:t>Fee</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6"/>
              </w:rPr>
              <w:t>Offering</w:t>
            </w:r>
          </w:p>
        </w:tc>
        <w:tc>
          <w:tcPr>
            <w:tcW w:w="6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Maximum</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Amount of</w:t>
            </w:r>
          </w:p>
        </w:tc>
      </w:tr>
      <w:tr>
        <w:trPr>
          <w:trHeight w:val="216"/>
        </w:trPr>
        <w:tc>
          <w:tcPr>
            <w:tcW w:w="14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Security</w:t>
            </w:r>
          </w:p>
        </w:tc>
        <w:tc>
          <w:tcPr>
            <w:tcW w:w="200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Security Class</w:t>
            </w: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Calculation</w:t>
            </w:r>
          </w:p>
        </w:tc>
        <w:tc>
          <w:tcPr>
            <w:tcW w:w="1420" w:type="dxa"/>
            <w:vAlign w:val="bottom"/>
            <w:gridSpan w:val="3"/>
          </w:tcPr>
          <w:p>
            <w:pPr>
              <w:jc w:val="center"/>
              <w:ind w:right="420"/>
              <w:spacing w:after="0"/>
              <w:rPr>
                <w:sz w:val="20"/>
                <w:szCs w:val="20"/>
                <w:color w:val="auto"/>
              </w:rPr>
            </w:pPr>
            <w:r>
              <w:rPr>
                <w:rFonts w:ascii="Arial" w:cs="Arial" w:eastAsia="Arial" w:hAnsi="Arial"/>
                <w:sz w:val="18"/>
                <w:szCs w:val="18"/>
                <w:color w:val="auto"/>
                <w:w w:val="96"/>
              </w:rPr>
              <w:t>Amount</w:t>
            </w: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Price Per</w:t>
            </w:r>
          </w:p>
        </w:tc>
        <w:tc>
          <w:tcPr>
            <w:tcW w:w="6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Aggregate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Registration</w:t>
            </w:r>
          </w:p>
        </w:tc>
      </w:tr>
      <w:tr>
        <w:trPr>
          <w:trHeight w:val="230"/>
        </w:trPr>
        <w:tc>
          <w:tcPr>
            <w:tcW w:w="14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Type</w:t>
            </w:r>
          </w:p>
        </w:tc>
        <w:tc>
          <w:tcPr>
            <w:tcW w:w="200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Title</w:t>
            </w: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Rule</w:t>
            </w:r>
          </w:p>
        </w:tc>
        <w:tc>
          <w:tcPr>
            <w:tcW w:w="1420" w:type="dxa"/>
            <w:vAlign w:val="bottom"/>
            <w:gridSpan w:val="3"/>
          </w:tcPr>
          <w:p>
            <w:pPr>
              <w:jc w:val="center"/>
              <w:ind w:right="400"/>
              <w:spacing w:after="0"/>
              <w:rPr>
                <w:sz w:val="20"/>
                <w:szCs w:val="20"/>
                <w:color w:val="auto"/>
              </w:rPr>
            </w:pPr>
            <w:r>
              <w:rPr>
                <w:rFonts w:ascii="Arial" w:cs="Arial" w:eastAsia="Arial" w:hAnsi="Arial"/>
                <w:sz w:val="18"/>
                <w:szCs w:val="18"/>
                <w:color w:val="auto"/>
                <w:w w:val="89"/>
              </w:rPr>
              <w:t>Registered(1)</w:t>
            </w: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Unit</w:t>
            </w:r>
          </w:p>
        </w:tc>
        <w:tc>
          <w:tcPr>
            <w:tcW w:w="6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Offering Price</w:t>
            </w:r>
          </w:p>
        </w:tc>
        <w:tc>
          <w:tcPr>
            <w:tcW w:w="14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Fee Rate</w:t>
            </w:r>
          </w:p>
        </w:tc>
        <w:tc>
          <w:tcPr>
            <w:tcW w:w="100" w:type="dxa"/>
            <w:vAlign w:val="bottom"/>
          </w:tcPr>
          <w:p>
            <w:pPr>
              <w:spacing w:after="0"/>
              <w:rPr>
                <w:sz w:val="20"/>
                <w:szCs w:val="20"/>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color w:val="auto"/>
                <w:w w:val="83"/>
              </w:rPr>
              <w:t>Fee</w:t>
            </w:r>
          </w:p>
        </w:tc>
      </w:tr>
      <w:tr>
        <w:trPr>
          <w:trHeight w:val="195"/>
        </w:trPr>
        <w:tc>
          <w:tcPr>
            <w:tcW w:w="12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Common stock,</w:t>
            </w: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16"/>
        </w:trPr>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0"/>
              </w:rPr>
              <w:t>$0.0001 par value per</w:t>
            </w:r>
          </w:p>
        </w:tc>
        <w:tc>
          <w:tcPr>
            <w:tcW w:w="14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Rule 457(c) and</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4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5"/>
              </w:rPr>
              <w:t>Equity</w:t>
            </w:r>
          </w:p>
        </w:tc>
        <w:tc>
          <w:tcPr>
            <w:tcW w:w="200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84"/>
              </w:rPr>
              <w:t>share</w:t>
            </w:r>
          </w:p>
        </w:tc>
        <w:tc>
          <w:tcPr>
            <w:tcW w:w="14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Rule 457(h)</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1,512,671(2) $</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31.15(3)</w:t>
            </w:r>
          </w:p>
        </w:tc>
        <w:tc>
          <w:tcPr>
            <w:tcW w:w="142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7"/>
              </w:rPr>
              <w:t>$ 47,119,701.65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0.0000927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4,368.00</w:t>
            </w:r>
          </w:p>
        </w:tc>
        <w:tc>
          <w:tcPr>
            <w:tcW w:w="80" w:type="dxa"/>
            <w:vAlign w:val="bottom"/>
            <w:shd w:val="clear" w:color="auto" w:fill="CCEEFF"/>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1"/>
              </w:rPr>
              <w:t>Total Offering Amounts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3"/>
          </w:tcPr>
          <w:p>
            <w:pPr>
              <w:jc w:val="center"/>
              <w:ind w:right="160"/>
              <w:spacing w:after="0"/>
              <w:rPr>
                <w:sz w:val="20"/>
                <w:szCs w:val="20"/>
                <w:color w:val="auto"/>
              </w:rPr>
            </w:pPr>
            <w:r>
              <w:rPr>
                <w:rFonts w:ascii="Arial" w:cs="Arial" w:eastAsia="Arial" w:hAnsi="Arial"/>
                <w:sz w:val="18"/>
                <w:szCs w:val="18"/>
                <w:color w:val="auto"/>
                <w:w w:val="87"/>
              </w:rPr>
              <w:t>$ 47,119,701.65</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4,368.00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40" w:type="dxa"/>
            <w:vAlign w:val="bottom"/>
            <w:gridSpan w:val="5"/>
            <w:shd w:val="clear" w:color="auto" w:fill="CCEEFF"/>
          </w:tcPr>
          <w:p>
            <w:pPr>
              <w:jc w:val="center"/>
              <w:ind w:right="420"/>
              <w:spacing w:after="0"/>
              <w:rPr>
                <w:sz w:val="20"/>
                <w:szCs w:val="20"/>
                <w:color w:val="auto"/>
              </w:rPr>
            </w:pPr>
            <w:r>
              <w:rPr>
                <w:rFonts w:ascii="Arial" w:cs="Arial" w:eastAsia="Arial" w:hAnsi="Arial"/>
                <w:sz w:val="18"/>
                <w:szCs w:val="18"/>
                <w:b w:val="1"/>
                <w:bCs w:val="1"/>
                <w:color w:val="auto"/>
                <w:w w:val="88"/>
              </w:rPr>
              <w:t>Total Fee Offsets</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90"/>
              </w:rPr>
              <w:t>Net Fee Due</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4,368.</w:t>
            </w:r>
            <w:r>
              <w:rPr>
                <w:rFonts w:ascii="Arial" w:cs="Arial" w:eastAsia="Arial" w:hAnsi="Arial"/>
                <w:sz w:val="18"/>
                <w:szCs w:val="18"/>
                <w:u w:val="single" w:color="auto"/>
                <w:color w:val="auto"/>
              </w:rPr>
              <w:t>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80" w:hanging="440"/>
        <w:spacing w:after="0" w:line="257"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“Securities Act”), this registration statement (the “Registration Statement”) shall also cover any additional shares of the Registrant’s common stock, $0.0001 par value per share (the “Common Stock”) that becomes issuable under the Registrant’s Amended and Restated 2015 Omnibus Incentive Compensation Plan (the “Plan”) by reason of any stock dividend, stock split, recapitalization or other similar transaction effected without the receipt of consideration that increases the number of the Registrant’s outstanding shares of Common Stock.</w:t>
      </w:r>
    </w:p>
    <w:p>
      <w:pPr>
        <w:spacing w:after="0" w:line="187" w:lineRule="exact"/>
        <w:rPr>
          <w:rFonts w:ascii="Arial" w:cs="Arial" w:eastAsia="Arial" w:hAnsi="Arial"/>
          <w:sz w:val="18"/>
          <w:szCs w:val="18"/>
          <w:color w:val="auto"/>
        </w:rPr>
      </w:pP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covers 1,512,671 shares of the Registrant’s Common Stock, which are issuable pursuant to the Plan.</w:t>
      </w:r>
    </w:p>
    <w:p>
      <w:pPr>
        <w:spacing w:after="0" w:line="225" w:lineRule="exact"/>
        <w:rPr>
          <w:rFonts w:ascii="Arial" w:cs="Arial" w:eastAsia="Arial" w:hAnsi="Arial"/>
          <w:sz w:val="18"/>
          <w:szCs w:val="18"/>
          <w:color w:val="auto"/>
        </w:rPr>
      </w:pPr>
    </w:p>
    <w:p>
      <w:pPr>
        <w:ind w:left="880" w:right="80" w:hanging="440"/>
        <w:spacing w:after="0" w:line="263"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457(c) and (h) under the Securities Act solely for the purpose of calculating the registration fee on the basis of $31.15, the average of the high and low prices of the Registrant’s common stock as reported on The Nasdaq Global Market on April 28, 2022.</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9" Type="http://schemas.openxmlformats.org/officeDocument/2006/relationships/hyperlink" Target="http://www.sec.gov/Archives/edgar/data/1579428/000155837020010231/axsm-20200630xex10d2.htm" TargetMode="External"/><Relationship Id="rId10" Type="http://schemas.openxmlformats.org/officeDocument/2006/relationships/hyperlink" Target="http://www.sec.gov/Archives/edgar/data/1579428/000110465915085196/a15-24973_1ex99d2.htm" TargetMode="External"/><Relationship Id="rId11" Type="http://schemas.openxmlformats.org/officeDocument/2006/relationships/hyperlink" Target="http://www.sec.gov/Archives/edgar/data/1579428/000155837020006307/axsm-20200508xex99d3.htm" TargetMode="External"/><Relationship Id="rId12" Type="http://schemas.openxmlformats.org/officeDocument/2006/relationships/hyperlink" Target="http://www.sec.gov/Archives/edgar/data/1579428/000155837020006307/axsm-20200508xex99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2022-05-02T17:00:56Z</dcterms:created>
  <dcterms:modified xsi:type="dcterms:W3CDTF">2022-05-02T17:00:56Z</dcterms:modified>
</cp:coreProperties>
</file>