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Coleman Mark</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Axsome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AXSM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05/29/2026</w:t>
            </w:r>
          </w:p>
        </w:tc>
        <w:tc>
          <w:tcPr>
            <w:tcW w:w="1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440" w:type="dxa"/>
            <w:vAlign w:val="bottom"/>
            <w:gridSpan w:val="3"/>
            <w:vMerge w:val="continue"/>
          </w:tcPr>
          <w:p>
            <w:pPr>
              <w:spacing w:after="0"/>
              <w:rPr>
                <w:sz w:val="11"/>
                <w:szCs w:val="11"/>
                <w:color w:val="auto"/>
              </w:rPr>
            </w:pPr>
          </w:p>
        </w:tc>
        <w:tc>
          <w:tcPr>
            <w:tcW w:w="1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ONE WORLD TRADE CENTER, 29TH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jc w:val="center"/>
              <w:ind w:right="53"/>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05/29/2026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tcBorders>
              <w:bottom w:val="single" w:sz="8" w:color="2C2C2C"/>
            </w:tcBorders>
          </w:tcPr>
          <w:p>
            <w:pPr>
              <w:jc w:val="right"/>
              <w:ind w:right="149"/>
              <w:spacing w:after="0"/>
              <w:rPr>
                <w:sz w:val="20"/>
                <w:szCs w:val="20"/>
                <w:color w:val="auto"/>
              </w:rPr>
            </w:pPr>
            <w:r>
              <w:rPr>
                <w:rFonts w:ascii="Times New Roman" w:cs="Times New Roman" w:eastAsia="Times New Roman" w:hAnsi="Times New Roman"/>
                <w:sz w:val="17"/>
                <w:szCs w:val="17"/>
                <w:color w:val="0000FF"/>
              </w:rPr>
              <w:t>6,000</w:t>
            </w:r>
          </w:p>
        </w:tc>
        <w:tc>
          <w:tcPr>
            <w:tcW w:w="1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3"/>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233.46</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41,140</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06/01/2026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tcBorders>
              <w:bottom w:val="single" w:sz="8" w:color="2C2C2C"/>
            </w:tcBorders>
          </w:tcPr>
          <w:p>
            <w:pPr>
              <w:jc w:val="right"/>
              <w:ind w:right="149"/>
              <w:spacing w:after="0"/>
              <w:rPr>
                <w:sz w:val="20"/>
                <w:szCs w:val="20"/>
                <w:color w:val="auto"/>
              </w:rPr>
            </w:pPr>
            <w:r>
              <w:rPr>
                <w:rFonts w:ascii="Times New Roman" w:cs="Times New Roman" w:eastAsia="Times New Roman" w:hAnsi="Times New Roman"/>
                <w:sz w:val="17"/>
                <w:szCs w:val="17"/>
                <w:color w:val="0000FF"/>
              </w:rPr>
              <w:t>6,000</w:t>
            </w:r>
          </w:p>
        </w:tc>
        <w:tc>
          <w:tcPr>
            <w:tcW w:w="1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230.3</w:t>
            </w:r>
            <w:r>
              <w:rPr>
                <w:rFonts w:ascii="Times New Roman" w:cs="Times New Roman" w:eastAsia="Times New Roman" w:hAnsi="Times New Roman"/>
                <w:sz w:val="22"/>
                <w:szCs w:val="22"/>
                <w:color w:val="008000"/>
                <w:w w:val="92"/>
                <w:vertAlign w:val="superscript"/>
              </w:rPr>
              <w:t>(4)</w:t>
            </w: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35,140</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06/02/2026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tcBorders>
              <w:bottom w:val="single" w:sz="8" w:color="2C2C2C"/>
            </w:tcBorders>
          </w:tcPr>
          <w:p>
            <w:pPr>
              <w:jc w:val="right"/>
              <w:ind w:right="149"/>
              <w:spacing w:after="0"/>
              <w:rPr>
                <w:sz w:val="20"/>
                <w:szCs w:val="20"/>
                <w:color w:val="auto"/>
              </w:rPr>
            </w:pPr>
            <w:r>
              <w:rPr>
                <w:rFonts w:ascii="Times New Roman" w:cs="Times New Roman" w:eastAsia="Times New Roman" w:hAnsi="Times New Roman"/>
                <w:sz w:val="17"/>
                <w:szCs w:val="17"/>
                <w:color w:val="0000FF"/>
              </w:rPr>
              <w:t>5,537</w:t>
            </w:r>
          </w:p>
        </w:tc>
        <w:tc>
          <w:tcPr>
            <w:tcW w:w="1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3"/>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223.39</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29,603</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403,856</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4"/>
                <w:szCs w:val="14"/>
                <w:color w:val="auto"/>
              </w:rPr>
            </w:pP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sale of underlying shares of previously exercised stock options.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transaction was pursuant to a pre-approved 10b5-1 plan.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a series of open market transactions with sale prices ranging between $231.50 and $235.23.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a series of open market transactions with sale prices ranging between $229.56 and $232.14.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a series of open market transactions with sale prices ranging between $221.82 and $225.21.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shares are held by an entity, of which the reporting person has voting and dispositive power, and therefore, the reporting person is deemed to be the indirect beneficial owner of such shares.</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Nick Pizzie, Attorney-in-</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8379"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2026-06-02T18:02:19Z</dcterms:created>
  <dcterms:modified xsi:type="dcterms:W3CDTF">2026-06-02T18:02:19Z</dcterms:modified>
</cp:coreProperties>
</file>