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Common Stock, Par Value $0.0001</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05464T104</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4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05464T104</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7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Fairmount Funds Management LLC</w:t>
            </w:r>
          </w:p>
        </w:tc>
        <w:tc>
          <w:tcPr>
            <w:tcW w:w="0" w:type="dxa"/>
            <w:vAlign w:val="bottom"/>
          </w:tcPr>
          <w:p>
            <w:pPr>
              <w:spacing w:after="0"/>
              <w:rPr>
                <w:sz w:val="1"/>
                <w:szCs w:val="1"/>
                <w:color w:val="auto"/>
              </w:rPr>
            </w:pPr>
          </w:p>
        </w:tc>
      </w:tr>
      <w:tr>
        <w:trPr>
          <w:trHeight w:val="156"/>
        </w:trPr>
        <w:tc>
          <w:tcPr>
            <w:tcW w:w="400" w:type="dxa"/>
            <w:vAlign w:val="bottom"/>
            <w:tcBorders>
              <w:left w:val="single" w:sz="8" w:color="auto"/>
            </w:tcBorders>
          </w:tcPr>
          <w:p>
            <w:pPr>
              <w:ind w:left="16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3"/>
                <w:szCs w:val="13"/>
                <w:color w:val="auto"/>
              </w:rPr>
            </w:pPr>
          </w:p>
        </w:tc>
        <w:tc>
          <w:tcPr>
            <w:tcW w:w="10760" w:type="dxa"/>
            <w:vAlign w:val="bottom"/>
            <w:tcBorders>
              <w:right w:val="single" w:sz="8" w:color="auto"/>
            </w:tcBorders>
            <w:gridSpan w:val="5"/>
          </w:tcPr>
          <w:p>
            <w:pPr>
              <w:ind w:left="1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tcBorders>
            <w:gridSpan w:val="4"/>
          </w:tcPr>
          <w:p>
            <w:pPr>
              <w:spacing w:after="0"/>
              <w:rPr>
                <w:sz w:val="15"/>
                <w:szCs w:val="15"/>
                <w:color w:val="auto"/>
              </w:rPr>
            </w:pPr>
          </w:p>
        </w:tc>
        <w:tc>
          <w:tcPr>
            <w:tcW w:w="94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76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20"/>
                <w:szCs w:val="20"/>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2,360,077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Borders>
              <w:left w:val="single" w:sz="8" w:color="auto"/>
            </w:tcBorders>
          </w:tcPr>
          <w:p>
            <w:pPr>
              <w:spacing w:after="0"/>
              <w:rPr>
                <w:sz w:val="15"/>
                <w:szCs w:val="15"/>
                <w:color w:val="auto"/>
              </w:rPr>
            </w:pPr>
          </w:p>
        </w:tc>
        <w:tc>
          <w:tcPr>
            <w:tcW w:w="780" w:type="dxa"/>
            <w:vAlign w:val="bottom"/>
            <w:tcBorders>
              <w:right w:val="single" w:sz="8" w:color="auto"/>
            </w:tcBorders>
            <w:gridSpan w:val="2"/>
          </w:tcPr>
          <w:p>
            <w:pPr>
              <w:jc w:val="center"/>
              <w:ind w:right="33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Pr>
          <w:p>
            <w:pPr>
              <w:spacing w:after="0"/>
              <w:rPr>
                <w:sz w:val="15"/>
                <w:szCs w:val="15"/>
                <w:color w:val="auto"/>
              </w:rPr>
            </w:pPr>
          </w:p>
        </w:tc>
        <w:tc>
          <w:tcPr>
            <w:tcW w:w="480" w:type="dxa"/>
            <w:vAlign w:val="bottom"/>
            <w:tcBorders>
              <w:right w:val="single" w:sz="8" w:color="auto"/>
            </w:tcBorders>
          </w:tcPr>
          <w:p>
            <w:pPr>
              <w:jc w:val="right"/>
              <w:ind w:right="1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944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400" w:type="dxa"/>
            <w:vAlign w:val="bottom"/>
            <w:tcBorders>
              <w:left w:val="single" w:sz="8" w:color="auto"/>
            </w:tcBorders>
          </w:tcPr>
          <w:p>
            <w:pPr>
              <w:spacing w:after="0"/>
              <w:rPr>
                <w:sz w:val="2"/>
                <w:szCs w:val="2"/>
                <w:color w:val="auto"/>
              </w:rPr>
            </w:pPr>
          </w:p>
        </w:tc>
        <w:tc>
          <w:tcPr>
            <w:tcW w:w="780" w:type="dxa"/>
            <w:vAlign w:val="bottom"/>
            <w:tcBorders>
              <w:right w:val="single" w:sz="8" w:color="auto"/>
            </w:tcBorders>
            <w:gridSpan w:val="2"/>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4"/>
              </w:rPr>
              <w:t>With</w:t>
            </w: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7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2,360,077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2,360,077 </w:t>
            </w:r>
            <w:r>
              <w:rPr>
                <w:rFonts w:ascii="Times New Roman" w:cs="Times New Roman" w:eastAsia="Times New Roman" w:hAnsi="Times New Roman"/>
                <w:sz w:val="29"/>
                <w:szCs w:val="29"/>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4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spacing w:after="0"/>
              <w:rPr>
                <w:sz w:val="11"/>
                <w:szCs w:val="11"/>
                <w:color w:val="auto"/>
              </w:rPr>
            </w:pPr>
          </w:p>
        </w:tc>
        <w:tc>
          <w:tcPr>
            <w:tcW w:w="95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89"/>
              </w:rPr>
              <w:t>4.9%</w:t>
            </w:r>
            <w:r>
              <w:rPr>
                <w:rFonts w:ascii="Times New Roman" w:cs="Times New Roman" w:eastAsia="Times New Roman" w:hAnsi="Times New Roman"/>
                <w:sz w:val="29"/>
                <w:szCs w:val="29"/>
                <w:color w:val="auto"/>
                <w:w w:val="89"/>
                <w:vertAlign w:val="superscript"/>
              </w:rPr>
              <w:t>(2)</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IA</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8"/>
        <w:spacing w:after="0" w:line="282" w:lineRule="auto"/>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herein for the Reporting Person represent 2,360,077 shares of the Issuer’s Common Stock held by Fairmount Healthcare Fund II LP (“Fund II”).</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47,319,547 shares of the Issuer’s Common Stock outstanding as of October 31, 2023, as disclosed on Form 10-Q filed by the Issuer with the Securities and Exchange Commission on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05464T104</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7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Peter Harwin</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0" w:type="dxa"/>
            <w:vAlign w:val="bottom"/>
            <w:tcBorders>
              <w:left w:val="single" w:sz="8" w:color="auto"/>
            </w:tcBorders>
          </w:tcPr>
          <w:p>
            <w:pPr>
              <w:ind w:left="16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3"/>
                <w:szCs w:val="13"/>
                <w:color w:val="auto"/>
              </w:rPr>
            </w:pPr>
          </w:p>
        </w:tc>
        <w:tc>
          <w:tcPr>
            <w:tcW w:w="10760" w:type="dxa"/>
            <w:vAlign w:val="bottom"/>
            <w:tcBorders>
              <w:right w:val="single" w:sz="8" w:color="auto"/>
            </w:tcBorders>
            <w:gridSpan w:val="5"/>
          </w:tcPr>
          <w:p>
            <w:pPr>
              <w:ind w:left="1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tcBorders>
            <w:gridSpan w:val="4"/>
          </w:tcPr>
          <w:p>
            <w:pPr>
              <w:spacing w:after="0"/>
              <w:rPr>
                <w:sz w:val="15"/>
                <w:szCs w:val="15"/>
                <w:color w:val="auto"/>
              </w:rPr>
            </w:pPr>
          </w:p>
        </w:tc>
        <w:tc>
          <w:tcPr>
            <w:tcW w:w="94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76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20"/>
                <w:szCs w:val="20"/>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2,360,077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Borders>
              <w:left w:val="single" w:sz="8" w:color="auto"/>
            </w:tcBorders>
          </w:tcPr>
          <w:p>
            <w:pPr>
              <w:spacing w:after="0"/>
              <w:rPr>
                <w:sz w:val="15"/>
                <w:szCs w:val="15"/>
                <w:color w:val="auto"/>
              </w:rPr>
            </w:pPr>
          </w:p>
        </w:tc>
        <w:tc>
          <w:tcPr>
            <w:tcW w:w="780" w:type="dxa"/>
            <w:vAlign w:val="bottom"/>
            <w:tcBorders>
              <w:right w:val="single" w:sz="8" w:color="auto"/>
            </w:tcBorders>
            <w:gridSpan w:val="2"/>
          </w:tcPr>
          <w:p>
            <w:pPr>
              <w:jc w:val="center"/>
              <w:ind w:right="33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Pr>
          <w:p>
            <w:pPr>
              <w:spacing w:after="0"/>
              <w:rPr>
                <w:sz w:val="15"/>
                <w:szCs w:val="15"/>
                <w:color w:val="auto"/>
              </w:rPr>
            </w:pPr>
          </w:p>
        </w:tc>
        <w:tc>
          <w:tcPr>
            <w:tcW w:w="480" w:type="dxa"/>
            <w:vAlign w:val="bottom"/>
            <w:tcBorders>
              <w:right w:val="single" w:sz="8" w:color="auto"/>
            </w:tcBorders>
          </w:tcPr>
          <w:p>
            <w:pPr>
              <w:jc w:val="right"/>
              <w:ind w:right="1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944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400" w:type="dxa"/>
            <w:vAlign w:val="bottom"/>
            <w:tcBorders>
              <w:left w:val="single" w:sz="8" w:color="auto"/>
            </w:tcBorders>
          </w:tcPr>
          <w:p>
            <w:pPr>
              <w:spacing w:after="0"/>
              <w:rPr>
                <w:sz w:val="2"/>
                <w:szCs w:val="2"/>
                <w:color w:val="auto"/>
              </w:rPr>
            </w:pPr>
          </w:p>
        </w:tc>
        <w:tc>
          <w:tcPr>
            <w:tcW w:w="780" w:type="dxa"/>
            <w:vAlign w:val="bottom"/>
            <w:tcBorders>
              <w:right w:val="single" w:sz="8" w:color="auto"/>
            </w:tcBorders>
            <w:gridSpan w:val="2"/>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4"/>
              </w:rPr>
              <w:t>With</w:t>
            </w: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7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2,360,077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2,360,077</w:t>
            </w:r>
            <w:r>
              <w:rPr>
                <w:rFonts w:ascii="Times New Roman" w:cs="Times New Roman" w:eastAsia="Times New Roman" w:hAnsi="Times New Roman"/>
                <w:sz w:val="29"/>
                <w:szCs w:val="29"/>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4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spacing w:after="0"/>
              <w:rPr>
                <w:sz w:val="11"/>
                <w:szCs w:val="11"/>
                <w:color w:val="auto"/>
              </w:rPr>
            </w:pPr>
          </w:p>
        </w:tc>
        <w:tc>
          <w:tcPr>
            <w:tcW w:w="95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89"/>
              </w:rPr>
              <w:t>4.9%</w:t>
            </w:r>
            <w:r>
              <w:rPr>
                <w:rFonts w:ascii="Times New Roman" w:cs="Times New Roman" w:eastAsia="Times New Roman" w:hAnsi="Times New Roman"/>
                <w:sz w:val="29"/>
                <w:szCs w:val="29"/>
                <w:color w:val="auto"/>
                <w:w w:val="89"/>
                <w:vertAlign w:val="superscript"/>
              </w:rPr>
              <w:t>(2)</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HC, IN</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8"/>
        <w:spacing w:after="0" w:line="282"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herein for the Reporting Person represent 2,360,077 shares of the Issuer’s Common Stock held by Fairmount Healthcare Fund II LP (“Fund II”).</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47,319,547 shares of the Issuer’s Common Stock outstanding as of October 31, 2023, as disclosed on Form 10-Q filed by the Issuer with the Securities and Exchange Commission on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05464T104</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7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Tomas Kiselak</w:t>
            </w: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0" w:type="dxa"/>
            <w:vAlign w:val="bottom"/>
            <w:tcBorders>
              <w:left w:val="single" w:sz="8" w:color="auto"/>
            </w:tcBorders>
          </w:tcPr>
          <w:p>
            <w:pPr>
              <w:ind w:left="16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3"/>
                <w:szCs w:val="13"/>
                <w:color w:val="auto"/>
              </w:rPr>
            </w:pPr>
          </w:p>
        </w:tc>
        <w:tc>
          <w:tcPr>
            <w:tcW w:w="10760" w:type="dxa"/>
            <w:vAlign w:val="bottom"/>
            <w:tcBorders>
              <w:right w:val="single" w:sz="8" w:color="auto"/>
            </w:tcBorders>
            <w:gridSpan w:val="5"/>
          </w:tcPr>
          <w:p>
            <w:pPr>
              <w:ind w:left="1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tcBorders>
            <w:gridSpan w:val="4"/>
          </w:tcPr>
          <w:p>
            <w:pPr>
              <w:spacing w:after="0"/>
              <w:rPr>
                <w:sz w:val="15"/>
                <w:szCs w:val="15"/>
                <w:color w:val="auto"/>
              </w:rPr>
            </w:pPr>
          </w:p>
        </w:tc>
        <w:tc>
          <w:tcPr>
            <w:tcW w:w="93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9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76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w w:val="98"/>
              </w:rPr>
              <w:t>Slovak Republic</w:t>
            </w: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20"/>
                <w:szCs w:val="20"/>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2,360,077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Borders>
              <w:left w:val="single" w:sz="8" w:color="auto"/>
            </w:tcBorders>
          </w:tcPr>
          <w:p>
            <w:pPr>
              <w:spacing w:after="0"/>
              <w:rPr>
                <w:sz w:val="15"/>
                <w:szCs w:val="15"/>
                <w:color w:val="auto"/>
              </w:rPr>
            </w:pPr>
          </w:p>
        </w:tc>
        <w:tc>
          <w:tcPr>
            <w:tcW w:w="780" w:type="dxa"/>
            <w:vAlign w:val="bottom"/>
            <w:tcBorders>
              <w:right w:val="single" w:sz="8" w:color="auto"/>
            </w:tcBorders>
            <w:gridSpan w:val="2"/>
          </w:tcPr>
          <w:p>
            <w:pPr>
              <w:jc w:val="center"/>
              <w:ind w:right="33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Pr>
          <w:p>
            <w:pPr>
              <w:spacing w:after="0"/>
              <w:rPr>
                <w:sz w:val="15"/>
                <w:szCs w:val="15"/>
                <w:color w:val="auto"/>
              </w:rPr>
            </w:pPr>
          </w:p>
        </w:tc>
        <w:tc>
          <w:tcPr>
            <w:tcW w:w="480" w:type="dxa"/>
            <w:vAlign w:val="bottom"/>
            <w:tcBorders>
              <w:right w:val="single" w:sz="8" w:color="auto"/>
            </w:tcBorders>
          </w:tcPr>
          <w:p>
            <w:pPr>
              <w:jc w:val="right"/>
              <w:ind w:right="1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5"/>
                <w:szCs w:val="15"/>
                <w:color w:val="auto"/>
              </w:rPr>
            </w:pPr>
          </w:p>
        </w:tc>
        <w:tc>
          <w:tcPr>
            <w:tcW w:w="938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400" w:type="dxa"/>
            <w:vAlign w:val="bottom"/>
            <w:tcBorders>
              <w:left w:val="single" w:sz="8" w:color="auto"/>
            </w:tcBorders>
          </w:tcPr>
          <w:p>
            <w:pPr>
              <w:spacing w:after="0"/>
              <w:rPr>
                <w:sz w:val="2"/>
                <w:szCs w:val="2"/>
                <w:color w:val="auto"/>
              </w:rPr>
            </w:pPr>
          </w:p>
        </w:tc>
        <w:tc>
          <w:tcPr>
            <w:tcW w:w="780" w:type="dxa"/>
            <w:vAlign w:val="bottom"/>
            <w:tcBorders>
              <w:right w:val="single" w:sz="8" w:color="auto"/>
            </w:tcBorders>
            <w:gridSpan w:val="2"/>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4"/>
              </w:rPr>
              <w:t>With</w:t>
            </w: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7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2,360,077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2,360,077</w:t>
            </w:r>
            <w:r>
              <w:rPr>
                <w:rFonts w:ascii="Times New Roman" w:cs="Times New Roman" w:eastAsia="Times New Roman" w:hAnsi="Times New Roman"/>
                <w:sz w:val="29"/>
                <w:szCs w:val="29"/>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4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spacing w:after="0"/>
              <w:rPr>
                <w:sz w:val="11"/>
                <w:szCs w:val="11"/>
                <w:color w:val="auto"/>
              </w:rPr>
            </w:pPr>
          </w:p>
        </w:tc>
        <w:tc>
          <w:tcPr>
            <w:tcW w:w="95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89"/>
              </w:rPr>
              <w:t>4.9%</w:t>
            </w:r>
            <w:r>
              <w:rPr>
                <w:rFonts w:ascii="Times New Roman" w:cs="Times New Roman" w:eastAsia="Times New Roman" w:hAnsi="Times New Roman"/>
                <w:sz w:val="29"/>
                <w:szCs w:val="29"/>
                <w:color w:val="auto"/>
                <w:w w:val="89"/>
                <w:vertAlign w:val="superscript"/>
              </w:rPr>
              <w:t>(2)</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HC, IN</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8"/>
        <w:spacing w:after="0" w:line="282" w:lineRule="auto"/>
        <w:tabs>
          <w:tab w:leader="none" w:pos="2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herein for the Reporting Person represent 2,360,077 shares of the Issuer’s Common Stock held by Fairmount Healthcare Fund II LP (“Fund II”).</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47,319,547 shares of the Issuer’s Common Stock outstanding as of October 31, 2023, as disclosed on Form 10-Q filed by the Issuer with the Securities and Exchange Commission on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05464T104</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7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Fairmount Healthcare Fund II L.P.</w:t>
            </w:r>
          </w:p>
        </w:tc>
        <w:tc>
          <w:tcPr>
            <w:tcW w:w="0" w:type="dxa"/>
            <w:vAlign w:val="bottom"/>
          </w:tcPr>
          <w:p>
            <w:pPr>
              <w:spacing w:after="0"/>
              <w:rPr>
                <w:sz w:val="1"/>
                <w:szCs w:val="1"/>
                <w:color w:val="auto"/>
              </w:rPr>
            </w:pPr>
          </w:p>
        </w:tc>
      </w:tr>
      <w:tr>
        <w:trPr>
          <w:trHeight w:val="156"/>
        </w:trPr>
        <w:tc>
          <w:tcPr>
            <w:tcW w:w="400" w:type="dxa"/>
            <w:vAlign w:val="bottom"/>
            <w:tcBorders>
              <w:left w:val="single" w:sz="8" w:color="auto"/>
            </w:tcBorders>
          </w:tcPr>
          <w:p>
            <w:pPr>
              <w:ind w:left="16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3"/>
                <w:szCs w:val="13"/>
                <w:color w:val="auto"/>
              </w:rPr>
            </w:pPr>
          </w:p>
        </w:tc>
        <w:tc>
          <w:tcPr>
            <w:tcW w:w="10760" w:type="dxa"/>
            <w:vAlign w:val="bottom"/>
            <w:tcBorders>
              <w:right w:val="single" w:sz="8" w:color="auto"/>
            </w:tcBorders>
            <w:gridSpan w:val="5"/>
          </w:tcPr>
          <w:p>
            <w:pPr>
              <w:ind w:left="1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tcBorders>
            <w:gridSpan w:val="4"/>
          </w:tcPr>
          <w:p>
            <w:pPr>
              <w:spacing w:after="0"/>
              <w:rPr>
                <w:sz w:val="15"/>
                <w:szCs w:val="15"/>
                <w:color w:val="auto"/>
              </w:rPr>
            </w:pPr>
          </w:p>
        </w:tc>
        <w:tc>
          <w:tcPr>
            <w:tcW w:w="94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76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20"/>
                <w:szCs w:val="20"/>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2,360,077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Borders>
              <w:left w:val="single" w:sz="8" w:color="auto"/>
            </w:tcBorders>
          </w:tcPr>
          <w:p>
            <w:pPr>
              <w:spacing w:after="0"/>
              <w:rPr>
                <w:sz w:val="15"/>
                <w:szCs w:val="15"/>
                <w:color w:val="auto"/>
              </w:rPr>
            </w:pPr>
          </w:p>
        </w:tc>
        <w:tc>
          <w:tcPr>
            <w:tcW w:w="780" w:type="dxa"/>
            <w:vAlign w:val="bottom"/>
            <w:tcBorders>
              <w:right w:val="single" w:sz="8" w:color="auto"/>
            </w:tcBorders>
            <w:gridSpan w:val="2"/>
          </w:tcPr>
          <w:p>
            <w:pPr>
              <w:jc w:val="center"/>
              <w:ind w:right="33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Pr>
          <w:p>
            <w:pPr>
              <w:spacing w:after="0"/>
              <w:rPr>
                <w:sz w:val="15"/>
                <w:szCs w:val="15"/>
                <w:color w:val="auto"/>
              </w:rPr>
            </w:pPr>
          </w:p>
        </w:tc>
        <w:tc>
          <w:tcPr>
            <w:tcW w:w="480" w:type="dxa"/>
            <w:vAlign w:val="bottom"/>
            <w:tcBorders>
              <w:right w:val="single" w:sz="8" w:color="auto"/>
            </w:tcBorders>
          </w:tcPr>
          <w:p>
            <w:pPr>
              <w:jc w:val="right"/>
              <w:ind w:right="1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944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400" w:type="dxa"/>
            <w:vAlign w:val="bottom"/>
            <w:tcBorders>
              <w:left w:val="single" w:sz="8" w:color="auto"/>
            </w:tcBorders>
          </w:tcPr>
          <w:p>
            <w:pPr>
              <w:spacing w:after="0"/>
              <w:rPr>
                <w:sz w:val="2"/>
                <w:szCs w:val="2"/>
                <w:color w:val="auto"/>
              </w:rPr>
            </w:pPr>
          </w:p>
        </w:tc>
        <w:tc>
          <w:tcPr>
            <w:tcW w:w="780" w:type="dxa"/>
            <w:vAlign w:val="bottom"/>
            <w:tcBorders>
              <w:right w:val="single" w:sz="8" w:color="auto"/>
            </w:tcBorders>
            <w:gridSpan w:val="2"/>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4"/>
              </w:rPr>
              <w:t>With</w:t>
            </w: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7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2,360,077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2,360,077</w:t>
            </w:r>
            <w:r>
              <w:rPr>
                <w:rFonts w:ascii="Times New Roman" w:cs="Times New Roman" w:eastAsia="Times New Roman" w:hAnsi="Times New Roman"/>
                <w:sz w:val="29"/>
                <w:szCs w:val="29"/>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5"/>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4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spacing w:after="0"/>
              <w:rPr>
                <w:sz w:val="11"/>
                <w:szCs w:val="11"/>
                <w:color w:val="auto"/>
              </w:rPr>
            </w:pPr>
          </w:p>
        </w:tc>
        <w:tc>
          <w:tcPr>
            <w:tcW w:w="95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89"/>
              </w:rPr>
              <w:t>4.9%</w:t>
            </w:r>
            <w:r>
              <w:rPr>
                <w:rFonts w:ascii="Times New Roman" w:cs="Times New Roman" w:eastAsia="Times New Roman" w:hAnsi="Times New Roman"/>
                <w:sz w:val="29"/>
                <w:szCs w:val="29"/>
                <w:color w:val="auto"/>
                <w:w w:val="89"/>
                <w:vertAlign w:val="superscript"/>
              </w:rPr>
              <w:t>(2)</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herein for the Reporting Person represent 2,360,077 directly owned shares of the Issuer’s Common Stock.</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47,319,547 shares of the Issuer’s Common Stock outstanding as of October 31, 2023, as disclosed on Form 10-Q filed by the Issuer with the Securities and Exchange Commission on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05464T104</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76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Fairmount Healthcare Fund L.P.</w:t>
            </w:r>
          </w:p>
        </w:tc>
        <w:tc>
          <w:tcPr>
            <w:tcW w:w="0" w:type="dxa"/>
            <w:vAlign w:val="bottom"/>
          </w:tcPr>
          <w:p>
            <w:pPr>
              <w:spacing w:after="0"/>
              <w:rPr>
                <w:sz w:val="1"/>
                <w:szCs w:val="1"/>
                <w:color w:val="auto"/>
              </w:rPr>
            </w:pPr>
          </w:p>
        </w:tc>
      </w:tr>
      <w:tr>
        <w:trPr>
          <w:trHeight w:val="156"/>
        </w:trPr>
        <w:tc>
          <w:tcPr>
            <w:tcW w:w="400" w:type="dxa"/>
            <w:vAlign w:val="bottom"/>
            <w:tcBorders>
              <w:left w:val="single" w:sz="8" w:color="auto"/>
            </w:tcBorders>
          </w:tcPr>
          <w:p>
            <w:pPr>
              <w:ind w:left="16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3"/>
                <w:szCs w:val="13"/>
                <w:color w:val="auto"/>
              </w:rPr>
            </w:pPr>
          </w:p>
        </w:tc>
        <w:tc>
          <w:tcPr>
            <w:tcW w:w="10760" w:type="dxa"/>
            <w:vAlign w:val="bottom"/>
            <w:tcBorders>
              <w:right w:val="single" w:sz="8" w:color="auto"/>
            </w:tcBorders>
            <w:gridSpan w:val="4"/>
          </w:tcPr>
          <w:p>
            <w:pPr>
              <w:ind w:left="1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4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tcBorders>
            <w:gridSpan w:val="3"/>
          </w:tcPr>
          <w:p>
            <w:pPr>
              <w:spacing w:after="0"/>
              <w:rPr>
                <w:sz w:val="15"/>
                <w:szCs w:val="15"/>
                <w:color w:val="auto"/>
              </w:rPr>
            </w:pPr>
          </w:p>
        </w:tc>
        <w:tc>
          <w:tcPr>
            <w:tcW w:w="94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76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540" w:type="dxa"/>
            <w:vAlign w:val="bottom"/>
            <w:tcBorders>
              <w:right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6"/>
                <w:szCs w:val="16"/>
                <w:color w:val="auto"/>
              </w:rPr>
            </w:pPr>
          </w:p>
        </w:tc>
        <w:tc>
          <w:tcPr>
            <w:tcW w:w="944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400" w:type="dxa"/>
            <w:vAlign w:val="bottom"/>
            <w:tcBorders>
              <w:left w:val="single" w:sz="8" w:color="auto"/>
            </w:tcBorders>
          </w:tcPr>
          <w:p>
            <w:pPr>
              <w:spacing w:after="0"/>
              <w:rPr>
                <w:sz w:val="15"/>
                <w:szCs w:val="15"/>
                <w:color w:val="auto"/>
              </w:rPr>
            </w:pPr>
          </w:p>
        </w:tc>
        <w:tc>
          <w:tcPr>
            <w:tcW w:w="780" w:type="dxa"/>
            <w:vAlign w:val="bottom"/>
            <w:tcBorders>
              <w:right w:val="single" w:sz="8" w:color="auto"/>
            </w:tcBorders>
            <w:gridSpan w:val="2"/>
          </w:tcPr>
          <w:p>
            <w:pPr>
              <w:jc w:val="center"/>
              <w:ind w:right="33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540" w:type="dxa"/>
            <w:vAlign w:val="bottom"/>
            <w:tcBorders>
              <w:right w:val="single" w:sz="8" w:color="auto"/>
            </w:tcBorders>
          </w:tcPr>
          <w:p>
            <w:pPr>
              <w:jc w:val="right"/>
              <w:ind w:right="1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944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5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400" w:type="dxa"/>
            <w:vAlign w:val="bottom"/>
            <w:tcBorders>
              <w:left w:val="single" w:sz="8" w:color="auto"/>
            </w:tcBorders>
          </w:tcPr>
          <w:p>
            <w:pPr>
              <w:spacing w:after="0"/>
              <w:rPr>
                <w:sz w:val="2"/>
                <w:szCs w:val="2"/>
                <w:color w:val="auto"/>
              </w:rPr>
            </w:pPr>
          </w:p>
        </w:tc>
        <w:tc>
          <w:tcPr>
            <w:tcW w:w="780" w:type="dxa"/>
            <w:vAlign w:val="bottom"/>
            <w:tcBorders>
              <w:right w:val="single" w:sz="8" w:color="auto"/>
            </w:tcBorders>
            <w:gridSpan w:val="2"/>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4"/>
              </w:rPr>
              <w:t>With</w:t>
            </w:r>
          </w:p>
        </w:tc>
        <w:tc>
          <w:tcPr>
            <w:tcW w:w="5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780" w:type="dxa"/>
            <w:vAlign w:val="bottom"/>
            <w:tcBorders>
              <w:right w:val="single" w:sz="8" w:color="auto"/>
            </w:tcBorders>
            <w:gridSpan w:val="2"/>
            <w:vMerge w:val="continue"/>
          </w:tcPr>
          <w:p>
            <w:pPr>
              <w:spacing w:after="0"/>
              <w:rPr>
                <w:sz w:val="19"/>
                <w:szCs w:val="19"/>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9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4"/>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4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5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0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680" w:hanging="335"/>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Axsome Therapeutics, Inc.</w:t>
      </w:r>
    </w:p>
    <w:p>
      <w:pPr>
        <w:spacing w:after="0" w:line="212"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One World Trade Center,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NY 10007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No. 1 to Schedule 13G amends and restates the statements on Schedule 13G originally filed on July 7, 2023.</w:t>
      </w:r>
    </w:p>
    <w:p>
      <w:pPr>
        <w:spacing w:after="0" w:line="221" w:lineRule="exact"/>
        <w:rPr>
          <w:sz w:val="20"/>
          <w:szCs w:val="20"/>
          <w:color w:val="auto"/>
        </w:rPr>
      </w:pPr>
    </w:p>
    <w:p>
      <w:pPr>
        <w:ind w:left="680" w:right="80" w:hanging="335"/>
        <w:spacing w:after="0" w:line="268"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Name of Person(s) Filing: </w:t>
      </w:r>
      <w:r>
        <w:rPr>
          <w:rFonts w:ascii="Times New Roman" w:cs="Times New Roman" w:eastAsia="Times New Roman" w:hAnsi="Times New Roman"/>
          <w:sz w:val="18"/>
          <w:szCs w:val="18"/>
          <w:color w:val="auto"/>
        </w:rPr>
        <w:t>This joint statement on Schedule 13G is being filed by Fairmount Funds Management LLC (“Fairmount”), Peter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Harwin, Tomas Kiselak, Fairmount Healthcare Fund II L.P. (“Fund II”), and Fairmount Healthcare Fund L.P. (“Fund I”). Fairmount, Mr. Harwin, Mr. Kiselak, Fund II, and Fund I are collectively referred to herein as the “Reporting Persons.”</w:t>
      </w:r>
    </w:p>
    <w:p>
      <w:pPr>
        <w:spacing w:after="0" w:line="174" w:lineRule="exact"/>
        <w:rPr>
          <w:rFonts w:ascii="Times New Roman" w:cs="Times New Roman" w:eastAsia="Times New Roman" w:hAnsi="Times New Roman"/>
          <w:sz w:val="18"/>
          <w:szCs w:val="18"/>
          <w:color w:val="auto"/>
        </w:rPr>
      </w:pPr>
    </w:p>
    <w:p>
      <w:pPr>
        <w:ind w:left="6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reported herein includes Common Stock beneficially owned directly by Fund II. Fairmount Healthcare Fund GP LLC is the general partner of Fund I. Fairmount Healthcare Fund II GP LLC is the general partner of Fund II. The controlling persons of Fairmount are Mr. Harwin and Mr. Kiselak. Fairmount serves as investment adviser for Fund I and Fund II (together, the “Funds”) and may be deemed a beneficial owner, for purposes of Section 13(d) of the Act, of any securities of the Issuer held by the Funds. The Funds have delegated to Fairmount the sole power to vote and the sole power to dispose of all securities held in the Funds’ portfolios, including the shares of the Issuer’s Common Stock reported herein. Because the Funds have divested voting and investment power over the reported securities and cannot revoke such delegation on less than 61 days’ notice, the Funds disclaim beneficial ownership of the securities for purposes of Section 13(d) of the Act and therefore disclaim any obligation to report ownership of the reported securities under Section 13(d) of the Act. As managing members of Fairmount, Mr. Harwin and Mr. Kiselak may be deemed beneficial owners, for purposes of Section 13(d) of the Act, of any securities of the Issuer beneficially owned by Fairmount. Fairmount, Mr. Harwin, and Mr. Kiselak disclaim beneficial ownership of the securities reported in this Schedule 13G Statement (the “Statement”) other than for the purpose of determining their obligations under Section 13(d) of the Act, and the filing of the Statement shall not be deemed an admission that any of Fairmount, Mr. Harwin, or Mr. Kiselak is the beneficial owner of such securities for any other purpose.</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680" w:right="280" w:hanging="335"/>
        <w:spacing w:after="0" w:line="28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 of Principal Business Office: </w:t>
      </w:r>
      <w:r>
        <w:rPr>
          <w:rFonts w:ascii="Times New Roman" w:cs="Times New Roman" w:eastAsia="Times New Roman" w:hAnsi="Times New Roman"/>
          <w:sz w:val="18"/>
          <w:szCs w:val="18"/>
          <w:color w:val="auto"/>
        </w:rPr>
        <w:t>The principal business office of the Reporting Persons is c/o Fairmount Funds Management LLC, 200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Barr Harbor Drive, Suite 400, West Conshohocken, PA 19428.</w:t>
      </w:r>
    </w:p>
    <w:p>
      <w:pPr>
        <w:spacing w:after="0" w:line="154" w:lineRule="exact"/>
        <w:rPr>
          <w:rFonts w:ascii="Times New Roman" w:cs="Times New Roman" w:eastAsia="Times New Roman" w:hAnsi="Times New Roman"/>
          <w:sz w:val="18"/>
          <w:szCs w:val="18"/>
          <w:color w:val="auto"/>
        </w:rPr>
      </w:pPr>
    </w:p>
    <w:p>
      <w:pPr>
        <w:ind w:left="680" w:right="140" w:hanging="335"/>
        <w:spacing w:after="0" w:line="28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w:t>
      </w:r>
      <w:r>
        <w:rPr>
          <w:rFonts w:ascii="Times New Roman" w:cs="Times New Roman" w:eastAsia="Times New Roman" w:hAnsi="Times New Roman"/>
          <w:sz w:val="18"/>
          <w:szCs w:val="18"/>
          <w:color w:val="auto"/>
        </w:rPr>
        <w:t>Fairmount is a Delaware limited liability company. Mr. Harwin is a United States citizen. Mr. Kiselak is a Slovak Republic citizen.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 II and Fund I are each a Delaware limited partnership.</w:t>
      </w:r>
    </w:p>
    <w:p>
      <w:pPr>
        <w:spacing w:after="0" w:line="154"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 Par Value $0.0001 (“Common Stock”)</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05464T104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ind w:left="460" w:hanging="452"/>
        <w:spacing w:after="0" w:line="207" w:lineRule="exact"/>
        <w:tabs>
          <w:tab w:leader="none" w:pos="46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11" w:lineRule="exact"/>
        <w:rPr>
          <w:rFonts w:ascii="Times New Roman" w:cs="Times New Roman" w:eastAsia="Times New Roman" w:hAnsi="Times New Roman"/>
          <w:sz w:val="18"/>
          <w:szCs w:val="18"/>
          <w:color w:val="auto"/>
        </w:rPr>
      </w:pPr>
    </w:p>
    <w:p>
      <w:pPr>
        <w:ind w:left="920" w:right="160" w:hanging="912"/>
        <w:spacing w:after="0" w:line="245" w:lineRule="exact"/>
        <w:tabs>
          <w:tab w:leader="none" w:pos="475"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1"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211" w:lineRule="exact"/>
        <w:rPr>
          <w:rFonts w:ascii="Times New Roman" w:cs="Times New Roman" w:eastAsia="Times New Roman" w:hAnsi="Times New Roman"/>
          <w:sz w:val="18"/>
          <w:szCs w:val="18"/>
          <w:color w:val="auto"/>
        </w:rPr>
      </w:pPr>
    </w:p>
    <w:p>
      <w:pPr>
        <w:ind w:left="920" w:hanging="912"/>
        <w:spacing w:after="0" w:line="245" w:lineRule="exact"/>
        <w:tabs>
          <w:tab w:leader="none" w:pos="475"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 If filing as a non-U.S. institution in accordance with §240.13d-1(b)(1)(ii)(J), please specify the type of institution: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Fund II held 2,360,077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response(s) to Item 11 on the attached cover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Number of shares as to which such person has: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sole power to vote or to direct the vote: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the response(s) to Item 5 on the attached cover page(s).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the response(s) to Item 6 on the attached cover page(s).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the response(s) to Item 7 on the attached cover page(s).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the response(s) to Item 8 on the attached cover page(s).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80" w:right="40" w:hanging="674"/>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FAIRMOUNT FUNDS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Harwin</w:t>
            </w:r>
          </w:p>
        </w:tc>
        <w:tc>
          <w:tcPr>
            <w:tcW w:w="3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 Tomas Kiselak</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Harwin</w:t>
            </w:r>
          </w:p>
        </w:tc>
        <w:tc>
          <w:tcPr>
            <w:tcW w:w="30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Tomas Kiselak</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PETER HARWIN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Harwin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TOMAS KISELAK</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FAIRMOUNT HEALTHCARE FUND II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Fairmount Healthcare Fund II GP LLC</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Harwin</w:t>
            </w:r>
          </w:p>
        </w:tc>
        <w:tc>
          <w:tcPr>
            <w:tcW w:w="3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 Tomas Kiselak</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Harwin</w:t>
            </w:r>
          </w:p>
        </w:tc>
        <w:tc>
          <w:tcPr>
            <w:tcW w:w="31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Tomas Kiselak</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3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FAIRMOUNT HEALTHCARE FUND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Fairmount Healthcare Fund GP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Harwin</w:t>
            </w:r>
          </w:p>
        </w:tc>
        <w:tc>
          <w:tcPr>
            <w:tcW w:w="3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 Tomas Kiselak</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Harwin</w:t>
            </w:r>
          </w:p>
        </w:tc>
        <w:tc>
          <w:tcPr>
            <w:tcW w:w="31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Tomas Kiselak</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3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Member</w:t>
            </w:r>
          </w:p>
        </w:tc>
      </w:tr>
      <w:tr>
        <w:trPr>
          <w:trHeight w:val="675"/>
        </w:trPr>
        <w:tc>
          <w:tcPr>
            <w:tcW w:w="6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undersigned and each other person executing this joint filing agreement (this “Agreement”) agree as follows:</w:t>
      </w:r>
    </w:p>
    <w:p>
      <w:pPr>
        <w:spacing w:after="0" w:line="162" w:lineRule="exact"/>
        <w:rPr>
          <w:sz w:val="20"/>
          <w:szCs w:val="20"/>
          <w:color w:val="auto"/>
        </w:rPr>
      </w:pPr>
    </w:p>
    <w:p>
      <w:pPr>
        <w:ind w:right="60" w:firstLine="332"/>
        <w:spacing w:after="0" w:line="282" w:lineRule="auto"/>
        <w:tabs>
          <w:tab w:leader="none" w:pos="5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other person executing this Agreement are individually eligible to use the Schedule 13G to which this Exhibit is attached and such Schedule 13G is filed on behalf of the undersigned and each other person executing this Agreement; and</w:t>
      </w:r>
    </w:p>
    <w:p>
      <w:pPr>
        <w:spacing w:after="0" w:line="161" w:lineRule="exact"/>
        <w:rPr>
          <w:rFonts w:ascii="Times New Roman" w:cs="Times New Roman" w:eastAsia="Times New Roman" w:hAnsi="Times New Roman"/>
          <w:sz w:val="18"/>
          <w:szCs w:val="18"/>
          <w:color w:val="auto"/>
        </w:rPr>
      </w:pPr>
    </w:p>
    <w:p>
      <w:pPr>
        <w:ind w:right="140" w:firstLine="332"/>
        <w:spacing w:after="0" w:line="261" w:lineRule="auto"/>
        <w:tabs>
          <w:tab w:leader="none" w:pos="5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other person executing this Agreement are responsible for the timely filing of such Schedule 13G and any amendments thereto, and for the completeness and accuracy of the information concerning such person contained therein; but none of the undersigned or any other person executing this Agreement is responsible for the completeness or accuracy of the information statement concerning any other persons making the filing, unless such person knows or has reason to believe that such information is inaccurate.</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but all of which, taken together, shall constitute one and the same instrument.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FAIRMOUNT FUNDS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Harwin</w:t>
            </w:r>
          </w:p>
        </w:tc>
        <w:tc>
          <w:tcPr>
            <w:tcW w:w="3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 Tomas Kiselak</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Harwin</w:t>
            </w:r>
          </w:p>
        </w:tc>
        <w:tc>
          <w:tcPr>
            <w:tcW w:w="30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Tomas Kiselak</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PETER HARWIN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Harwin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TOMAS KISELAK</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FAIRMOUNT HEALTHCARE FUND II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Fairmount Healthcare Fund II GP LLC</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Harwin</w:t>
            </w:r>
          </w:p>
        </w:tc>
        <w:tc>
          <w:tcPr>
            <w:tcW w:w="3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 Tomas Kiselak</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Harwin</w:t>
            </w:r>
          </w:p>
        </w:tc>
        <w:tc>
          <w:tcPr>
            <w:tcW w:w="31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Tomas Kiselak</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3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FAIRMOUNT HEALTHCARE FUND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Fairmount Healthcare Fund GP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Harwin</w:t>
            </w:r>
          </w:p>
        </w:tc>
        <w:tc>
          <w:tcPr>
            <w:tcW w:w="3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 Tomas Kiselak</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Harwin</w:t>
            </w:r>
          </w:p>
        </w:tc>
        <w:tc>
          <w:tcPr>
            <w:tcW w:w="31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Tomas Kiselak</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3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Member</w:t>
            </w:r>
          </w:p>
        </w:tc>
      </w:tr>
      <w:tr>
        <w:trPr>
          <w:trHeight w:val="675"/>
        </w:trPr>
        <w:tc>
          <w:tcPr>
            <w:tcW w:w="6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2024-02-14T14:50:01Z</dcterms:created>
  <dcterms:modified xsi:type="dcterms:W3CDTF">2024-02-14T14:50:01Z</dcterms:modified>
</cp:coreProperties>
</file>