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229870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Pursuant to Section 13 or 15(D)</w:t>
      </w:r>
    </w:p>
    <w:p>
      <w:pPr>
        <w:jc w:val="center"/>
        <w:ind w:right="-5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June 2, 2017</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211455</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Axsome Therapeutics, Inc.</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360"/>
          </w:cols>
          <w:pgMar w:left="240" w:top="544" w:right="29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ind w:left="14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90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2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1980"/>
        <w:spacing w:after="0"/>
        <w:rPr>
          <w:sz w:val="20"/>
          <w:szCs w:val="20"/>
          <w:color w:val="auto"/>
        </w:rPr>
      </w:pPr>
      <w:r>
        <w:rPr>
          <w:rFonts w:ascii="Arial" w:cs="Arial" w:eastAsia="Arial" w:hAnsi="Arial"/>
          <w:sz w:val="18"/>
          <w:szCs w:val="18"/>
          <w:b w:val="1"/>
          <w:bCs w:val="1"/>
          <w:color w:val="auto"/>
        </w:rPr>
        <w:t>001-37635</w:t>
      </w:r>
    </w:p>
    <w:p>
      <w:pPr>
        <w:spacing w:after="0" w:line="27" w:lineRule="exact"/>
        <w:rPr>
          <w:sz w:val="24"/>
          <w:szCs w:val="24"/>
          <w:color w:val="auto"/>
        </w:rPr>
      </w:pPr>
    </w:p>
    <w:p>
      <w:pPr>
        <w:jc w:val="center"/>
        <w:ind w:right="1980"/>
        <w:spacing w:after="0"/>
        <w:rPr>
          <w:sz w:val="20"/>
          <w:szCs w:val="20"/>
          <w:color w:val="auto"/>
        </w:rPr>
      </w:pPr>
      <w:r>
        <w:rPr>
          <w:rFonts w:ascii="Arial" w:cs="Arial" w:eastAsia="Arial" w:hAnsi="Arial"/>
          <w:sz w:val="16"/>
          <w:szCs w:val="16"/>
          <w:color w:val="auto"/>
        </w:rPr>
        <w:t>(Commission</w:t>
      </w:r>
    </w:p>
    <w:p>
      <w:pPr>
        <w:spacing w:after="0" w:line="32" w:lineRule="exact"/>
        <w:rPr>
          <w:sz w:val="24"/>
          <w:szCs w:val="24"/>
          <w:color w:val="auto"/>
        </w:rPr>
      </w:pPr>
    </w:p>
    <w:p>
      <w:pPr>
        <w:jc w:val="center"/>
        <w:ind w:right="198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45-4241907</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520" w:space="720"/>
            <w:col w:w="2960" w:space="720"/>
            <w:col w:w="2440"/>
          </w:cols>
          <w:pgMar w:left="240" w:top="544" w:right="299" w:bottom="0" w:gutter="0" w:footer="0" w:header="0"/>
          <w:type w:val="continuous"/>
        </w:sectPr>
      </w:pPr>
    </w:p>
    <w:p>
      <w:pPr>
        <w:spacing w:after="0" w:line="7"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25 Broadway, 9th Floor</w:t>
      </w:r>
    </w:p>
    <w:p>
      <w:pPr>
        <w:spacing w:after="0" w:line="27"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New York, New York</w:t>
      </w:r>
    </w:p>
    <w:p>
      <w:pPr>
        <w:spacing w:after="0" w:line="9" w:lineRule="exact"/>
        <w:rPr>
          <w:sz w:val="24"/>
          <w:szCs w:val="24"/>
          <w:color w:val="auto"/>
        </w:rPr>
      </w:pPr>
    </w:p>
    <w:p>
      <w:pPr>
        <w:jc w:val="center"/>
        <w:ind w:right="18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jc w:val="center"/>
        <w:ind w:right="2340"/>
        <w:spacing w:after="0"/>
        <w:rPr>
          <w:sz w:val="20"/>
          <w:szCs w:val="20"/>
          <w:color w:val="auto"/>
        </w:rPr>
      </w:pPr>
      <w:r>
        <w:rPr>
          <w:rFonts w:ascii="Arial" w:cs="Arial" w:eastAsia="Arial" w:hAnsi="Arial"/>
          <w:sz w:val="18"/>
          <w:szCs w:val="18"/>
          <w:b w:val="1"/>
          <w:bCs w:val="1"/>
          <w:color w:val="auto"/>
        </w:rPr>
        <w:t>10004</w:t>
      </w:r>
    </w:p>
    <w:p>
      <w:pPr>
        <w:spacing w:after="0" w:line="27" w:lineRule="exact"/>
        <w:rPr>
          <w:sz w:val="24"/>
          <w:szCs w:val="24"/>
          <w:color w:val="auto"/>
        </w:rPr>
      </w:pPr>
    </w:p>
    <w:p>
      <w:pPr>
        <w:jc w:val="center"/>
        <w:ind w:right="234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500" w:space="720"/>
            <w:col w:w="3140"/>
          </w:cols>
          <w:pgMar w:left="240" w:top="544" w:right="299" w:bottom="0" w:gutter="0" w:footer="0" w:header="0"/>
          <w:type w:val="continuous"/>
        </w:sectPr>
      </w:pPr>
    </w:p>
    <w:p>
      <w:pPr>
        <w:spacing w:after="0" w:line="3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(212) 332-3241</w:t>
      </w:r>
    </w:p>
    <w:p>
      <w:pPr>
        <w:spacing w:after="0" w:line="200" w:lineRule="exact"/>
        <w:rPr>
          <w:sz w:val="24"/>
          <w:szCs w:val="24"/>
          <w:color w:val="auto"/>
        </w:rPr>
      </w:pPr>
    </w:p>
    <w:p>
      <w:pPr>
        <w:spacing w:after="0" w:line="245"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220980</wp:posOffset>
            </wp:positionV>
            <wp:extent cx="18268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ind w:right="50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70" w:lineRule="exact"/>
        <w:rPr>
          <w:sz w:val="24"/>
          <w:szCs w:val="24"/>
          <w:color w:val="auto"/>
        </w:rPr>
      </w:pPr>
    </w:p>
    <w:p>
      <w:pPr>
        <w:ind w:left="640" w:hanging="632"/>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640" w:hanging="632"/>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640" w:hanging="632"/>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sz w:val="24"/>
          <w:szCs w:val="24"/>
          <w:color w:val="auto"/>
        </w:rPr>
      </w:pPr>
    </w:p>
    <w:p>
      <w:pPr>
        <w:ind w:left="720" w:hanging="712"/>
        <w:spacing w:after="0"/>
        <w:tabs>
          <w:tab w:leader="none" w:pos="7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x</w:t>
      </w:r>
    </w:p>
    <w:p>
      <w:pPr>
        <w:spacing w:after="0" w:line="225"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6" w:lineRule="exact"/>
        <w:rPr>
          <w:sz w:val="24"/>
          <w:szCs w:val="24"/>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5.07.</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216" w:lineRule="exact"/>
        <w:rPr>
          <w:sz w:val="24"/>
          <w:szCs w:val="24"/>
          <w:color w:val="auto"/>
        </w:rPr>
      </w:pPr>
    </w:p>
    <w:p>
      <w:pPr>
        <w:ind w:right="680" w:firstLine="441"/>
        <w:spacing w:after="0" w:line="277" w:lineRule="auto"/>
        <w:rPr>
          <w:sz w:val="20"/>
          <w:szCs w:val="20"/>
          <w:color w:val="auto"/>
        </w:rPr>
      </w:pPr>
      <w:r>
        <w:rPr>
          <w:rFonts w:ascii="Arial" w:cs="Arial" w:eastAsia="Arial" w:hAnsi="Arial"/>
          <w:sz w:val="18"/>
          <w:szCs w:val="18"/>
          <w:color w:val="auto"/>
        </w:rPr>
        <w:t>At the 2017 annual meeting of stockholders (the “Annual Meeting”) of Axsome Therapeutics, Inc. (the “Company”) held on June 2, 2017, the following proposals were submitted to the stockholders of the Company:</w:t>
      </w:r>
    </w:p>
    <w:p>
      <w:pPr>
        <w:spacing w:after="0" w:line="157" w:lineRule="exact"/>
        <w:rPr>
          <w:sz w:val="24"/>
          <w:szCs w:val="24"/>
          <w:color w:val="auto"/>
        </w:rPr>
      </w:pPr>
    </w:p>
    <w:p>
      <w:pPr>
        <w:ind w:left="960" w:right="240" w:hanging="945"/>
        <w:spacing w:after="0" w:line="277" w:lineRule="auto"/>
        <w:rPr>
          <w:sz w:val="20"/>
          <w:szCs w:val="20"/>
          <w:color w:val="auto"/>
        </w:rPr>
      </w:pPr>
      <w:r>
        <w:rPr>
          <w:rFonts w:ascii="Arial" w:cs="Arial" w:eastAsia="Arial" w:hAnsi="Arial"/>
          <w:sz w:val="18"/>
          <w:szCs w:val="18"/>
          <w:color w:val="auto"/>
        </w:rPr>
        <w:t>Proposal 1: The election of one director to serve as a Class II director until the Company’s 2020 annual meeting of stockholders and until his successor is duly elected and qualified.</w:t>
      </w:r>
    </w:p>
    <w:p>
      <w:pPr>
        <w:sectPr>
          <w:pgSz w:w="11900" w:h="16838" w:orient="portrait"/>
          <w:cols w:equalWidth="0" w:num="1">
            <w:col w:w="11360"/>
          </w:cols>
          <w:pgMar w:left="240" w:top="544" w:right="299" w:bottom="0" w:gutter="0" w:footer="0" w:header="0"/>
          <w:type w:val="continuous"/>
        </w:sectPr>
      </w:pPr>
    </w:p>
    <w:bookmarkStart w:id="1" w:name="page2"/>
    <w:bookmarkEnd w:id="1"/>
    <w:p>
      <w:pPr>
        <w:ind w:left="960" w:right="320" w:hanging="945"/>
        <w:spacing w:after="0" w:line="277" w:lineRule="auto"/>
        <w:rPr>
          <w:sz w:val="20"/>
          <w:szCs w:val="20"/>
          <w:color w:val="auto"/>
        </w:rPr>
      </w:pPr>
      <w:r>
        <w:rPr>
          <w:rFonts w:ascii="Arial" w:cs="Arial" w:eastAsia="Arial" w:hAnsi="Arial"/>
          <w:sz w:val="18"/>
          <w:szCs w:val="18"/>
          <w:color w:val="auto"/>
        </w:rPr>
        <w:t>Proposal 2: The ratification of the appointment of Ernst &amp; Young LLP as the Company’s independent registered public accounting firm for the fiscal year ending December 31, 2017.</w:t>
      </w:r>
    </w:p>
    <w:p>
      <w:pPr>
        <w:spacing w:after="0" w:line="157"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For more information about the foregoing proposals, see the Company’s definitive proxy statement on Schedule 14A filed with the United States Securities and Exchange Commission on May 2, 2017 (the “Proxy Statement”). Of the 23,593,667 shares of the Company’s common stock entitled to vote at the Annual Meeting, 20,139,864 shares, or approximately 85%, were represented at the meeting in person or by proxy, constituting a quorum. The number of votes cast for, against or withheld, as well as abstentions and broker non-votes, if applicable, in respect of each such proposal is set forth below:</w:t>
      </w:r>
    </w:p>
    <w:p>
      <w:pPr>
        <w:spacing w:after="0" w:line="141" w:lineRule="exact"/>
        <w:rPr>
          <w:sz w:val="20"/>
          <w:szCs w:val="20"/>
          <w:color w:val="auto"/>
        </w:rPr>
      </w:pPr>
    </w:p>
    <w:p>
      <w:pPr>
        <w:spacing w:after="0"/>
        <w:tabs>
          <w:tab w:leader="none" w:pos="1520" w:val="left"/>
        </w:tabs>
        <w:rPr>
          <w:sz w:val="20"/>
          <w:szCs w:val="20"/>
          <w:color w:val="auto"/>
        </w:rPr>
      </w:pPr>
      <w:r>
        <w:rPr>
          <w:rFonts w:ascii="Arial" w:cs="Arial" w:eastAsia="Arial" w:hAnsi="Arial"/>
          <w:sz w:val="18"/>
          <w:szCs w:val="18"/>
          <w:color w:val="auto"/>
        </w:rPr>
        <w:t>Proposal 1:</w:t>
      </w:r>
      <w:r>
        <w:rPr>
          <w:sz w:val="20"/>
          <w:szCs w:val="20"/>
          <w:color w:val="auto"/>
        </w:rPr>
        <w:tab/>
      </w:r>
      <w:r>
        <w:rPr>
          <w:rFonts w:ascii="Arial" w:cs="Arial" w:eastAsia="Arial" w:hAnsi="Arial"/>
          <w:sz w:val="16"/>
          <w:szCs w:val="16"/>
          <w:color w:val="auto"/>
        </w:rPr>
        <w:t>Election of Class II Director.</w:t>
      </w:r>
    </w:p>
    <w:p>
      <w:pPr>
        <w:spacing w:after="0" w:line="212"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The Company’s stockholders elected the following director to serve as a Class II director until the 2020 annual meeting of stockholders and until his successor is duly elected and qualified. The votes regarding the election of the director were as follows:</w:t>
      </w:r>
    </w:p>
    <w:p>
      <w:pPr>
        <w:spacing w:after="0" w:line="149"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3360" w:type="dxa"/>
            <w:vAlign w:val="bottom"/>
            <w:gridSpan w:val="2"/>
          </w:tcPr>
          <w:p>
            <w:pPr>
              <w:spacing w:after="0"/>
              <w:rPr>
                <w:sz w:val="20"/>
                <w:szCs w:val="20"/>
                <w:color w:val="auto"/>
              </w:rPr>
            </w:pPr>
            <w:r>
              <w:rPr>
                <w:rFonts w:ascii="Arial" w:cs="Arial" w:eastAsia="Arial" w:hAnsi="Arial"/>
                <w:sz w:val="14"/>
                <w:szCs w:val="14"/>
                <w:b w:val="1"/>
                <w:bCs w:val="1"/>
                <w:color w:val="auto"/>
              </w:rPr>
              <w:t>Director</w:t>
            </w:r>
          </w:p>
        </w:tc>
        <w:tc>
          <w:tcPr>
            <w:tcW w:w="2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Votes For</w:t>
            </w:r>
          </w:p>
        </w:tc>
        <w:tc>
          <w:tcPr>
            <w:tcW w:w="2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Votes Withheld</w:t>
            </w:r>
          </w:p>
        </w:tc>
        <w:tc>
          <w:tcPr>
            <w:tcW w:w="2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Broker Non-Votes</w:t>
            </w:r>
          </w:p>
        </w:tc>
      </w:tr>
      <w:tr>
        <w:trPr>
          <w:trHeight w:val="210"/>
        </w:trPr>
        <w:tc>
          <w:tcPr>
            <w:tcW w:w="30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Mark Saad</w:t>
            </w:r>
          </w:p>
        </w:tc>
        <w:tc>
          <w:tcPr>
            <w:tcW w:w="28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jc w:val="right"/>
              <w:ind w:right="479"/>
              <w:spacing w:after="0"/>
              <w:rPr>
                <w:sz w:val="20"/>
                <w:szCs w:val="20"/>
                <w:color w:val="auto"/>
              </w:rPr>
            </w:pPr>
            <w:r>
              <w:rPr>
                <w:rFonts w:ascii="Arial" w:cs="Arial" w:eastAsia="Arial" w:hAnsi="Arial"/>
                <w:sz w:val="18"/>
                <w:szCs w:val="18"/>
                <w:color w:val="auto"/>
              </w:rPr>
              <w:t>15,164,072</w:t>
            </w:r>
          </w:p>
        </w:tc>
        <w:tc>
          <w:tcPr>
            <w:tcW w:w="260" w:type="dxa"/>
            <w:vAlign w:val="bottom"/>
            <w:tcBorders>
              <w:top w:val="single" w:sz="8" w:color="CCEEFF"/>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jc w:val="right"/>
              <w:ind w:right="519"/>
              <w:spacing w:after="0"/>
              <w:rPr>
                <w:sz w:val="20"/>
                <w:szCs w:val="20"/>
                <w:color w:val="auto"/>
              </w:rPr>
            </w:pPr>
            <w:r>
              <w:rPr>
                <w:rFonts w:ascii="Arial" w:cs="Arial" w:eastAsia="Arial" w:hAnsi="Arial"/>
                <w:sz w:val="18"/>
                <w:szCs w:val="18"/>
                <w:color w:val="auto"/>
              </w:rPr>
              <w:t>1,179,290</w:t>
            </w:r>
          </w:p>
        </w:tc>
        <w:tc>
          <w:tcPr>
            <w:tcW w:w="280" w:type="dxa"/>
            <w:vAlign w:val="bottom"/>
            <w:tcBorders>
              <w:top w:val="single" w:sz="8" w:color="CCEEFF"/>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jc w:val="right"/>
              <w:ind w:right="539"/>
              <w:spacing w:after="0"/>
              <w:rPr>
                <w:sz w:val="20"/>
                <w:szCs w:val="20"/>
                <w:color w:val="auto"/>
              </w:rPr>
            </w:pPr>
            <w:r>
              <w:rPr>
                <w:rFonts w:ascii="Arial" w:cs="Arial" w:eastAsia="Arial" w:hAnsi="Arial"/>
                <w:sz w:val="18"/>
                <w:szCs w:val="18"/>
                <w:color w:val="auto"/>
              </w:rPr>
              <w:t>3,796,502</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88" w:lineRule="exact"/>
        <w:rPr>
          <w:sz w:val="20"/>
          <w:szCs w:val="20"/>
          <w:color w:val="auto"/>
        </w:rPr>
      </w:pPr>
    </w:p>
    <w:p>
      <w:pPr>
        <w:spacing w:after="0"/>
        <w:tabs>
          <w:tab w:leader="none" w:pos="1680" w:val="left"/>
        </w:tabs>
        <w:rPr>
          <w:sz w:val="20"/>
          <w:szCs w:val="20"/>
          <w:color w:val="auto"/>
        </w:rPr>
      </w:pPr>
      <w:r>
        <w:rPr>
          <w:rFonts w:ascii="Arial" w:cs="Arial" w:eastAsia="Arial" w:hAnsi="Arial"/>
          <w:sz w:val="18"/>
          <w:szCs w:val="18"/>
          <w:color w:val="auto"/>
        </w:rPr>
        <w:t>Proposal 2:</w:t>
      </w:r>
      <w:r>
        <w:rPr>
          <w:sz w:val="20"/>
          <w:szCs w:val="20"/>
          <w:color w:val="auto"/>
        </w:rPr>
        <w:tab/>
      </w:r>
      <w:r>
        <w:rPr>
          <w:rFonts w:ascii="Arial" w:cs="Arial" w:eastAsia="Arial" w:hAnsi="Arial"/>
          <w:sz w:val="16"/>
          <w:szCs w:val="16"/>
          <w:color w:val="auto"/>
        </w:rPr>
        <w:t>Ratification of Appointment of Ernst &amp; Young LLP.</w:t>
      </w:r>
    </w:p>
    <w:p>
      <w:pPr>
        <w:spacing w:after="0" w:line="21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Company’s stockholders ratified the appointment of Ernst &amp; Young LLP as the Company’s independent registered public accounting firm for the fiscal year ending December 31, 2017. The votes regarding this proposal were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0" w:type="dxa"/>
            <w:vAlign w:val="bottom"/>
          </w:tcPr>
          <w:p>
            <w:pPr>
              <w:spacing w:after="0"/>
              <w:rPr>
                <w:sz w:val="14"/>
                <w:szCs w:val="14"/>
                <w:color w:val="auto"/>
              </w:rPr>
            </w:pPr>
          </w:p>
        </w:tc>
        <w:tc>
          <w:tcPr>
            <w:tcW w:w="3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Votes For</w:t>
            </w:r>
          </w:p>
        </w:tc>
        <w:tc>
          <w:tcPr>
            <w:tcW w:w="1520" w:type="dxa"/>
            <w:vAlign w:val="bottom"/>
          </w:tcPr>
          <w:p>
            <w:pPr>
              <w:jc w:val="center"/>
              <w:ind w:left="319"/>
              <w:spacing w:after="0"/>
              <w:rPr>
                <w:sz w:val="20"/>
                <w:szCs w:val="20"/>
                <w:color w:val="auto"/>
              </w:rPr>
            </w:pPr>
            <w:r>
              <w:rPr>
                <w:rFonts w:ascii="Arial" w:cs="Arial" w:eastAsia="Arial" w:hAnsi="Arial"/>
                <w:sz w:val="14"/>
                <w:szCs w:val="14"/>
                <w:b w:val="1"/>
                <w:bCs w:val="1"/>
                <w:color w:val="auto"/>
                <w:w w:val="89"/>
              </w:rPr>
              <w:t>Votes Against</w:t>
            </w: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Votes Abstaining</w:t>
            </w:r>
          </w:p>
        </w:tc>
        <w:tc>
          <w:tcPr>
            <w:tcW w:w="2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Broker Non-Votes</w:t>
            </w:r>
          </w:p>
        </w:tc>
        <w:tc>
          <w:tcPr>
            <w:tcW w:w="1000" w:type="dxa"/>
            <w:vAlign w:val="bottom"/>
          </w:tcPr>
          <w:p>
            <w:pPr>
              <w:spacing w:after="0"/>
              <w:rPr>
                <w:sz w:val="14"/>
                <w:szCs w:val="14"/>
                <w:color w:val="auto"/>
              </w:rPr>
            </w:pPr>
          </w:p>
        </w:tc>
      </w:tr>
      <w:tr>
        <w:trPr>
          <w:trHeight w:val="210"/>
        </w:trPr>
        <w:tc>
          <w:tcPr>
            <w:tcW w:w="660" w:type="dxa"/>
            <w:vAlign w:val="bottom"/>
          </w:tcPr>
          <w:p>
            <w:pPr>
              <w:spacing w:after="0"/>
              <w:rPr>
                <w:sz w:val="18"/>
                <w:szCs w:val="18"/>
                <w:color w:val="auto"/>
              </w:rPr>
            </w:pPr>
          </w:p>
        </w:tc>
        <w:tc>
          <w:tcPr>
            <w:tcW w:w="3080" w:type="dxa"/>
            <w:vAlign w:val="bottom"/>
            <w:tcBorders>
              <w:top w:val="single" w:sz="8" w:color="auto"/>
            </w:tcBorders>
            <w:shd w:val="clear" w:color="auto" w:fill="CCEEFF"/>
          </w:tcPr>
          <w:p>
            <w:pPr>
              <w:jc w:val="right"/>
              <w:ind w:right="1059"/>
              <w:spacing w:after="0"/>
              <w:rPr>
                <w:sz w:val="20"/>
                <w:szCs w:val="20"/>
                <w:color w:val="auto"/>
              </w:rPr>
            </w:pPr>
            <w:r>
              <w:rPr>
                <w:rFonts w:ascii="Arial" w:cs="Arial" w:eastAsia="Arial" w:hAnsi="Arial"/>
                <w:sz w:val="18"/>
                <w:szCs w:val="18"/>
                <w:color w:val="auto"/>
              </w:rPr>
              <w:t>20,136,517</w:t>
            </w:r>
          </w:p>
        </w:tc>
        <w:tc>
          <w:tcPr>
            <w:tcW w:w="28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ind w:right="339"/>
              <w:spacing w:after="0"/>
              <w:rPr>
                <w:sz w:val="20"/>
                <w:szCs w:val="20"/>
                <w:color w:val="auto"/>
              </w:rPr>
            </w:pPr>
            <w:r>
              <w:rPr>
                <w:rFonts w:ascii="Arial" w:cs="Arial" w:eastAsia="Arial" w:hAnsi="Arial"/>
                <w:sz w:val="18"/>
                <w:szCs w:val="18"/>
                <w:color w:val="auto"/>
              </w:rPr>
              <w:t>633</w:t>
            </w:r>
          </w:p>
        </w:tc>
        <w:tc>
          <w:tcPr>
            <w:tcW w:w="4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jc w:val="right"/>
              <w:ind w:right="679"/>
              <w:spacing w:after="0"/>
              <w:rPr>
                <w:sz w:val="20"/>
                <w:szCs w:val="20"/>
                <w:color w:val="auto"/>
              </w:rPr>
            </w:pPr>
            <w:r>
              <w:rPr>
                <w:rFonts w:ascii="Arial" w:cs="Arial" w:eastAsia="Arial" w:hAnsi="Arial"/>
                <w:sz w:val="18"/>
                <w:szCs w:val="18"/>
                <w:color w:val="auto"/>
              </w:rPr>
              <w:t>2,714</w:t>
            </w:r>
          </w:p>
        </w:tc>
        <w:tc>
          <w:tcPr>
            <w:tcW w:w="280" w:type="dxa"/>
            <w:vAlign w:val="bottom"/>
            <w:tcBorders>
              <w:top w:val="single" w:sz="8" w:color="CCEEFF"/>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jc w:val="right"/>
              <w:ind w:right="839"/>
              <w:spacing w:after="0"/>
              <w:rPr>
                <w:sz w:val="20"/>
                <w:szCs w:val="20"/>
                <w:color w:val="auto"/>
              </w:rPr>
            </w:pPr>
            <w:r>
              <w:rPr>
                <w:rFonts w:ascii="Arial" w:cs="Arial" w:eastAsia="Arial" w:hAnsi="Arial"/>
                <w:sz w:val="18"/>
                <w:szCs w:val="18"/>
                <w:color w:val="auto"/>
              </w:rPr>
              <w:t>0</w:t>
            </w:r>
          </w:p>
        </w:tc>
        <w:tc>
          <w:tcPr>
            <w:tcW w:w="100" w:type="dxa"/>
            <w:vAlign w:val="bottom"/>
            <w:tcBorders>
              <w:top w:val="single" w:sz="8" w:color="CCEEFF"/>
            </w:tcBorders>
            <w:shd w:val="clear" w:color="auto" w:fill="CCEEFF"/>
          </w:tcPr>
          <w:p>
            <w:pPr>
              <w:spacing w:after="0"/>
              <w:rPr>
                <w:sz w:val="18"/>
                <w:szCs w:val="18"/>
                <w:color w:val="auto"/>
              </w:rPr>
            </w:pPr>
          </w:p>
        </w:tc>
        <w:tc>
          <w:tcPr>
            <w:tcW w:w="1000" w:type="dxa"/>
            <w:vAlign w:val="bottom"/>
          </w:tcPr>
          <w:p>
            <w:pPr>
              <w:spacing w:after="0"/>
              <w:rPr>
                <w:sz w:val="18"/>
                <w:szCs w:val="18"/>
                <w:color w:val="auto"/>
              </w:rPr>
            </w:pPr>
          </w:p>
        </w:tc>
      </w:tr>
      <w:tr>
        <w:trPr>
          <w:trHeight w:val="419"/>
        </w:trPr>
        <w:tc>
          <w:tcPr>
            <w:tcW w:w="66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32"/>
        </w:trPr>
        <w:tc>
          <w:tcPr>
            <w:tcW w:w="660" w:type="dxa"/>
            <w:vAlign w:val="bottom"/>
            <w:tcBorders>
              <w:bottom w:val="single" w:sz="8" w:color="808080"/>
            </w:tcBorders>
          </w:tcPr>
          <w:p>
            <w:pPr>
              <w:spacing w:after="0"/>
              <w:rPr>
                <w:sz w:val="11"/>
                <w:szCs w:val="11"/>
                <w:color w:val="auto"/>
              </w:rPr>
            </w:pPr>
          </w:p>
        </w:tc>
        <w:tc>
          <w:tcPr>
            <w:tcW w:w="308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520" w:type="dxa"/>
            <w:vAlign w:val="bottom"/>
            <w:tcBorders>
              <w:bottom w:val="single" w:sz="8" w:color="808080"/>
            </w:tcBorders>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194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9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00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60"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383" w:lineRule="exact"/>
        <w:rPr>
          <w:sz w:val="20"/>
          <w:szCs w:val="20"/>
          <w:color w:val="auto"/>
        </w:rPr>
      </w:pPr>
    </w:p>
    <w:p>
      <w:pPr>
        <w:ind w:left="5820"/>
        <w:spacing w:after="0"/>
        <w:rPr>
          <w:sz w:val="20"/>
          <w:szCs w:val="20"/>
          <w:color w:val="auto"/>
        </w:rPr>
      </w:pPr>
      <w:r>
        <w:rPr>
          <w:rFonts w:ascii="Arial" w:cs="Arial" w:eastAsia="Arial" w:hAnsi="Arial"/>
          <w:sz w:val="18"/>
          <w:szCs w:val="18"/>
          <w:b w:val="1"/>
          <w:bCs w:val="1"/>
          <w:color w:val="auto"/>
        </w:rPr>
        <w:t>AXSOME THERAPEUTICS, INC.</w:t>
      </w:r>
    </w:p>
    <w:p>
      <w:pPr>
        <w:spacing w:after="0" w:line="200" w:lineRule="exact"/>
        <w:rPr>
          <w:sz w:val="20"/>
          <w:szCs w:val="20"/>
          <w:color w:val="auto"/>
        </w:rPr>
      </w:pPr>
    </w:p>
    <w:p>
      <w:pPr>
        <w:spacing w:after="0" w:line="245" w:lineRule="exact"/>
        <w:rPr>
          <w:sz w:val="20"/>
          <w:szCs w:val="20"/>
          <w:color w:val="auto"/>
        </w:rPr>
      </w:pPr>
    </w:p>
    <w:p>
      <w:pPr>
        <w:spacing w:after="0"/>
        <w:tabs>
          <w:tab w:leader="none" w:pos="5800" w:val="left"/>
          <w:tab w:leader="none" w:pos="6260" w:val="left"/>
        </w:tabs>
        <w:rPr>
          <w:sz w:val="20"/>
          <w:szCs w:val="20"/>
          <w:color w:val="auto"/>
        </w:rPr>
      </w:pPr>
      <w:r>
        <w:rPr>
          <w:rFonts w:ascii="Arial" w:cs="Arial" w:eastAsia="Arial" w:hAnsi="Arial"/>
          <w:sz w:val="18"/>
          <w:szCs w:val="18"/>
          <w:color w:val="auto"/>
        </w:rPr>
        <w:t>Date: June 2,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Herriot Tabuteau, M.D.</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Herriot Tabuteau,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3983990</wp:posOffset>
            </wp:positionH>
            <wp:positionV relativeFrom="paragraph">
              <wp:posOffset>-130810</wp:posOffset>
            </wp:positionV>
            <wp:extent cx="326707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60"/>
      </w:cols>
      <w:pgMar w:left="240" w:top="125"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2019-12-07T20:46:40Z</dcterms:created>
  <dcterms:modified xsi:type="dcterms:W3CDTF">2019-12-07T20:46:40Z</dcterms:modified>
</cp:coreProperties>
</file>