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333-235372</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December 5, 2019)</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178435</wp:posOffset>
            </wp:positionV>
            <wp:extent cx="1859915" cy="1071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991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Axsome Therapeutics, Inc.</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20"/>
        <w:spacing w:after="0" w:line="257" w:lineRule="auto"/>
        <w:rPr>
          <w:sz w:val="20"/>
          <w:szCs w:val="20"/>
          <w:color w:val="auto"/>
        </w:rPr>
      </w:pPr>
      <w:r>
        <w:rPr>
          <w:rFonts w:ascii="Arial" w:cs="Arial" w:eastAsia="Arial" w:hAnsi="Arial"/>
          <w:sz w:val="18"/>
          <w:szCs w:val="18"/>
          <w:color w:val="auto"/>
        </w:rPr>
        <w:t>We have previously entered into a sales agreement, or the Sales Agreement, with SVB Securities LLC, or SVB Securities, dated March 1, 2022, pursuant to which we may offer and sell shares of our common stock, par value $0.0001 per share, from time to time through SVB Securities, acting as our agent. In accordance with the terms of the Sales Agreement, this prospectus supplement and the accompanying prospectus, we are hereby registering additional shares of our common stock having an aggregate offering price of up to $250 million, which we my offer and sell from time to time through SVB Securities as described herein.</w:t>
      </w:r>
    </w:p>
    <w:p>
      <w:pPr>
        <w:spacing w:after="0" w:line="188"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“AXSM.” On August 18, 2022, the last reported sale price of our common stock was $42.43 per share.</w:t>
      </w:r>
    </w:p>
    <w:p>
      <w:pPr>
        <w:spacing w:after="0" w:line="170" w:lineRule="exact"/>
        <w:rPr>
          <w:sz w:val="24"/>
          <w:szCs w:val="24"/>
          <w:color w:val="auto"/>
        </w:rPr>
      </w:pPr>
    </w:p>
    <w:p>
      <w:pPr>
        <w:ind w:left="120" w:right="400"/>
        <w:spacing w:after="0" w:line="257"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SVB Securities is not required to sell any specific number or dollar amount of shares of our common stock, but will act as our sales agent using commercially reasonable efforts consistent with its normal trading and sales practices, on mutually agreed terms between SVB Securities and us. There is no arrangement for funds to be received in any escrow, trust or similar arrangement.</w:t>
      </w:r>
    </w:p>
    <w:p>
      <w:pPr>
        <w:spacing w:after="0" w:line="188" w:lineRule="exact"/>
        <w:rPr>
          <w:sz w:val="24"/>
          <w:szCs w:val="24"/>
          <w:color w:val="auto"/>
        </w:rPr>
      </w:pPr>
    </w:p>
    <w:p>
      <w:pPr>
        <w:ind w:left="120"/>
        <w:spacing w:after="0" w:line="273" w:lineRule="auto"/>
        <w:rPr>
          <w:sz w:val="20"/>
          <w:szCs w:val="20"/>
          <w:color w:val="auto"/>
        </w:rPr>
      </w:pPr>
      <w:r>
        <w:rPr>
          <w:rFonts w:ascii="Arial" w:cs="Arial" w:eastAsia="Arial" w:hAnsi="Arial"/>
          <w:sz w:val="17"/>
          <w:szCs w:val="17"/>
          <w:color w:val="auto"/>
        </w:rPr>
        <w:t>The compensation payable to SVB Securities for sales of common stock sold pursuant to the Sales Agreement will be an amount equal to up to 3.0% of the gross proceeds of any shares of common stock sold under the Sales Agreement. See “Plan of Distribution” beginning on page S-11 for additional information regarding the compensation to be paid to SVB Securities. In connection with the sale of the common stock on our behalf, SVB Securities will be deemed to be an “underwriter” within the meaning of the Securities Act and the compensation paid to SVB Securities will be deemed to be underwriting commissions or discounts. We have also agreed in the Sales Agreement to provide indemnification and contribution to SVB Securities with respect to certain liabilities, including liabilities under the Securities Act or the Securities Exchange Act of 1934,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120" w:right="120"/>
        <w:spacing w:after="0" w:line="239" w:lineRule="auto"/>
        <w:rPr>
          <w:sz w:val="20"/>
          <w:szCs w:val="20"/>
          <w:color w:val="auto"/>
        </w:rPr>
      </w:pPr>
      <w:r>
        <w:rPr>
          <w:rFonts w:ascii="Arial" w:cs="Arial" w:eastAsia="Arial" w:hAnsi="Arial"/>
          <w:sz w:val="22"/>
          <w:szCs w:val="22"/>
          <w:b w:val="1"/>
          <w:bCs w:val="1"/>
          <w:color w:val="auto"/>
        </w:rPr>
        <w:t>Investing in our common stock involves a high degree of risk.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S-4 of this prospectus supplement and the risk factors in the documents incorporated by reference in this prospectus supplement and the accompanying prospectus, including in our Annual Report on Form 10-K and our Quarterly Reports on Form 10-Q.</w:t>
      </w:r>
    </w:p>
    <w:p>
      <w:pPr>
        <w:spacing w:after="0" w:line="189" w:lineRule="exact"/>
        <w:rPr>
          <w:sz w:val="24"/>
          <w:szCs w:val="24"/>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SVB Securities</w:t>
      </w:r>
    </w:p>
    <w:p>
      <w:pPr>
        <w:sectPr>
          <w:pgSz w:w="11900" w:h="16838" w:orient="portrait"/>
          <w:cols w:equalWidth="0" w:num="1">
            <w:col w:w="11140"/>
          </w:cols>
          <w:pgMar w:left="320" w:top="230" w:right="439" w:bottom="1440" w:gutter="0" w:footer="0" w:header="0"/>
        </w:sectPr>
      </w:pP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August 19, 2022</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06"/>
        </w:trPr>
        <w:tc>
          <w:tcPr>
            <w:tcW w:w="434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6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4340" w:type="dxa"/>
            <w:vAlign w:val="bottom"/>
            <w:gridSpan w:val="20"/>
            <w:vMerge w:val="continue"/>
          </w:tcPr>
          <w:p>
            <w:pPr>
              <w:spacing w:after="0"/>
              <w:rPr>
                <w:sz w:val="16"/>
                <w:szCs w:val="16"/>
                <w:color w:val="auto"/>
              </w:rPr>
            </w:pPr>
          </w:p>
        </w:tc>
        <w:tc>
          <w:tcPr>
            <w:tcW w:w="6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0000EE"/>
            </w:tcBorders>
            <w:gridSpan w:val="16"/>
          </w:tcPr>
          <w:p>
            <w:pPr>
              <w:spacing w:after="0" w:line="190" w:lineRule="exact"/>
              <w:rPr>
                <w:sz w:val="20"/>
                <w:szCs w:val="20"/>
                <w:color w:val="auto"/>
              </w:rPr>
            </w:pPr>
            <w:r>
              <w:rPr>
                <w:rFonts w:ascii="Arial" w:cs="Arial" w:eastAsia="Arial" w:hAnsi="Arial"/>
                <w:sz w:val="18"/>
                <w:szCs w:val="18"/>
                <w:color w:val="0000EE"/>
                <w:w w:val="89"/>
              </w:rPr>
              <w:t>About this Prospectus Supplement</w:t>
            </w:r>
          </w:p>
        </w:tc>
        <w:tc>
          <w:tcPr>
            <w:tcW w:w="1860" w:type="dxa"/>
            <w:vAlign w:val="bottom"/>
            <w:gridSpan w:val="4"/>
          </w:tcPr>
          <w:p>
            <w:pPr>
              <w:spacing w:after="0"/>
              <w:rPr>
                <w:sz w:val="16"/>
                <w:szCs w:val="16"/>
                <w:color w:val="auto"/>
              </w:rPr>
            </w:pPr>
          </w:p>
        </w:tc>
        <w:tc>
          <w:tcPr>
            <w:tcW w:w="662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w w:val="95"/>
              </w:rPr>
              <w:t>Cautionary Note Regarding Forward-Looking Statements</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20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Risk Factors</w:t>
            </w:r>
          </w:p>
        </w:tc>
        <w:tc>
          <w:tcPr>
            <w:tcW w:w="1920" w:type="dxa"/>
            <w:vAlign w:val="bottom"/>
            <w:gridSpan w:val="5"/>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Use of Proceeds</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Dilution</w:t>
            </w:r>
          </w:p>
        </w:tc>
        <w:tc>
          <w:tcPr>
            <w:tcW w:w="560" w:type="dxa"/>
            <w:vAlign w:val="bottom"/>
            <w:tcBorders>
              <w:top w:val="single" w:sz="8" w:color="0000EE"/>
            </w:tcBorders>
            <w:gridSpan w:val="3"/>
          </w:tcPr>
          <w:p>
            <w:pPr>
              <w:spacing w:after="0"/>
              <w:rPr>
                <w:sz w:val="17"/>
                <w:szCs w:val="17"/>
                <w:color w:val="auto"/>
              </w:rPr>
            </w:pPr>
          </w:p>
        </w:tc>
        <w:tc>
          <w:tcPr>
            <w:tcW w:w="3180" w:type="dxa"/>
            <w:vAlign w:val="bottom"/>
            <w:gridSpan w:val="15"/>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Plan of Distribution</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2920" w:type="dxa"/>
            <w:vAlign w:val="bottom"/>
            <w:gridSpan w:val="1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340" w:type="dxa"/>
            <w:vAlign w:val="bottom"/>
            <w:gridSpan w:val="1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Information Incorporated by Reference</w:t>
            </w:r>
          </w:p>
        </w:tc>
        <w:tc>
          <w:tcPr>
            <w:tcW w:w="40" w:type="dxa"/>
            <w:vAlign w:val="bottom"/>
            <w:tcBorders>
              <w:top w:val="single" w:sz="8" w:color="0000EE"/>
            </w:tcBorders>
          </w:tcPr>
          <w:p>
            <w:pPr>
              <w:spacing w:after="0"/>
              <w:rPr>
                <w:sz w:val="17"/>
                <w:szCs w:val="17"/>
                <w:color w:val="auto"/>
              </w:rPr>
            </w:pPr>
          </w:p>
        </w:tc>
        <w:tc>
          <w:tcPr>
            <w:tcW w:w="1480" w:type="dxa"/>
            <w:vAlign w:val="bottom"/>
            <w:gridSpan w:val="2"/>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438"/>
        </w:trPr>
        <w:tc>
          <w:tcPr>
            <w:tcW w:w="4340" w:type="dxa"/>
            <w:vAlign w:val="bottom"/>
            <w:gridSpan w:val="20"/>
          </w:tcPr>
          <w:p>
            <w:pPr>
              <w:spacing w:after="0"/>
              <w:rPr>
                <w:sz w:val="20"/>
                <w:szCs w:val="20"/>
                <w:color w:val="auto"/>
              </w:rPr>
            </w:pPr>
            <w:r>
              <w:rPr>
                <w:rFonts w:ascii="Arial" w:cs="Arial" w:eastAsia="Arial" w:hAnsi="Arial"/>
                <w:sz w:val="18"/>
                <w:szCs w:val="18"/>
                <w:b w:val="1"/>
                <w:bCs w:val="1"/>
                <w:color w:val="auto"/>
              </w:rPr>
              <w:t>Prospectus</w:t>
            </w: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40" w:type="dxa"/>
            <w:vAlign w:val="bottom"/>
            <w:tcBorders>
              <w:bottom w:val="single" w:sz="8" w:color="0000EE"/>
            </w:tcBorders>
            <w:gridSpan w:val="9"/>
          </w:tcPr>
          <w:p>
            <w:pPr>
              <w:spacing w:after="0" w:line="190" w:lineRule="exact"/>
              <w:rPr>
                <w:sz w:val="20"/>
                <w:szCs w:val="20"/>
                <w:color w:val="auto"/>
              </w:rPr>
            </w:pPr>
            <w:r>
              <w:rPr>
                <w:rFonts w:ascii="Arial" w:cs="Arial" w:eastAsia="Arial" w:hAnsi="Arial"/>
                <w:sz w:val="18"/>
                <w:szCs w:val="18"/>
                <w:color w:val="0000EE"/>
                <w:w w:val="89"/>
              </w:rPr>
              <w:t>About This Prospectus</w:t>
            </w:r>
          </w:p>
        </w:tc>
        <w:tc>
          <w:tcPr>
            <w:tcW w:w="2700" w:type="dxa"/>
            <w:vAlign w:val="bottom"/>
            <w:gridSpan w:val="11"/>
          </w:tcPr>
          <w:p>
            <w:pPr>
              <w:spacing w:after="0"/>
              <w:rPr>
                <w:sz w:val="16"/>
                <w:szCs w:val="16"/>
                <w:color w:val="auto"/>
              </w:rPr>
            </w:pPr>
          </w:p>
        </w:tc>
        <w:tc>
          <w:tcPr>
            <w:tcW w:w="66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Axsome Therapeutics, Inc.</w:t>
            </w:r>
          </w:p>
        </w:tc>
        <w:tc>
          <w:tcPr>
            <w:tcW w:w="2400" w:type="dxa"/>
            <w:vAlign w:val="bottom"/>
            <w:gridSpan w:val="9"/>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Risk Factors</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2240" w:type="dxa"/>
            <w:vAlign w:val="bottom"/>
            <w:gridSpan w:val="7"/>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Description of Warrants</w:t>
            </w:r>
          </w:p>
        </w:tc>
        <w:tc>
          <w:tcPr>
            <w:tcW w:w="2300" w:type="dxa"/>
            <w:vAlign w:val="bottom"/>
            <w:gridSpan w:val="8"/>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4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160" w:type="dxa"/>
            <w:vAlign w:val="bottom"/>
            <w:gridSpan w:val="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Rights</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7"/>
              </w:rPr>
              <w:t>Description of Units</w:t>
            </w:r>
          </w:p>
        </w:tc>
        <w:tc>
          <w:tcPr>
            <w:tcW w:w="2800" w:type="dxa"/>
            <w:vAlign w:val="bottom"/>
            <w:gridSpan w:val="12"/>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880" w:type="dxa"/>
            <w:vAlign w:val="bottom"/>
            <w:gridSpan w:val="13"/>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2920" w:type="dxa"/>
            <w:vAlign w:val="bottom"/>
            <w:gridSpan w:val="1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340" w:type="dxa"/>
            <w:vAlign w:val="bottom"/>
            <w:gridSpan w:val="1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20"/>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Information Incorporated by Reference</w:t>
            </w:r>
          </w:p>
        </w:tc>
        <w:tc>
          <w:tcPr>
            <w:tcW w:w="40" w:type="dxa"/>
            <w:vAlign w:val="bottom"/>
            <w:tcBorders>
              <w:top w:val="single" w:sz="8" w:color="0000EE"/>
            </w:tcBorders>
          </w:tcPr>
          <w:p>
            <w:pPr>
              <w:spacing w:after="0"/>
              <w:rPr>
                <w:sz w:val="17"/>
                <w:szCs w:val="17"/>
                <w:color w:val="auto"/>
              </w:rPr>
            </w:pPr>
          </w:p>
        </w:tc>
        <w:tc>
          <w:tcPr>
            <w:tcW w:w="1480" w:type="dxa"/>
            <w:vAlign w:val="bottom"/>
            <w:gridSpan w:val="2"/>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b w:val="1"/>
          <w:bCs w:val="1"/>
          <w:color w:val="auto"/>
        </w:rPr>
        <w:t>Neither we nor SVB Securities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SVB Securities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when making your investment decision. You should also read and consider the information in the documents we have referred you to in the sections of this prospectus supplement and the accompanying prospectus entitled “Where You Can Find More Information” and “Information Incorporated by Reference.”</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prospectus supplement and the accompanying prospectus form part of an automatic “shelf” registration statement on Form S-3 (No. 333-235372)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You should rely only on the information that we have included or incorporated by reference in this prospectus supplement, the accompanying prospectus and any related free writing prospectus that we have authorized for use in connection with this offering. Neither we nor SVB Securities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88"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particular, our statements regarding trends and potential future results are examples of such forward-looking statements. The forward-looking statements include risks and uncertainties, including, but not limited to, our expectations regarding sales of our common stock pursuant to the Sales Agreement;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or the FDA,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expectations for generating revenue or becoming profitable on sustained basis; our future revenue projections, sales forecasts and potential peak market data; our expectations or ability to expand our own commercial infrastructure to manufacture, market and sell our products;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products;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86"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2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36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120"/>
        <w:spacing w:after="0" w:line="284" w:lineRule="auto"/>
        <w:rPr>
          <w:sz w:val="20"/>
          <w:szCs w:val="20"/>
          <w:color w:val="auto"/>
        </w:rPr>
      </w:pPr>
      <w:r>
        <w:rPr>
          <w:rFonts w:ascii="Arial" w:cs="Arial" w:eastAsia="Arial" w:hAnsi="Arial"/>
          <w:sz w:val="16"/>
          <w:szCs w:val="16"/>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supplement and the accompanying prospectus, in our Annual Reports on Form 10-K, in any subsequent Quarterly Reports on Form</w:t>
      </w:r>
    </w:p>
    <w:p>
      <w:pPr>
        <w:spacing w:after="0" w:line="2" w:lineRule="exact"/>
        <w:rPr>
          <w:sz w:val="20"/>
          <w:szCs w:val="20"/>
          <w:color w:val="auto"/>
        </w:rPr>
      </w:pPr>
    </w:p>
    <w:p>
      <w:pPr>
        <w:ind w:left="300" w:right="60"/>
        <w:spacing w:after="0" w:line="302" w:lineRule="auto"/>
        <w:rPr>
          <w:sz w:val="20"/>
          <w:szCs w:val="20"/>
          <w:color w:val="auto"/>
        </w:rPr>
      </w:pPr>
      <w:r>
        <w:rPr>
          <w:rFonts w:ascii="Arial" w:cs="Arial" w:eastAsia="Arial" w:hAnsi="Arial"/>
          <w:sz w:val="16"/>
          <w:szCs w:val="16"/>
          <w:i w:val="1"/>
          <w:iCs w:val="1"/>
          <w:color w:val="auto"/>
        </w:rPr>
        <w:t>10-Q and in our other reports filed from time to time with the SEC, which are incorporated by reference into this prospectus supplement and the accompanying prospectus, before deciding to buy shares of our common stock. Unless the context requires otherwise, references in this prospectus supplement and the accompanying prospectus to “Axsome,” “we,” “us” and “our” refer to Axsome Therapeutics, Inc. and our subsidiaries.</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120" w:firstLine="426"/>
        <w:spacing w:after="0" w:line="266" w:lineRule="auto"/>
        <w:rPr>
          <w:sz w:val="20"/>
          <w:szCs w:val="20"/>
          <w:color w:val="auto"/>
        </w:rPr>
      </w:pPr>
      <w:r>
        <w:rPr>
          <w:rFonts w:ascii="Arial" w:cs="Arial" w:eastAsia="Arial" w:hAnsi="Arial"/>
          <w:sz w:val="16"/>
          <w:szCs w:val="16"/>
          <w:color w:val="auto"/>
        </w:rPr>
        <w:t>We are a biopharmaceutical company developing and delivering novel therapies for the management of central nervous system, or CNS, conditions that have limited treatment options. By focusing on this therapeutic area, we are addressing significant and growing markets where current treatment options are limited or inadequate. Our CNS portfolio includes our two approved products, Sunosi</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AUVELITY</w:t>
      </w:r>
      <w:r>
        <w:rPr>
          <w:rFonts w:ascii="Arial" w:cs="Arial" w:eastAsia="Arial" w:hAnsi="Arial"/>
          <w:sz w:val="23"/>
          <w:szCs w:val="23"/>
          <w:color w:val="auto"/>
          <w:vertAlign w:val="superscript"/>
        </w:rPr>
        <w:t>TM</w:t>
      </w:r>
      <w:r>
        <w:rPr>
          <w:rFonts w:ascii="Arial" w:cs="Arial" w:eastAsia="Arial" w:hAnsi="Arial"/>
          <w:sz w:val="16"/>
          <w:szCs w:val="16"/>
          <w:color w:val="auto"/>
        </w:rPr>
        <w:t>, and our four CNS product candidates, AXS-05, AXS-07, AXS-12, and AXS-14 which are being developed for multiple indications.</w:t>
      </w:r>
    </w:p>
    <w:p>
      <w:pPr>
        <w:spacing w:after="0" w:line="175" w:lineRule="exact"/>
        <w:rPr>
          <w:sz w:val="20"/>
          <w:szCs w:val="20"/>
          <w:color w:val="auto"/>
        </w:rPr>
      </w:pPr>
    </w:p>
    <w:p>
      <w:pPr>
        <w:ind w:left="300" w:firstLine="426"/>
        <w:spacing w:after="0" w:line="220" w:lineRule="auto"/>
        <w:rPr>
          <w:sz w:val="20"/>
          <w:szCs w:val="20"/>
          <w:color w:val="auto"/>
        </w:rPr>
      </w:pPr>
      <w:r>
        <w:rPr>
          <w:rFonts w:ascii="Arial" w:cs="Arial" w:eastAsia="Arial" w:hAnsi="Arial"/>
          <w:sz w:val="18"/>
          <w:szCs w:val="18"/>
          <w:color w:val="auto"/>
        </w:rPr>
        <w:t>In May 2022, we acquired the U.S. rights to Sunosi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from Jazz Pharmaceuticals, (“Jazz”). Sunosi was launched in the U.S. in 2019 as a therapy to improve wakefulness in adult patients with excessive daytime sleepiness, or EDS, associated with narcolepsy or obstructive sleep apnea, or OSA. Sunosi was approved in Europe in 2020, and the rolling launch is ongoing. Sunosi was approved in Canada in 2021. Sunosi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the first and only dual-acting dopamine and norepinephrine reuptake inhibitor, or DNRI approved by the FDA to treat EDS in narcolepsy or OSA. It is synergistic with the rest of our late-stage psychiatry and neurology pipeline. We intend to develop Sunosi for a new indication in ADHD with a Phase 3 trial initiation planned in 2022.</w:t>
      </w:r>
    </w:p>
    <w:p>
      <w:pPr>
        <w:spacing w:after="0" w:line="205"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On August 19, 2022, we announced that the FDA approved AXS-05 for the treatment of major depressive disorder, or MDD, which we refer to as AUVELITY. AXS-05 is also under development for the treatment of Alzheimer’s disease agitation, or AD agitation. AXS-05 is also being developed for smoking cessation. AXS-07 is being developed for the acute treatment of migraine, for which an NDA was submitted and had a PDUFA target action date of April 30, 2022. On April 29, 2022, we received a Complete Response Letter (CRL) from the FDA regarding the NDA for AXS-07 for the acute treatment of migraine. AXS-12 is being developed for the treatment of narcolepsy.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22 Cortlandt Street, 16th Floor, New York, New York 10007, and our telephone number is (212) 332-3241.</w:t>
      </w:r>
    </w:p>
    <w:p>
      <w:pPr>
        <w:spacing w:after="0" w:line="170"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6"/>
          <w:szCs w:val="16"/>
          <w:i w:val="1"/>
          <w:iCs w:val="1"/>
          <w:color w:val="auto"/>
        </w:rPr>
        <w:t>www.sec.gov</w:t>
      </w:r>
      <w:r>
        <w:rPr>
          <w:rFonts w:ascii="Arial" w:cs="Arial" w:eastAsia="Arial" w:hAnsi="Arial"/>
          <w:sz w:val="16"/>
          <w:szCs w:val="16"/>
          <w:color w:val="auto"/>
        </w:rPr>
        <w:t>, and on our website at http://</w:t>
      </w:r>
      <w:r>
        <w:rPr>
          <w:rFonts w:ascii="Arial" w:cs="Arial" w:eastAsia="Arial" w:hAnsi="Arial"/>
          <w:sz w:val="16"/>
          <w:szCs w:val="16"/>
          <w:i w:val="1"/>
          <w:iCs w:val="1"/>
          <w:color w:val="auto"/>
        </w:rPr>
        <w:t>www.axsome.com</w:t>
      </w:r>
      <w:r>
        <w:rPr>
          <w:rFonts w:ascii="Arial" w:cs="Arial" w:eastAsia="Arial" w:hAnsi="Arial"/>
          <w:sz w:val="16"/>
          <w:szCs w:val="16"/>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60"/>
          </w:cols>
          <w:pgMar w:left="320" w:top="459" w:right="7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66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$250 million.</w:t>
      </w:r>
    </w:p>
    <w:p>
      <w:pPr>
        <w:spacing w:after="0" w:line="2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SVB Securities LLC. See “Plan of Distribution” on page S-11.</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currently estimate that we will use the net proceeds from this offering, together with our existing cash:</w:t>
      </w:r>
    </w:p>
    <w:p>
      <w:pPr>
        <w:spacing w:after="0" w:line="76"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tcPr>
          <w:p>
            <w:pPr>
              <w:ind w:left="900"/>
              <w:spacing w:after="0"/>
              <w:rPr>
                <w:sz w:val="20"/>
                <w:szCs w:val="20"/>
                <w:color w:val="auto"/>
              </w:rPr>
            </w:pPr>
            <w:r>
              <w:rPr>
                <w:rFonts w:ascii="Arial" w:cs="Arial" w:eastAsia="Arial" w:hAnsi="Arial"/>
                <w:sz w:val="18"/>
                <w:szCs w:val="18"/>
                <w:color w:val="auto"/>
                <w:w w:val="97"/>
              </w:rPr>
              <w:t>•   to continue to fund the ongoing development of our late stage product candidates;</w:t>
            </w:r>
          </w:p>
        </w:tc>
      </w:tr>
      <w:tr>
        <w:trPr>
          <w:trHeight w:val="338"/>
        </w:trPr>
        <w:tc>
          <w:tcPr>
            <w:tcW w:w="3540" w:type="dxa"/>
            <w:vAlign w:val="bottom"/>
          </w:tcPr>
          <w:p>
            <w:pPr>
              <w:spacing w:after="0"/>
              <w:rPr>
                <w:sz w:val="24"/>
                <w:szCs w:val="24"/>
                <w:color w:val="auto"/>
              </w:rPr>
            </w:pPr>
          </w:p>
        </w:tc>
        <w:tc>
          <w:tcPr>
            <w:tcW w:w="7480" w:type="dxa"/>
            <w:vAlign w:val="bottom"/>
          </w:tcPr>
          <w:p>
            <w:pPr>
              <w:ind w:left="900"/>
              <w:spacing w:after="0"/>
              <w:rPr>
                <w:sz w:val="20"/>
                <w:szCs w:val="20"/>
                <w:color w:val="auto"/>
              </w:rPr>
            </w:pPr>
            <w:r>
              <w:rPr>
                <w:rFonts w:ascii="Arial" w:cs="Arial" w:eastAsia="Arial" w:hAnsi="Arial"/>
                <w:sz w:val="18"/>
                <w:szCs w:val="18"/>
                <w:color w:val="auto"/>
              </w:rPr>
              <w:t>•   to advance the commercialization of Sunosi;</w:t>
            </w:r>
          </w:p>
        </w:tc>
      </w:tr>
      <w:tr>
        <w:trPr>
          <w:trHeight w:val="338"/>
        </w:trPr>
        <w:tc>
          <w:tcPr>
            <w:tcW w:w="3540" w:type="dxa"/>
            <w:vAlign w:val="bottom"/>
          </w:tcPr>
          <w:p>
            <w:pPr>
              <w:spacing w:after="0"/>
              <w:rPr>
                <w:sz w:val="24"/>
                <w:szCs w:val="24"/>
                <w:color w:val="auto"/>
              </w:rPr>
            </w:pPr>
          </w:p>
        </w:tc>
        <w:tc>
          <w:tcPr>
            <w:tcW w:w="7480" w:type="dxa"/>
            <w:vAlign w:val="bottom"/>
          </w:tcPr>
          <w:p>
            <w:pPr>
              <w:ind w:left="900"/>
              <w:spacing w:after="0"/>
              <w:rPr>
                <w:sz w:val="20"/>
                <w:szCs w:val="20"/>
                <w:color w:val="auto"/>
              </w:rPr>
            </w:pPr>
            <w:r>
              <w:rPr>
                <w:rFonts w:ascii="Arial" w:cs="Arial" w:eastAsia="Arial" w:hAnsi="Arial"/>
                <w:sz w:val="18"/>
                <w:szCs w:val="18"/>
                <w:color w:val="auto"/>
              </w:rPr>
              <w:t>•   to launch and advance the commercialization of AUVELITY;</w:t>
            </w:r>
          </w:p>
        </w:tc>
      </w:tr>
      <w:tr>
        <w:trPr>
          <w:trHeight w:val="323"/>
        </w:trPr>
        <w:tc>
          <w:tcPr>
            <w:tcW w:w="3540" w:type="dxa"/>
            <w:vAlign w:val="bottom"/>
          </w:tcPr>
          <w:p>
            <w:pPr>
              <w:spacing w:after="0"/>
              <w:rPr>
                <w:sz w:val="24"/>
                <w:szCs w:val="24"/>
                <w:color w:val="auto"/>
              </w:rPr>
            </w:pPr>
          </w:p>
        </w:tc>
        <w:tc>
          <w:tcPr>
            <w:tcW w:w="7480" w:type="dxa"/>
            <w:vAlign w:val="bottom"/>
          </w:tcPr>
          <w:p>
            <w:pPr>
              <w:ind w:left="900"/>
              <w:spacing w:after="0"/>
              <w:rPr>
                <w:sz w:val="20"/>
                <w:szCs w:val="20"/>
                <w:color w:val="auto"/>
              </w:rPr>
            </w:pPr>
            <w:r>
              <w:rPr>
                <w:rFonts w:ascii="Arial" w:cs="Arial" w:eastAsia="Arial" w:hAnsi="Arial"/>
                <w:sz w:val="18"/>
                <w:szCs w:val="18"/>
                <w:color w:val="auto"/>
                <w:w w:val="97"/>
              </w:rPr>
              <w:t>•   for other general corporate purposes, including funding existing and potential new</w:t>
            </w:r>
          </w:p>
        </w:tc>
      </w:tr>
      <w:tr>
        <w:trPr>
          <w:trHeight w:val="230"/>
        </w:trPr>
        <w:tc>
          <w:tcPr>
            <w:tcW w:w="3540" w:type="dxa"/>
            <w:vAlign w:val="bottom"/>
          </w:tcPr>
          <w:p>
            <w:pPr>
              <w:spacing w:after="0"/>
              <w:rPr>
                <w:sz w:val="20"/>
                <w:szCs w:val="20"/>
                <w:color w:val="auto"/>
              </w:rPr>
            </w:pPr>
          </w:p>
        </w:tc>
        <w:tc>
          <w:tcPr>
            <w:tcW w:w="7480" w:type="dxa"/>
            <w:vAlign w:val="bottom"/>
          </w:tcPr>
          <w:p>
            <w:pPr>
              <w:ind w:left="1180"/>
              <w:spacing w:after="0"/>
              <w:rPr>
                <w:sz w:val="20"/>
                <w:szCs w:val="20"/>
                <w:color w:val="auto"/>
              </w:rPr>
            </w:pPr>
            <w:r>
              <w:rPr>
                <w:rFonts w:ascii="Arial" w:cs="Arial" w:eastAsia="Arial" w:hAnsi="Arial"/>
                <w:sz w:val="18"/>
                <w:szCs w:val="18"/>
                <w:color w:val="auto"/>
              </w:rPr>
              <w:t>clinical programs, products and product candidates.</w:t>
            </w:r>
          </w:p>
        </w:tc>
      </w:tr>
      <w:tr>
        <w:trPr>
          <w:trHeight w:val="445"/>
        </w:trPr>
        <w:tc>
          <w:tcPr>
            <w:tcW w:w="35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80" w:type="dxa"/>
            <w:vAlign w:val="bottom"/>
          </w:tcPr>
          <w:p>
            <w:pPr>
              <w:ind w:left="680"/>
              <w:spacing w:after="0"/>
              <w:rPr>
                <w:sz w:val="20"/>
                <w:szCs w:val="20"/>
                <w:color w:val="auto"/>
              </w:rPr>
            </w:pPr>
            <w:r>
              <w:rPr>
                <w:rFonts w:ascii="Arial" w:cs="Arial" w:eastAsia="Arial" w:hAnsi="Arial"/>
                <w:sz w:val="18"/>
                <w:szCs w:val="18"/>
                <w:color w:val="auto"/>
                <w:w w:val="97"/>
              </w:rPr>
              <w:t>Investing in our common stock involves a high degree of risk. You should read the “Risk</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w w:val="93"/>
              </w:rPr>
              <w:t>Factors” section of this prospectus supplement beginning on page S-4 as well as those risk</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factors that are incorporated by reference in this prospectus supplement and the</w:t>
            </w:r>
          </w:p>
        </w:tc>
      </w:tr>
      <w:tr>
        <w:trPr>
          <w:trHeight w:val="216"/>
        </w:trPr>
        <w:tc>
          <w:tcPr>
            <w:tcW w:w="354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w w:val="95"/>
              </w:rPr>
              <w:t>accompanying prospectus for a discussion of factors to consider carefully before deciding</w:t>
            </w:r>
          </w:p>
        </w:tc>
      </w:tr>
      <w:tr>
        <w:trPr>
          <w:trHeight w:val="230"/>
        </w:trPr>
        <w:tc>
          <w:tcPr>
            <w:tcW w:w="3540" w:type="dxa"/>
            <w:vAlign w:val="bottom"/>
          </w:tcPr>
          <w:p>
            <w:pPr>
              <w:spacing w:after="0"/>
              <w:rPr>
                <w:sz w:val="20"/>
                <w:szCs w:val="20"/>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to invest in shares of our common stock.</w:t>
            </w:r>
          </w:p>
        </w:tc>
      </w:tr>
      <w:tr>
        <w:trPr>
          <w:trHeight w:val="459"/>
        </w:trPr>
        <w:tc>
          <w:tcPr>
            <w:tcW w:w="3540" w:type="dxa"/>
            <w:vAlign w:val="bottom"/>
          </w:tcPr>
          <w:p>
            <w:pPr>
              <w:ind w:left="180"/>
              <w:spacing w:after="0"/>
              <w:rPr>
                <w:sz w:val="20"/>
                <w:szCs w:val="20"/>
                <w:color w:val="auto"/>
              </w:rPr>
            </w:pPr>
            <w:r>
              <w:rPr>
                <w:rFonts w:ascii="Arial" w:cs="Arial" w:eastAsia="Arial" w:hAnsi="Arial"/>
                <w:sz w:val="18"/>
                <w:szCs w:val="18"/>
                <w:color w:val="auto"/>
              </w:rPr>
              <w:t>Nasdaq Global Market ticker symbol</w:t>
            </w:r>
          </w:p>
        </w:tc>
        <w:tc>
          <w:tcPr>
            <w:tcW w:w="7480" w:type="dxa"/>
            <w:vAlign w:val="bottom"/>
          </w:tcPr>
          <w:p>
            <w:pPr>
              <w:ind w:left="680"/>
              <w:spacing w:after="0"/>
              <w:rPr>
                <w:sz w:val="20"/>
                <w:szCs w:val="20"/>
                <w:color w:val="auto"/>
              </w:rPr>
            </w:pPr>
            <w:r>
              <w:rPr>
                <w:rFonts w:ascii="Arial" w:cs="Arial" w:eastAsia="Arial" w:hAnsi="Arial"/>
                <w:sz w:val="18"/>
                <w:szCs w:val="18"/>
                <w:color w:val="auto"/>
              </w:rPr>
              <w:t>“AXSM”</w:t>
            </w:r>
          </w:p>
        </w:tc>
      </w:tr>
      <w:tr>
        <w:trPr>
          <w:trHeight w:val="172"/>
        </w:trPr>
        <w:tc>
          <w:tcPr>
            <w:tcW w:w="3540" w:type="dxa"/>
            <w:vAlign w:val="bottom"/>
            <w:tcBorders>
              <w:bottom w:val="single" w:sz="8" w:color="auto"/>
            </w:tcBorders>
          </w:tcPr>
          <w:p>
            <w:pPr>
              <w:spacing w:after="0"/>
              <w:rPr>
                <w:sz w:val="14"/>
                <w:szCs w:val="14"/>
                <w:color w:val="auto"/>
              </w:rPr>
            </w:pPr>
          </w:p>
        </w:tc>
        <w:tc>
          <w:tcPr>
            <w:tcW w:w="7480" w:type="dxa"/>
            <w:vAlign w:val="bottom"/>
            <w:tcBorders>
              <w:bottom w:val="single" w:sz="8" w:color="auto"/>
            </w:tcBorders>
          </w:tcPr>
          <w:p>
            <w:pPr>
              <w:spacing w:after="0"/>
              <w:rPr>
                <w:sz w:val="14"/>
                <w:szCs w:val="14"/>
                <w:color w:val="auto"/>
              </w:rPr>
            </w:pPr>
          </w:p>
        </w:tc>
      </w:tr>
      <w:tr>
        <w:trPr>
          <w:trHeight w:val="361"/>
        </w:trPr>
        <w:tc>
          <w:tcPr>
            <w:tcW w:w="3540" w:type="dxa"/>
            <w:vAlign w:val="bottom"/>
          </w:tcPr>
          <w:p>
            <w:pPr>
              <w:spacing w:after="0"/>
              <w:rPr>
                <w:sz w:val="24"/>
                <w:szCs w:val="24"/>
                <w:color w:val="auto"/>
              </w:rPr>
            </w:pPr>
          </w:p>
        </w:tc>
        <w:tc>
          <w:tcPr>
            <w:tcW w:w="7480" w:type="dxa"/>
            <w:vAlign w:val="bottom"/>
          </w:tcPr>
          <w:p>
            <w:pPr>
              <w:ind w:left="18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62"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losses were $81.1 million for the six months ended June 30, 2022 and $130.4 million for the year ended December 31, 2021. As of June 30, 2022, we had an accumulated deficit of $490.3 million. To date, we have not received regulatory approvals for any of our product candidates with the exception of AUVELITY. We recently acquired the U.S. rights to the Sunosi product and commenced a commercial launch of Sunosi in the U.S.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FDA. As a result, we expect to continue to incur significant losses for the foreseeable future. We anticipate that our expenses will increase substantially as we:</w:t>
      </w:r>
    </w:p>
    <w:p>
      <w:pPr>
        <w:spacing w:after="0" w:line="193"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late-stage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hire additional commercial, clinical, medical, quality, regulatory, and scientific personnel;</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establish a sales, marketing, and distribution infrastructure;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external manufacturing capabilities and production to commercialize any products for which we may obtain regulatory approval and that we choose not to license to a third-party;</w:t>
      </w:r>
    </w:p>
    <w:p>
      <w:pPr>
        <w:spacing w:after="0" w:line="75"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undertake additional manufacturing activities of our product candidates to satisfy FDA requirements for marketing application submissions;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conduct our clinical trials with AXS-12 in narcolepsy;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evaluate, plan for, and potentially submit an NDA for AXS-14 in fibromyalgia;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expand commercial sales of Sunosi;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 in-license, or acquire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conduct late-stage clinical trials for any product candidates that successfully complete early-stage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conduct additional non-clinical studies with any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00"/>
          </w:cols>
          <w:pgMar w:left="320" w:top="45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larger quantities of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To become and remain profitable, we must succeed in developing and commercializing products that generate significant revenue. We do not expect to generate significant revenue unless and until we are able to successfully commercialize one or more of our product candidates, or approved commercial products that we have acquired, such as Sunosi.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time-consuming, expensive, and uncertain process that takes years to complete. We may need to raise additional capital to:</w:t>
      </w:r>
    </w:p>
    <w:p>
      <w:pPr>
        <w:spacing w:after="0" w:line="89" w:lineRule="exact"/>
        <w:rPr>
          <w:sz w:val="20"/>
          <w:szCs w:val="20"/>
          <w:color w:val="auto"/>
        </w:rPr>
      </w:pPr>
    </w:p>
    <w:p>
      <w:pPr>
        <w:ind w:left="1080" w:right="3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75" w:lineRule="exact"/>
        <w:rPr>
          <w:rFonts w:ascii="Arial" w:cs="Arial" w:eastAsia="Arial" w:hAnsi="Arial"/>
          <w:sz w:val="18"/>
          <w:szCs w:val="18"/>
          <w:color w:val="auto"/>
        </w:rPr>
      </w:pPr>
    </w:p>
    <w:p>
      <w:pPr>
        <w:jc w:val="both"/>
        <w:ind w:left="1080" w:right="7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qualify and outsource the commercial-scale manufacturing of our products under current good manufacturing practices, or cGMP;</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On August 19, 2022, we announced that the FDA approved AUVELITY for the treatment of MDD, which will give us access to additional funds under our $300 million term loan facility. Our assumptions regarding our capital requirements may prove to be wrong, and we could spend our available financial resources faster than we currently expect. Further, we may not have sufficient financial resources to meet all of our objectives if any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2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conducting additional clinical and non-clinical studies with any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an NDA, for any product candidates that we may in-license or acquire in the future, and the potential that we may need to conduct additional clinical or preclinical trials to support applications for regulatory approval;</w:t>
      </w:r>
    </w:p>
    <w:p>
      <w:pPr>
        <w:spacing w:after="0" w:line="89"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timing of manufacturing, or having third parties manufacture, sufficient supplies of our product candidates in preparation for commercialization;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22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Management will have broad discretion as to the use of any proceeds from this offering, and we may not use the proceeds effectively.</w:t>
      </w:r>
    </w:p>
    <w:p>
      <w:pPr>
        <w:spacing w:after="0" w:line="1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SVB Securities at any time throughout the term of the Sales Agreement. The number of shares that are sold through SVB Securities after delivering a placement notice will fluctuate based on a number of factors, including the market price of our common stock during the sales period, any limits we may set with SVB Securities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“at-the-market offerings” and investors who buy shares at different times will likely pay different prices.</w:t>
      </w:r>
    </w:p>
    <w:p>
      <w:pPr>
        <w:spacing w:after="0" w:line="62"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our common stock in this offering, you may incur immediate and substantial dilution in the book value of your shares.</w:t>
      </w:r>
    </w:p>
    <w:p>
      <w:pPr>
        <w:spacing w:after="0" w:line="12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5,892,057 shares of our common stock are sold at an assumed offering price of $42.43 per share, the last reported sale price of our common stock on the Nasdaq Global Market on August 18, 2022, for aggregate gross proceeds of approximately $250 million, and after deducting commissions and estimated offering expenses payable by us, you would experience immediate dilution of $38.44 per share, representing the difference between our as adjusted net tangible book value per share as of June 30, 2022,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29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issue and sell shares of our common stock having an aggregate offering price of up to $250 million from time to time. Because there is no minimum offering amount required as a condition to close this offering, the actual total public offering amount, commissions to SVB Securities and proceeds to us, if any, are not determinable at this time. There can be no assurance that we will sell any shares under the Sales Agreement as a source of financing.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estimate that we will use the net proceeds from this offering, together with our existing cash:</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continue to fund the ongoing development of our late stage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advance the commercialization of Sunosi;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launch and advance the commercialization of AUVELITY;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other general corporate purposes, including funding existing and potential new clinical programs, products and product candidates.</w:t>
      </w:r>
    </w:p>
    <w:p>
      <w:pPr>
        <w:spacing w:after="0" w:line="24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7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16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At June 30, 2022, our net tangible book value was $(59.6 million), or $(1.49) per share of common stock, based on 39,914,411 shares of common stock then outstanding. After giving effect to the assumed sale by us of an aggregate of 5,892,057 shares of our common stock at an assumed offering price of $42.43 per share, the last reported sale price of our common stock on the Nasdaq Global Market on August 18, 2022, for aggregate gross proceeds of approximately $250 million, and after deducting commissions and estimated offering expense payable by us, our net tangible book value at June 30, 2022 would have been $182.8 million, or $3.99 per share of common stock. This represents an immediate increase in net tangible book value to existing stockholders of $5.48 per share and an immediate dilution of $38.44 per share to new investors purchasing common stock at the assumed offering price of $42.43 per share in this offering.</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660" w:type="dxa"/>
            <w:vAlign w:val="bottom"/>
          </w:tcPr>
          <w:p>
            <w:pPr>
              <w:spacing w:after="0"/>
              <w:rPr>
                <w:sz w:val="20"/>
                <w:szCs w:val="20"/>
                <w:color w:val="auto"/>
              </w:rPr>
            </w:pPr>
            <w:r>
              <w:rPr>
                <w:rFonts w:ascii="Arial" w:cs="Arial" w:eastAsia="Arial" w:hAnsi="Arial"/>
                <w:sz w:val="18"/>
                <w:szCs w:val="18"/>
                <w:color w:val="auto"/>
                <w:w w:val="97"/>
              </w:rPr>
              <w:t>The following table illustrates this per share dilution to the new investors purchasing shares of common stock in this offering:</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$42.43</w:t>
            </w:r>
          </w:p>
        </w:tc>
      </w:tr>
      <w:tr>
        <w:trPr>
          <w:trHeight w:val="216"/>
        </w:trPr>
        <w:tc>
          <w:tcPr>
            <w:tcW w:w="9660" w:type="dxa"/>
            <w:vAlign w:val="bottom"/>
          </w:tcPr>
          <w:p>
            <w:pPr>
              <w:ind w:left="360"/>
              <w:spacing w:after="0"/>
              <w:rPr>
                <w:sz w:val="20"/>
                <w:szCs w:val="20"/>
                <w:color w:val="auto"/>
              </w:rPr>
            </w:pPr>
            <w:r>
              <w:rPr>
                <w:rFonts w:ascii="Arial" w:cs="Arial" w:eastAsia="Arial" w:hAnsi="Arial"/>
                <w:sz w:val="18"/>
                <w:szCs w:val="18"/>
                <w:color w:val="auto"/>
              </w:rPr>
              <w:t>Net tangible book value per share at June 30, 2022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$(1.49)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As adjusted net tangible book value per share at June 30, 2022, after giving effect to this offering</w:t>
            </w: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0"/>
                <w:szCs w:val="20"/>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purchasing shares in this offering</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38.44</w:t>
            </w:r>
          </w:p>
        </w:tc>
      </w:tr>
      <w:tr>
        <w:trPr>
          <w:trHeight w:val="20"/>
        </w:trPr>
        <w:tc>
          <w:tcPr>
            <w:tcW w:w="9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foregoing table and calculations are based on 39,914,411 shares of our common stock outstanding as of June 30, 2022, and excludes:</w:t>
      </w:r>
    </w:p>
    <w:p>
      <w:pPr>
        <w:spacing w:after="0" w:line="142" w:lineRule="exact"/>
        <w:rPr>
          <w:sz w:val="20"/>
          <w:szCs w:val="20"/>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4,231,452 shares of common stock sold under the Sales Agreement pursuant to the prospectus supplement filed on March 1, 2022 at a weighted-average price of $47.26 per share for aggregate gross proceeds of $200.0 million;</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713,311 shares of common stock covering an equal amount of restricted stock units outstanding as of June 30, 2022, at a weighted-average grant date fair value price of $30.02 per share;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6,522,561 shares of common stock issuable upon exercise of stock options outstanding as of June 30, 2022, at a weighted average exercise price of $28.98 per share;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50,796 shares of common stock issuable upon the exercise of outstanding warrants as of June 30, 2022, with an exercise price of $46.75 per share;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3,341,813 shares of common stock available for future grant under our Amended and Restated 2015 Omnibus Incentive Compensation Plan as of June 30, 2022;</w:t>
      </w:r>
    </w:p>
    <w:p>
      <w:pPr>
        <w:spacing w:after="0" w:line="170"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An increase of $1.00 per share in the price at which the shares are sold from the assumed offering price of $42.43 per share shown in the table above, assuming all of our common stock in the aggregate amount of $250 million during the term of the Sales Agreement with SVB Securities is sold at that price, would increase our as adjusted net tangible book value per share to $4.00 per share and would increase the dilution in net tangible book value per share to new investors in this offering to $39.43 per share, after deducting commissions and estimated offering expenses payable by us. A decrease of $1.00 per share in the price at which the shares are sold from the assumed offering price of $42.43 per share shown in the table above, assuming all of our common stock in the aggregate amount of $250 million during the term of the Sales Agreement with SVB Securities is sold at that price, would decrease our as adjusted net tangible book value per share to $3.98 per share and would decrease the dilution in net tangible book value per share to new investors in this offering to $37.45 per share, after deducting commissions and estimated offering expenses payable by us.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information discussed above is illustrative only and the shares subject to our Sales Agreement with SVB Securities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entered into a Sales Agreement with SVB Securities LLC, or SVB Securities, under which we may issue and sell shares of our common stock from time to time through SVB Securities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7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SVB Securities will offer our common stock subject to the terms and conditions of the Sales Agreement on a daily basis or as otherwise agreed upon by us and SVB Securities. We will designate the maximum number or amount of common stock to be sold through SVB Securities on a daily basis or otherwise determine such maximum number or amount together with SVB Securities. Subject to the terms and conditions of the Sales Agreement, SVB Securities will use commercially reasonable efforts consistent with its normal trading and sales practices to sell on our behalf all of the common stock requested to be sold by us. We may instruct SVB Securities not to sell common stock if the sales cannot be effected at or above a minimum price designated by us in any such instruction. SVB Securities or we may suspend the offering of our common stock being made through SVB Securities under the Sales Agreement upon proper notice to the other party. SVB Securities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compensation payable to SVB Securities as sales agent will be an amount equal to up to 3.0% of the gross proceeds of any shares of common stock sold through it pursuant to the Sales Agreement. We have also agreed to reimburse SVB Securities for actual outside legal expenses incurred by SVB Securities in connection with the filing of this prospectus supplement, including SVB Securities’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SVB Securities in connection with this offering. We estimate that the total expenses of the offering payable by us, excluding commissions payable to SVB Securities under the Sales Agreement, will be approximately $150,000.</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 SVB Securities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92"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will report at least quarterly the number of shares of common stock sold through SVB Securities under the Sales Agreement, the net proceeds to us and the compensation paid by us to SVB Securities in connection with the sales of common stock during the relevant period. 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5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In connection with the sale of the common stock on our behalf pursuant to the Sales Agreement, SVB Securities will be deemed to be an “underwriter” within the meaning of the Securities Act and the compensation paid to SVB Securities will be deemed to be underwriting commissions or discounts. We have agreed in the Sales Agreement to provide indemnification and contribution to SVB Securities with respect to certain liabilities, including liabilities under the Securities Act or the Exchange Act. As sales agent, SVB Securities will not engage in any transactions that stabilize our common stock.</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Market and trade under the symbol “AXSM.” The transfer agent of our common stock is American Stock Transfer &amp; Trust Company, LLC.</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SVB Securities and/or its affiliates have provided, and may in the future provide, various investment banking and other financial services for us for which services they have received, and may in the future receive, customary fees.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00"/>
          </w:cols>
          <w:pgMar w:left="320" w:top="459" w:right="6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validity of the common stock being offered by this prospectus supplement will be passed upon for us by DLA Piper LLP (US), Short Hills, New Jersey. Covington &amp; Burling LLP, New York, New York, is counsel to SVB Securities in connection with this offering.</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and the effectiveness of internal control over financial reporting as to the respective dates (to the extent covered by consents filed with the Securities and Exchange Commission), given on the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supplement and the accompanying prospectus form part of an automatic “shelf”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w:t>
      </w:r>
    </w:p>
    <w:p>
      <w:pPr>
        <w:spacing w:after="0" w:line="166"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4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maintain a website at </w:t>
      </w:r>
      <w:r>
        <w:rPr>
          <w:rFonts w:ascii="Arial" w:cs="Arial" w:eastAsia="Arial" w:hAnsi="Arial"/>
          <w:sz w:val="18"/>
          <w:szCs w:val="18"/>
          <w:i w:val="1"/>
          <w:iCs w:val="1"/>
          <w:color w:val="auto"/>
        </w:rPr>
        <w:t>www.axsome.com</w:t>
      </w:r>
      <w:r>
        <w:rPr>
          <w:rFonts w:ascii="Arial" w:cs="Arial" w:eastAsia="Arial" w:hAnsi="Arial"/>
          <w:sz w:val="18"/>
          <w:szCs w:val="18"/>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8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2">
        <w:r>
          <w:rPr>
            <w:rFonts w:ascii="Arial" w:cs="Arial" w:eastAsia="Arial" w:hAnsi="Arial"/>
            <w:sz w:val="18"/>
            <w:szCs w:val="18"/>
            <w:u w:val="single" w:color="auto"/>
            <w:color w:val="0000EE"/>
          </w:rPr>
          <w:t>Form 10-K for the fiscal year ended December 31, 2021 filed with the SEC on March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March 31, 2022 and June 30, 2022, filed with the SEC on </w:t>
      </w:r>
      <w:hyperlink r:id="rId33">
        <w:r>
          <w:rPr>
            <w:rFonts w:ascii="Arial" w:cs="Arial" w:eastAsia="Arial" w:hAnsi="Arial"/>
            <w:sz w:val="18"/>
            <w:szCs w:val="18"/>
            <w:u w:val="single" w:color="auto"/>
            <w:color w:val="0000EE"/>
          </w:rPr>
          <w:t>May 2, 2022</w:t>
        </w:r>
      </w:hyperlink>
      <w:r>
        <w:rPr>
          <w:rFonts w:ascii="Arial" w:cs="Arial" w:eastAsia="Arial" w:hAnsi="Arial"/>
          <w:sz w:val="18"/>
          <w:szCs w:val="18"/>
          <w:color w:val="auto"/>
        </w:rPr>
        <w:t xml:space="preserve"> and </w:t>
      </w:r>
      <w:hyperlink r:id="rId34">
        <w:r>
          <w:rPr>
            <w:rFonts w:ascii="Arial" w:cs="Arial" w:eastAsia="Arial" w:hAnsi="Arial"/>
            <w:sz w:val="18"/>
            <w:szCs w:val="18"/>
            <w:u w:val="single" w:color="auto"/>
            <w:color w:val="0000EE"/>
          </w:rPr>
          <w:t>August 9, 2022</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7"/>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the information contained in our definitive proxy statement on Schedule 14A for our 2022 Annual Meeting of Stockholders, filed with the</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SEC on April 22, 2022, to the extent incorporated by reference in Part III of the Form 10 K for the fiscal year ended December 31, 2021;</w:t>
        </w:r>
      </w:hyperlink>
    </w:p>
    <w:p>
      <w:pPr>
        <w:spacing w:after="0" w:line="29" w:lineRule="exact"/>
        <w:rPr>
          <w:rFonts w:ascii="Arial" w:cs="Arial" w:eastAsia="Arial" w:hAnsi="Arial"/>
          <w:sz w:val="16"/>
          <w:szCs w:val="16"/>
          <w:u w:val="single" w:color="auto"/>
          <w:color w:val="0000EE"/>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36">
        <w:r>
          <w:rPr>
            <w:rFonts w:ascii="Arial" w:cs="Arial" w:eastAsia="Arial" w:hAnsi="Arial"/>
            <w:sz w:val="17"/>
            <w:szCs w:val="17"/>
            <w:u w:val="single" w:color="auto"/>
            <w:color w:val="0000EE"/>
          </w:rPr>
          <w:t>January 18, 2022</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February 7, 2022</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EE"/>
          </w:rPr>
          <w:t>March 1, 2022 (File No. 22699556)</w:t>
        </w:r>
      </w:hyperlink>
      <w:r>
        <w:rPr>
          <w:rFonts w:ascii="Arial" w:cs="Arial" w:eastAsia="Arial" w:hAnsi="Arial"/>
          <w:sz w:val="17"/>
          <w:szCs w:val="17"/>
          <w:color w:val="auto"/>
        </w:rPr>
        <w:t>,</w:t>
      </w:r>
    </w:p>
    <w:p>
      <w:pPr>
        <w:spacing w:after="0" w:line="35" w:lineRule="exact"/>
        <w:rPr>
          <w:rFonts w:ascii="Arial" w:cs="Arial" w:eastAsia="Arial" w:hAnsi="Arial"/>
          <w:sz w:val="17"/>
          <w:szCs w:val="17"/>
          <w:color w:val="auto"/>
        </w:rPr>
      </w:pPr>
    </w:p>
    <w:p>
      <w:pPr>
        <w:ind w:left="1080" w:right="140"/>
        <w:spacing w:after="0" w:line="290" w:lineRule="auto"/>
        <w:rPr>
          <w:rFonts w:ascii="Arial" w:cs="Arial" w:eastAsia="Arial" w:hAnsi="Arial"/>
          <w:sz w:val="17"/>
          <w:szCs w:val="17"/>
          <w:color w:val="0000EE"/>
        </w:rPr>
      </w:pPr>
      <w:hyperlink r:id="rId39">
        <w:r>
          <w:rPr>
            <w:rFonts w:ascii="Arial" w:cs="Arial" w:eastAsia="Arial" w:hAnsi="Arial"/>
            <w:sz w:val="17"/>
            <w:szCs w:val="17"/>
            <w:color w:val="auto"/>
          </w:rPr>
          <w:t xml:space="preserve">March 28, 2022, as amended on </w:t>
        </w:r>
        <w:r>
          <w:rPr>
            <w:rFonts w:ascii="Arial" w:cs="Arial" w:eastAsia="Arial" w:hAnsi="Arial"/>
            <w:sz w:val="17"/>
            <w:szCs w:val="17"/>
            <w:u w:val="single" w:color="auto"/>
            <w:color w:val="0000EE"/>
          </w:rPr>
          <w:t>March 31,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19,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25,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2,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9,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18,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31,</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0">
        <w:r>
          <w:rPr>
            <w:rFonts w:ascii="Arial" w:cs="Arial" w:eastAsia="Arial" w:hAnsi="Arial"/>
            <w:sz w:val="17"/>
            <w:szCs w:val="17"/>
            <w:u w:val="single" w:color="auto"/>
            <w:color w:val="0000EE"/>
          </w:rPr>
          <w:t>June 1, 2022</w:t>
        </w:r>
      </w:hyperlink>
      <w:hyperlink r:id="rId3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1">
        <w:r>
          <w:rPr>
            <w:rFonts w:ascii="Arial" w:cs="Arial" w:eastAsia="Arial" w:hAnsi="Arial"/>
            <w:sz w:val="17"/>
            <w:szCs w:val="17"/>
            <w:u w:val="single" w:color="auto"/>
            <w:color w:val="0000EE"/>
          </w:rPr>
          <w:t>June 2, 2022</w:t>
        </w:r>
      </w:hyperlink>
      <w:hyperlink r:id="rId3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2">
        <w:r>
          <w:rPr>
            <w:rFonts w:ascii="Arial" w:cs="Arial" w:eastAsia="Arial" w:hAnsi="Arial"/>
            <w:sz w:val="17"/>
            <w:szCs w:val="17"/>
            <w:u w:val="single" w:color="auto"/>
            <w:color w:val="0000EE"/>
          </w:rPr>
          <w:t>June 7, 2022</w:t>
        </w:r>
      </w:hyperlink>
      <w:hyperlink r:id="rId3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3">
        <w:r>
          <w:rPr>
            <w:rFonts w:ascii="Arial" w:cs="Arial" w:eastAsia="Arial" w:hAnsi="Arial"/>
            <w:sz w:val="17"/>
            <w:szCs w:val="17"/>
            <w:u w:val="single" w:color="auto"/>
            <w:color w:val="0000EE"/>
          </w:rPr>
          <w:t>June 27, 2022</w:t>
        </w:r>
      </w:hyperlink>
      <w:hyperlink r:id="rId3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4">
        <w:r>
          <w:rPr>
            <w:rFonts w:ascii="Arial" w:cs="Arial" w:eastAsia="Arial" w:hAnsi="Arial"/>
            <w:sz w:val="17"/>
            <w:szCs w:val="17"/>
            <w:u w:val="single" w:color="auto"/>
            <w:color w:val="0000EE"/>
          </w:rPr>
          <w:t>June 28, 2022</w:t>
        </w:r>
      </w:hyperlink>
      <w:hyperlink r:id="rId3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5">
        <w:r>
          <w:rPr>
            <w:rFonts w:ascii="Arial" w:cs="Arial" w:eastAsia="Arial" w:hAnsi="Arial"/>
            <w:sz w:val="17"/>
            <w:szCs w:val="17"/>
            <w:u w:val="single" w:color="auto"/>
            <w:color w:val="0000EE"/>
          </w:rPr>
          <w:t xml:space="preserve">July 21, 2022 </w:t>
        </w:r>
      </w:hyperlink>
      <w:hyperlink r:id="rId39">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46">
        <w:r>
          <w:rPr>
            <w:rFonts w:ascii="Arial" w:cs="Arial" w:eastAsia="Arial" w:hAnsi="Arial"/>
            <w:sz w:val="17"/>
            <w:szCs w:val="17"/>
            <w:u w:val="single" w:color="auto"/>
            <w:color w:val="0000EE"/>
          </w:rPr>
          <w:t>August 19, 2022</w:t>
        </w:r>
      </w:hyperlink>
      <w:hyperlink r:id="rId39">
        <w:r>
          <w:rPr>
            <w:rFonts w:ascii="Arial" w:cs="Arial" w:eastAsia="Arial" w:hAnsi="Arial"/>
            <w:sz w:val="17"/>
            <w:szCs w:val="17"/>
            <w:color w:val="000000"/>
          </w:rPr>
          <w:t>; and</w:t>
        </w:r>
      </w:hyperlink>
    </w:p>
    <w:p>
      <w:pPr>
        <w:spacing w:after="0" w:line="67" w:lineRule="exact"/>
        <w:rPr>
          <w:rFonts w:ascii="Arial" w:cs="Arial" w:eastAsia="Arial" w:hAnsi="Arial"/>
          <w:sz w:val="17"/>
          <w:szCs w:val="17"/>
          <w:color w:val="0000EE"/>
        </w:rPr>
      </w:pPr>
    </w:p>
    <w:p>
      <w:pPr>
        <w:ind w:left="1080" w:right="1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8-A12B, filed with the SEC on November 16, 2015 (File No. 001-37635) (as updated by the description of our common stock contained in </w:t>
      </w:r>
      <w:hyperlink r:id="rId47">
        <w:r>
          <w:rPr>
            <w:rFonts w:ascii="Arial" w:cs="Arial" w:eastAsia="Arial" w:hAnsi="Arial"/>
            <w:sz w:val="18"/>
            <w:szCs w:val="18"/>
            <w:u w:val="single" w:color="auto"/>
            <w:color w:val="0000EE"/>
          </w:rPr>
          <w:t>Exhibit 4.6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2021 filed with the SEC on March 1, 2022), and all amendments or reports filed for the purpose of updating such description.</w:t>
      </w:r>
    </w:p>
    <w:p>
      <w:pPr>
        <w:spacing w:after="0" w:line="187" w:lineRule="exact"/>
        <w:rPr>
          <w:rFonts w:ascii="Arial" w:cs="Arial" w:eastAsia="Arial" w:hAnsi="Arial"/>
          <w:sz w:val="17"/>
          <w:szCs w:val="17"/>
          <w:color w:val="0000EE"/>
        </w:rPr>
      </w:pPr>
    </w:p>
    <w:p>
      <w:pPr>
        <w:ind w:left="120"/>
        <w:spacing w:after="0" w:line="301"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157" w:lineRule="exact"/>
        <w:rPr>
          <w:rFonts w:ascii="Arial" w:cs="Arial" w:eastAsia="Arial" w:hAnsi="Arial"/>
          <w:sz w:val="17"/>
          <w:szCs w:val="17"/>
          <w:color w:val="0000EE"/>
        </w:rPr>
      </w:pPr>
    </w:p>
    <w:p>
      <w:pPr>
        <w:ind w:left="120" w:right="40"/>
        <w:spacing w:after="0" w:line="286" w:lineRule="auto"/>
        <w:rPr>
          <w:sz w:val="20"/>
          <w:szCs w:val="20"/>
          <w:color w:val="auto"/>
        </w:rPr>
      </w:pPr>
      <w:r>
        <w:rPr>
          <w:rFonts w:ascii="Arial" w:cs="Arial" w:eastAsia="Arial" w:hAnsi="Arial"/>
          <w:sz w:val="17"/>
          <w:szCs w:val="17"/>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65" w:lineRule="exact"/>
        <w:rPr>
          <w:rFonts w:ascii="Arial" w:cs="Arial" w:eastAsia="Arial" w:hAnsi="Arial"/>
          <w:sz w:val="17"/>
          <w:szCs w:val="17"/>
          <w:color w:val="0000EE"/>
        </w:rPr>
      </w:pPr>
    </w:p>
    <w:p>
      <w:pPr>
        <w:ind w:left="120" w:right="120"/>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88"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Axsome Therapeutics, Inc.</w:t>
      </w:r>
    </w:p>
    <w:p>
      <w:pPr>
        <w:spacing w:after="0" w:line="23"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22 Cortlandt Street</w:t>
      </w:r>
    </w:p>
    <w:p>
      <w:pPr>
        <w:jc w:val="center"/>
        <w:ind w:right="-119"/>
        <w:spacing w:after="0" w:line="181" w:lineRule="auto"/>
        <w:rPr>
          <w:sz w:val="20"/>
          <w:szCs w:val="20"/>
          <w:color w:val="auto"/>
        </w:rPr>
      </w:pPr>
      <w:r>
        <w:rPr>
          <w:rFonts w:ascii="Arial" w:cs="Arial" w:eastAsia="Arial" w:hAnsi="Arial"/>
          <w:sz w:val="18"/>
          <w:szCs w:val="18"/>
          <w:color w:val="auto"/>
        </w:rPr>
        <w:t>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New York, New York 10007</w:t>
      </w:r>
    </w:p>
    <w:p>
      <w:pPr>
        <w:spacing w:after="0" w:line="7" w:lineRule="exact"/>
        <w:rPr>
          <w:rFonts w:ascii="Arial" w:cs="Arial" w:eastAsia="Arial" w:hAnsi="Arial"/>
          <w:sz w:val="17"/>
          <w:szCs w:val="17"/>
          <w:color w:val="0000EE"/>
        </w:rPr>
      </w:pPr>
    </w:p>
    <w:p>
      <w:pPr>
        <w:ind w:left="5460" w:right="4940" w:hanging="398"/>
        <w:spacing w:after="0" w:line="517" w:lineRule="auto"/>
        <w:tabs>
          <w:tab w:leader="none" w:pos="5502" w:val="left"/>
        </w:tabs>
        <w:numPr>
          <w:ilvl w:val="0"/>
          <w:numId w:val="9"/>
        </w:numPr>
        <w:rPr>
          <w:rFonts w:ascii="Arial" w:cs="Arial" w:eastAsia="Arial" w:hAnsi="Arial"/>
          <w:sz w:val="16"/>
          <w:szCs w:val="16"/>
          <w:color w:val="auto"/>
        </w:rPr>
      </w:pPr>
      <w:r>
        <w:rPr>
          <w:rFonts w:ascii="Arial" w:cs="Arial" w:eastAsia="Arial" w:hAnsi="Arial"/>
          <w:sz w:val="16"/>
          <w:szCs w:val="16"/>
          <w:color w:val="auto"/>
        </w:rPr>
        <w:t>332-3241 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171450</wp:posOffset>
            </wp:positionV>
            <wp:extent cx="2434590" cy="694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243459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AXSOME THERAPEUTICS,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Rights to Purchase Common Stock, 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 or 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“AXSM.” On December 3, 2019, the last reported sale price of our common stock on the Nasdaq Global Market was $45.61.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320"/>
        <w:spacing w:after="0" w:line="239" w:lineRule="auto"/>
        <w:rPr>
          <w:sz w:val="20"/>
          <w:szCs w:val="20"/>
          <w:color w:val="auto"/>
        </w:rPr>
      </w:pPr>
      <w:r>
        <w:rPr>
          <w:rFonts w:ascii="Arial" w:cs="Arial" w:eastAsia="Arial" w:hAnsi="Arial"/>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5 of this prospectus.</w:t>
      </w:r>
    </w:p>
    <w:p>
      <w:pPr>
        <w:spacing w:after="0" w:line="85"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269"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December 5, 2019</w:t>
      </w:r>
    </w:p>
    <w:p>
      <w:pPr>
        <w:sectPr>
          <w:pgSz w:w="11900" w:h="16838" w:orient="portrait"/>
          <w:cols w:equalWidth="0" w:num="1">
            <w:col w:w="11100"/>
          </w:cols>
          <w:pgMar w:left="320" w:top="459" w:right="4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140" w:type="dxa"/>
            <w:vAlign w:val="bottom"/>
            <w:gridSpan w:val="16"/>
          </w:tcPr>
          <w:p>
            <w:pPr>
              <w:spacing w:after="0"/>
              <w:rPr>
                <w:sz w:val="20"/>
                <w:szCs w:val="20"/>
                <w:color w:val="auto"/>
              </w:rPr>
            </w:pPr>
            <w:r>
              <w:rPr>
                <w:rFonts w:ascii="Arial" w:cs="Arial" w:eastAsia="Arial" w:hAnsi="Arial"/>
                <w:sz w:val="18"/>
                <w:szCs w:val="18"/>
                <w:b w:val="1"/>
                <w:bCs w:val="1"/>
                <w:color w:val="0000EE"/>
              </w:rPr>
              <w:t>Table of Contents</w:t>
            </w:r>
          </w:p>
        </w:tc>
        <w:tc>
          <w:tcPr>
            <w:tcW w:w="69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5"/>
          </w:tcPr>
          <w:p>
            <w:pPr>
              <w:spacing w:after="0"/>
              <w:rPr>
                <w:sz w:val="20"/>
                <w:szCs w:val="20"/>
                <w:color w:val="auto"/>
              </w:rPr>
            </w:pPr>
            <w:r>
              <w:rPr>
                <w:rFonts w:ascii="Arial" w:cs="Arial" w:eastAsia="Arial" w:hAnsi="Arial"/>
                <w:sz w:val="18"/>
                <w:szCs w:val="18"/>
                <w:color w:val="0000EE"/>
              </w:rPr>
              <w:t>ABOUT THIS PROSPECTUS</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AXSOME THERAPEUTICS, INC</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25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1500" w:type="dxa"/>
            <w:vAlign w:val="bottom"/>
            <w:gridSpan w:val="5"/>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340" w:type="dxa"/>
            <w:vAlign w:val="bottom"/>
            <w:tcBorders>
              <w:top w:val="single" w:sz="8" w:color="0000EE"/>
            </w:tcBorders>
            <w:gridSpan w:val="8"/>
          </w:tcPr>
          <w:p>
            <w:pPr>
              <w:spacing w:after="0"/>
              <w:rPr>
                <w:sz w:val="17"/>
                <w:szCs w:val="17"/>
                <w:color w:val="auto"/>
              </w:rPr>
            </w:pPr>
          </w:p>
        </w:tc>
        <w:tc>
          <w:tcPr>
            <w:tcW w:w="1100" w:type="dxa"/>
            <w:vAlign w:val="bottom"/>
            <w:gridSpan w:val="3"/>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380" w:type="dxa"/>
            <w:vAlign w:val="bottom"/>
            <w:tcBorders>
              <w:top w:val="single" w:sz="8" w:color="0000EE"/>
            </w:tcBorders>
            <w:gridSpan w:val="2"/>
          </w:tcPr>
          <w:p>
            <w:pPr>
              <w:spacing w:after="0"/>
              <w:rPr>
                <w:sz w:val="17"/>
                <w:szCs w:val="17"/>
                <w:color w:val="auto"/>
              </w:rPr>
            </w:pPr>
          </w:p>
        </w:tc>
        <w:tc>
          <w:tcPr>
            <w:tcW w:w="1160" w:type="dxa"/>
            <w:vAlign w:val="bottom"/>
            <w:gridSpan w:val="4"/>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1000" w:type="dxa"/>
            <w:vAlign w:val="bottom"/>
            <w:gridSpan w:val="2"/>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DESCRIPTION OF RIGHTS</w:t>
            </w:r>
          </w:p>
        </w:tc>
        <w:tc>
          <w:tcPr>
            <w:tcW w:w="1880" w:type="dxa"/>
            <w:vAlign w:val="bottom"/>
            <w:gridSpan w:val="8"/>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2000" w:type="dxa"/>
            <w:vAlign w:val="bottom"/>
            <w:gridSpan w:val="10"/>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PLAN OF DISTRIBUTION</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1980" w:type="dxa"/>
            <w:vAlign w:val="bottom"/>
            <w:gridSpan w:val="9"/>
          </w:tcPr>
          <w:p>
            <w:pPr>
              <w:spacing w:after="0"/>
              <w:rPr>
                <w:sz w:val="17"/>
                <w:szCs w:val="17"/>
                <w:color w:val="auto"/>
              </w:rPr>
            </w:pP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EXPERTS</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3800" w:type="dxa"/>
            <w:vAlign w:val="bottom"/>
            <w:gridSpan w:val="1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6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This prospectus is part of an automatic “shelf” registration statement on Form S-3ASR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6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84" w:lineRule="exact"/>
        <w:rPr>
          <w:sz w:val="20"/>
          <w:szCs w:val="20"/>
          <w:color w:val="auto"/>
        </w:rPr>
      </w:pPr>
    </w:p>
    <w:p>
      <w:pPr>
        <w:ind w:left="120" w:right="500"/>
        <w:spacing w:after="0" w:line="257"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trial in major depressive disorder, or MDD, which we refer to as the GEMINI study, a Phase 3 open-label safety trial in patients with TRD and MDD; and a Phase 2/3 trial in agitation associated with Alzheimer’s disease, or AD, which we refer to as the ADVANCE-1 study. We have completed a Phase 2 trial in MDD, which we refer to as the ASCEND study and a Phase 2 trial in smoking cessation. AXS-07 is currently in two Phase 3 trials for the acute treatment of migraine, which we refer to as the MOMENTUM and the INTERCEPT studies, and a Phase 3 open-label safety trial in patients with migraine. AXS-12 is being developed for the treatment of narcolepsy. We have completed a Phase 2 trial,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178"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w:t>
      </w:r>
      <w:r>
        <w:rPr>
          <w:rFonts w:ascii="Arial" w:cs="Arial" w:eastAsia="Arial" w:hAnsi="Arial"/>
          <w:sz w:val="23"/>
          <w:szCs w:val="23"/>
          <w:color w:val="auto"/>
          <w:vertAlign w:val="superscript"/>
        </w:rPr>
        <w:t>™</w:t>
      </w:r>
      <w:r>
        <w:rPr>
          <w:rFonts w:ascii="Arial" w:cs="Arial" w:eastAsia="Arial" w:hAnsi="Arial"/>
          <w:sz w:val="16"/>
          <w:szCs w:val="16"/>
          <w:color w:val="auto"/>
        </w:rPr>
        <w:t>,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technology to substantially increase the solubility and speed the absorption of meloxicam while potentially maintaining durability of action. Meloxicam is a new molecular entity for migraine enabled by our MoSEIC</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technology. Rizatriptan is a 5-HT1B/D agonist that inhibits calcitonin gene-related peptide, or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9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as compared to the company’s first generation product candidate AXS-05 which contains racemic bupropion,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equal amounts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 and </w:t>
      </w:r>
      <w:r>
        <w:rPr>
          <w:rFonts w:ascii="Arial" w:cs="Arial" w:eastAsia="Arial" w:hAnsi="Arial"/>
          <w:sz w:val="18"/>
          <w:szCs w:val="18"/>
          <w:i w:val="1"/>
          <w:iCs w:val="1"/>
          <w:color w:val="auto"/>
        </w:rPr>
        <w:t>R</w:t>
      </w:r>
      <w:r>
        <w:rPr>
          <w:rFonts w:ascii="Arial" w:cs="Arial" w:eastAsia="Arial" w:hAnsi="Arial"/>
          <w:sz w:val="18"/>
          <w:szCs w:val="18"/>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8"/>
          <w:szCs w:val="18"/>
          <w:i w:val="1"/>
          <w:iCs w:val="1"/>
          <w:color w:val="auto"/>
        </w:rPr>
        <w:t>S</w:t>
      </w:r>
      <w:r>
        <w:rPr>
          <w:rFonts w:ascii="Arial" w:cs="Arial" w:eastAsia="Arial" w:hAnsi="Arial"/>
          <w:sz w:val="18"/>
          <w:szCs w:val="18"/>
          <w:color w:val="auto"/>
        </w:rPr>
        <w:t xml:space="preserve">-enantiomer as compared to the </w:t>
      </w:r>
      <w:r>
        <w:rPr>
          <w:rFonts w:ascii="Arial" w:cs="Arial" w:eastAsia="Arial" w:hAnsi="Arial"/>
          <w:sz w:val="18"/>
          <w:szCs w:val="18"/>
          <w:i w:val="1"/>
          <w:iCs w:val="1"/>
          <w:color w:val="auto"/>
        </w:rPr>
        <w:t>R</w:t>
      </w:r>
      <w:r>
        <w:rPr>
          <w:rFonts w:ascii="Arial" w:cs="Arial" w:eastAsia="Arial" w:hAnsi="Arial"/>
          <w:sz w:val="18"/>
          <w:szCs w:val="18"/>
          <w:color w:val="auto"/>
        </w:rPr>
        <w:t>-enantiomer.</w:t>
      </w:r>
    </w:p>
    <w:p>
      <w:pPr>
        <w:spacing w:after="0" w:line="18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17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Axsome PPC unit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AXS-06 is being developed for the treatment of osteoarthritis and rheumatoid arthritis and for the reduction of the risk of NSAID-associated gastrointestinal ulcers.</w:t>
      </w:r>
    </w:p>
    <w:p>
      <w:pPr>
        <w:spacing w:after="0" w:line="15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AXS-02, disodium zoledronate tetrahydrate, is a potentially first-in-class, oral, targeted, non-opioid therapeutic for chronic pain. AXS-02 is a potent inhibitor of osteoclasts, which are bone remodeling cells that break down bone tissue. We are developing AXS-02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AXS-02, such as inhibition of osteoclast activity. These mechanisms may result in a reduction of pain in these conditions. We intend to seek FDA approval for AXS-02 utilizing the 505(b)(2) regulatory development pathway.</w:t>
      </w:r>
    </w:p>
    <w:p>
      <w:pPr>
        <w:spacing w:after="0" w:line="192"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AXS-06 is a novel, oral, non-opioid, fixed-dose combination of MoSEIC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Tmax for meloxicam, the trial’s primary endpoint, was nine times faster for AXS-06 as compared to standard meloxicam. We intend to seek FDA approval for AXS-06 utilizing the 505(b)(2) regulatory development pathway.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979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514350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1174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514350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principal executive offices are located at 200 Broadway, 3rd Floor, New York, New York 10038,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w:t>
      </w:r>
      <w:hyperlink r:id="rId61">
        <w:r>
          <w:rPr>
            <w:rFonts w:ascii="Arial" w:cs="Arial" w:eastAsia="Arial" w:hAnsi="Arial"/>
            <w:sz w:val="17"/>
            <w:szCs w:val="17"/>
            <w:u w:val="single" w:color="auto"/>
            <w:color w:val="0000EE"/>
          </w:rPr>
          <w:t>Annual Report on Form 10-K for the year ended December 31, 2018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14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uncertainties that affect our business and our market, particularly those discussed in the “Risk Factors” section of our </w:t>
      </w:r>
      <w:hyperlink r:id="rId61">
        <w:r>
          <w:rPr>
            <w:rFonts w:ascii="Arial" w:cs="Arial" w:eastAsia="Arial" w:hAnsi="Arial"/>
            <w:sz w:val="16"/>
            <w:szCs w:val="16"/>
            <w:u w:val="single" w:color="auto"/>
            <w:color w:val="0000EE"/>
          </w:rPr>
          <w:t>Annual Report on Form 10-K for the year ended December 31,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As of November 1, 2019, there were 34,508,626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64"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2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9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 and Certain Amended and Restated Certificate of Incorporation and Amended and Restated Bylaws Provisions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52" w:lineRule="exact"/>
        <w:rPr>
          <w:sz w:val="20"/>
          <w:szCs w:val="20"/>
          <w:color w:val="auto"/>
        </w:rPr>
      </w:pPr>
    </w:p>
    <w:p>
      <w:pPr>
        <w:ind w:left="1080" w:right="2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Prohibit our stockholders from filling board vacancies, calling special stockholder meetings or taking action by written consent;</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any action instituted against our officers or directors in connection with their service to us to be brought in the state of Delaware.</w:t>
      </w:r>
    </w:p>
    <w:p>
      <w:pPr>
        <w:spacing w:after="0" w:line="24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whether or not it is desired by or beneficial to our stockholders. Any delay or prevention of a change of control transaction or changes in our board of directors could cause the market price of our common stock to decline.</w:t>
      </w:r>
    </w:p>
    <w:p>
      <w:pPr>
        <w:spacing w:after="0" w:line="170"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9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debt securities issued with them will be separately transferable;</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66"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prospectus supplement will describe the particular terms of any series of debt securities we may issue, including some or all of the following:</w:t>
      </w:r>
    </w:p>
    <w:p>
      <w:pPr>
        <w:spacing w:after="0" w:line="142"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7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6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any debt securities are convertible into or exchangeable for other securities, the related prospectus supplement will explain the terms and conditions of the conversion or exchange, including the conversion price or exchange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2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51" w:lineRule="exact"/>
        <w:rPr>
          <w:sz w:val="20"/>
          <w:szCs w:val="20"/>
          <w:color w:val="auto"/>
        </w:rPr>
      </w:pPr>
    </w:p>
    <w:p>
      <w:pPr>
        <w:ind w:left="540" w:hanging="316"/>
        <w:spacing w:after="0" w:line="27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31"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540" w:right="220" w:hanging="316"/>
        <w:spacing w:after="0" w:line="34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covenants in that indenture. However, we cannot obtain a waiver of a payment default or of any of the matters covered by the bullet points included above under “Description of Debt Securities—Modification or Waiver—Changes Requiring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76" w:lineRule="exact"/>
        <w:rPr>
          <w:sz w:val="20"/>
          <w:szCs w:val="20"/>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—Defeasance—Legal Defeasance.”</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93" w:lineRule="exact"/>
        <w:rPr>
          <w:sz w:val="20"/>
          <w:szCs w:val="20"/>
          <w:color w:val="auto"/>
        </w:rPr>
      </w:pPr>
    </w:p>
    <w:p>
      <w:pPr>
        <w:ind w:left="1080" w:right="8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must deliver to the trustee certain documentation stating that all conditions precedent to covenant defeasance have been complied with.</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1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71" w:lineRule="exact"/>
        <w:rPr>
          <w:sz w:val="20"/>
          <w:szCs w:val="20"/>
          <w:color w:val="auto"/>
        </w:rPr>
      </w:pPr>
    </w:p>
    <w:p>
      <w:pPr>
        <w:ind w:left="1080" w:right="8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20" w:hanging="424"/>
        <w:spacing w:after="0" w:line="273"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case of rights to purchase debt securities, the principal amount of debt securities purchasable upon exercise of one right;</w:t>
      </w:r>
    </w:p>
    <w:p>
      <w:pPr>
        <w:spacing w:after="0" w:line="142"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jc w:val="both"/>
        <w:ind w:left="120" w:right="200"/>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3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320" w:top="459" w:right="5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overallotment and stabilizing transactions and purchases to cover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8"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4"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validity of the securities being offered hereby will be passed upon for us by DLA Piper LLP (US), Short Hills, New Jersey.</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rFonts w:ascii="Arial" w:cs="Arial" w:eastAsia="Arial" w:hAnsi="Arial"/>
          <w:sz w:val="18"/>
          <w:szCs w:val="18"/>
          <w:color w:val="0000EE"/>
        </w:rPr>
      </w:pPr>
      <w:hyperlink r:id="rId61">
        <w:r>
          <w:rPr>
            <w:rFonts w:ascii="Arial" w:cs="Arial" w:eastAsia="Arial" w:hAnsi="Arial"/>
            <w:sz w:val="18"/>
            <w:szCs w:val="18"/>
            <w:color w:val="auto"/>
          </w:rPr>
          <w:t xml:space="preserve">Ernst &amp; Young LLP, independent registered public accounting firm, has audited our consolidated financial statements included in our </w:t>
        </w:r>
        <w:r>
          <w:rPr>
            <w:rFonts w:ascii="Arial" w:cs="Arial" w:eastAsia="Arial" w:hAnsi="Arial"/>
            <w:sz w:val="18"/>
            <w:szCs w:val="18"/>
            <w:u w:val="single" w:color="auto"/>
            <w:color w:val="0000EE"/>
          </w:rPr>
          <w:t>Annual Report on</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Form 10-K for the year ended December 31, 2018,</w:t>
        </w:r>
        <w:r>
          <w:rPr>
            <w:rFonts w:ascii="Arial" w:cs="Arial" w:eastAsia="Arial" w:hAnsi="Arial"/>
            <w:sz w:val="18"/>
            <w:szCs w:val="18"/>
            <w:color w:val="0000EE"/>
          </w:rPr>
          <w:t xml:space="preserve"> </w:t>
        </w:r>
        <w:r>
          <w:rPr>
            <w:rFonts w:ascii="Arial" w:cs="Arial" w:eastAsia="Arial" w:hAnsi="Arial"/>
            <w:sz w:val="18"/>
            <w:szCs w:val="18"/>
            <w:color w:val="000000"/>
          </w:rPr>
          <w:t>as set forth in their report, which is incorporated by reference in this prospectus and elsewhere in the</w:t>
        </w:r>
      </w:hyperlink>
      <w:r>
        <w:rPr>
          <w:rFonts w:ascii="Arial" w:cs="Arial" w:eastAsia="Arial" w:hAnsi="Arial"/>
          <w:sz w:val="18"/>
          <w:szCs w:val="18"/>
          <w:color w:val="0000EE"/>
        </w:rPr>
        <w:t xml:space="preserve"> </w:t>
      </w:r>
      <w:r>
        <w:rPr>
          <w:rFonts w:ascii="Arial" w:cs="Arial" w:eastAsia="Arial" w:hAnsi="Arial"/>
          <w:sz w:val="18"/>
          <w:szCs w:val="18"/>
          <w:color w:val="000000"/>
        </w:rPr>
        <w:t>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8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our Annual Report on Form 10-K for the fiscal year ended December 31, 2018 filed with the SEC on March 15, 2019;</w:t>
        </w:r>
      </w:hyperlink>
    </w:p>
    <w:p>
      <w:pPr>
        <w:spacing w:after="0" w:line="130" w:lineRule="exact"/>
        <w:rPr>
          <w:rFonts w:ascii="Arial" w:cs="Arial" w:eastAsia="Arial" w:hAnsi="Arial"/>
          <w:sz w:val="18"/>
          <w:szCs w:val="18"/>
          <w:u w:val="single" w:color="auto"/>
          <w:color w:val="0000EE"/>
        </w:rPr>
      </w:pPr>
    </w:p>
    <w:p>
      <w:pPr>
        <w:ind w:left="1080" w:right="140" w:hanging="424"/>
        <w:spacing w:after="0" w:line="342" w:lineRule="auto"/>
        <w:tabs>
          <w:tab w:leader="none" w:pos="1080" w:val="left"/>
        </w:tabs>
        <w:numPr>
          <w:ilvl w:val="0"/>
          <w:numId w:val="32"/>
        </w:numPr>
        <w:rPr>
          <w:rFonts w:ascii="Arial" w:cs="Arial" w:eastAsia="Arial" w:hAnsi="Arial"/>
          <w:sz w:val="16"/>
          <w:szCs w:val="16"/>
          <w:color w:val="0000EE"/>
        </w:rPr>
      </w:pPr>
      <w:hyperlink r:id="rId85">
        <w:r>
          <w:rPr>
            <w:rFonts w:ascii="Arial" w:cs="Arial" w:eastAsia="Arial" w:hAnsi="Arial"/>
            <w:sz w:val="16"/>
            <w:szCs w:val="16"/>
            <w:u w:val="single" w:color="auto"/>
            <w:color w:val="0000EE"/>
          </w:rPr>
          <w:t>the information contained in our definitive proxy statement on Schedule 14A for our 2019 annual meeting of stockholders filed with the</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SEC on April 26, 2019, to the extent incorporated by reference in Part III of the Form 10-K for the fiscal year ended December 31, 2018</w:t>
        </w:r>
      </w:hyperlink>
      <w:r>
        <w:rPr>
          <w:rFonts w:ascii="Arial" w:cs="Arial" w:eastAsia="Arial" w:hAnsi="Arial"/>
          <w:sz w:val="16"/>
          <w:szCs w:val="16"/>
          <w:color w:val="000000"/>
        </w:rPr>
        <w:t>;</w:t>
      </w:r>
    </w:p>
    <w:p>
      <w:pPr>
        <w:spacing w:after="0" w:line="29" w:lineRule="exact"/>
        <w:rPr>
          <w:rFonts w:ascii="Arial" w:cs="Arial" w:eastAsia="Arial" w:hAnsi="Arial"/>
          <w:sz w:val="16"/>
          <w:szCs w:val="16"/>
          <w:color w:val="0000EE"/>
        </w:rPr>
      </w:pPr>
    </w:p>
    <w:p>
      <w:pPr>
        <w:ind w:left="1080" w:hanging="424"/>
        <w:spacing w:after="0"/>
        <w:tabs>
          <w:tab w:leader="none" w:pos="1080" w:val="left"/>
        </w:tabs>
        <w:numPr>
          <w:ilvl w:val="0"/>
          <w:numId w:val="32"/>
        </w:numPr>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our Quarterly Report on Form 10-Q for the quarter ended March 31, 2019 filed with the SEC on May 9, 2019;</w:t>
        </w:r>
      </w:hyperlink>
    </w:p>
    <w:p>
      <w:pPr>
        <w:spacing w:after="0" w:line="130" w:lineRule="exact"/>
        <w:rPr>
          <w:rFonts w:ascii="Arial" w:cs="Arial" w:eastAsia="Arial" w:hAnsi="Arial"/>
          <w:sz w:val="18"/>
          <w:szCs w:val="18"/>
          <w:u w:val="single" w:color="auto"/>
          <w:color w:val="0000EE"/>
        </w:rPr>
      </w:pPr>
    </w:p>
    <w:p>
      <w:pPr>
        <w:ind w:left="1080" w:hanging="424"/>
        <w:spacing w:after="0"/>
        <w:tabs>
          <w:tab w:leader="none" w:pos="1080" w:val="left"/>
        </w:tabs>
        <w:numPr>
          <w:ilvl w:val="0"/>
          <w:numId w:val="32"/>
        </w:numPr>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our Quarterly Report on Form 10-Q for the quarter ended June 30, 2019 filed with the SEC on August 8, 2019;</w:t>
        </w:r>
      </w:hyperlink>
    </w:p>
    <w:p>
      <w:pPr>
        <w:spacing w:after="0" w:line="130" w:lineRule="exact"/>
        <w:rPr>
          <w:rFonts w:ascii="Arial" w:cs="Arial" w:eastAsia="Arial" w:hAnsi="Arial"/>
          <w:sz w:val="18"/>
          <w:szCs w:val="18"/>
          <w:u w:val="single" w:color="auto"/>
          <w:color w:val="0000EE"/>
        </w:rPr>
      </w:pPr>
    </w:p>
    <w:p>
      <w:pPr>
        <w:ind w:left="1080" w:hanging="424"/>
        <w:spacing w:after="0"/>
        <w:tabs>
          <w:tab w:leader="none" w:pos="1080" w:val="left"/>
        </w:tabs>
        <w:numPr>
          <w:ilvl w:val="0"/>
          <w:numId w:val="32"/>
        </w:numPr>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our Quarterly Report on Form 10-Q for the quarter ended September 30, 2019 filed with the SEC on November 7, 2019;</w:t>
        </w:r>
      </w:hyperlink>
    </w:p>
    <w:p>
      <w:pPr>
        <w:spacing w:after="0" w:line="130" w:lineRule="exact"/>
        <w:rPr>
          <w:rFonts w:ascii="Arial" w:cs="Arial" w:eastAsia="Arial" w:hAnsi="Arial"/>
          <w:sz w:val="18"/>
          <w:szCs w:val="18"/>
          <w:u w:val="single" w:color="auto"/>
          <w:color w:val="0000EE"/>
        </w:rPr>
      </w:pPr>
    </w:p>
    <w:p>
      <w:pPr>
        <w:ind w:left="1080" w:right="160" w:hanging="424"/>
        <w:spacing w:after="0" w:line="279" w:lineRule="auto"/>
        <w:tabs>
          <w:tab w:leader="none" w:pos="1080" w:val="left"/>
        </w:tabs>
        <w:numPr>
          <w:ilvl w:val="0"/>
          <w:numId w:val="32"/>
        </w:numPr>
        <w:rPr>
          <w:rFonts w:ascii="Arial" w:cs="Arial" w:eastAsia="Arial" w:hAnsi="Arial"/>
          <w:sz w:val="17"/>
          <w:szCs w:val="17"/>
          <w:color w:val="0000EE"/>
        </w:rPr>
      </w:pPr>
      <w:hyperlink r:id="rId89">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7, 2019 (two filings); January 8, 2019; January 30, 2019; February 6,</w:t>
        </w:r>
      </w:hyperlink>
      <w:r>
        <w:rPr>
          <w:rFonts w:ascii="Arial" w:cs="Arial" w:eastAsia="Arial" w:hAnsi="Arial"/>
          <w:sz w:val="17"/>
          <w:szCs w:val="17"/>
          <w:color w:val="auto"/>
        </w:rPr>
        <w:t xml:space="preserve"> </w:t>
      </w:r>
      <w:hyperlink r:id="rId90">
        <w:r>
          <w:rPr>
            <w:rFonts w:ascii="Arial" w:cs="Arial" w:eastAsia="Arial" w:hAnsi="Arial"/>
            <w:sz w:val="17"/>
            <w:szCs w:val="17"/>
            <w:u w:val="single" w:color="auto"/>
            <w:color w:val="0000EE"/>
          </w:rPr>
          <w:t>2019; March 4, 2019; March 6, 2019; March 14,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27,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9, 2019 (two filings); June</w:t>
        </w:r>
      </w:hyperlink>
      <w:r>
        <w:rPr>
          <w:rFonts w:ascii="Arial" w:cs="Arial" w:eastAsia="Arial" w:hAnsi="Arial"/>
          <w:sz w:val="17"/>
          <w:szCs w:val="17"/>
          <w:color w:val="0000EE"/>
        </w:rPr>
        <w:t xml:space="preserve"> </w:t>
      </w:r>
      <w:hyperlink r:id="rId91">
        <w:r>
          <w:rPr>
            <w:rFonts w:ascii="Arial" w:cs="Arial" w:eastAsia="Arial" w:hAnsi="Arial"/>
            <w:sz w:val="17"/>
            <w:szCs w:val="17"/>
            <w:u w:val="single" w:color="auto"/>
            <w:color w:val="0000EE"/>
          </w:rPr>
          <w:t>7, 2019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June 24,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July 11,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July 29,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August 8,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August 20,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September 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w:t>
        </w:r>
      </w:hyperlink>
      <w:r>
        <w:rPr>
          <w:rFonts w:ascii="Arial" w:cs="Arial" w:eastAsia="Arial" w:hAnsi="Arial"/>
          <w:sz w:val="17"/>
          <w:szCs w:val="17"/>
          <w:color w:val="0000EE"/>
        </w:rPr>
        <w:t xml:space="preserve"> </w:t>
      </w:r>
      <w:hyperlink r:id="rId91">
        <w:r>
          <w:rPr>
            <w:rFonts w:ascii="Arial" w:cs="Arial" w:eastAsia="Arial" w:hAnsi="Arial"/>
            <w:sz w:val="17"/>
            <w:szCs w:val="17"/>
            <w:u w:val="single" w:color="auto"/>
            <w:color w:val="0000EE"/>
          </w:rPr>
          <w:t>16, 2019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92">
        <w:r>
          <w:rPr>
            <w:rFonts w:ascii="Arial" w:cs="Arial" w:eastAsia="Arial" w:hAnsi="Arial"/>
            <w:sz w:val="17"/>
            <w:szCs w:val="17"/>
            <w:u w:val="single" w:color="auto"/>
            <w:color w:val="0000EE"/>
          </w:rPr>
          <w:t>October 21, 2019</w:t>
        </w:r>
      </w:hyperlink>
      <w:hyperlink r:id="rId91">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93">
        <w:r>
          <w:rPr>
            <w:rFonts w:ascii="Arial" w:cs="Arial" w:eastAsia="Arial" w:hAnsi="Arial"/>
            <w:sz w:val="17"/>
            <w:szCs w:val="17"/>
            <w:u w:val="single" w:color="auto"/>
            <w:color w:val="0000EE"/>
          </w:rPr>
          <w:t xml:space="preserve">October 28, 2019 </w:t>
        </w:r>
      </w:hyperlink>
      <w:hyperlink r:id="rId94">
        <w:r>
          <w:rPr>
            <w:rFonts w:ascii="Arial" w:cs="Arial" w:eastAsia="Arial" w:hAnsi="Arial"/>
            <w:sz w:val="17"/>
            <w:szCs w:val="17"/>
            <w:u w:val="single" w:color="auto"/>
            <w:color w:val="0000EE"/>
          </w:rPr>
          <w:t xml:space="preserve">(two filings); </w:t>
        </w:r>
      </w:hyperlink>
      <w:hyperlink r:id="rId95">
        <w:r>
          <w:rPr>
            <w:rFonts w:ascii="Arial" w:cs="Arial" w:eastAsia="Arial" w:hAnsi="Arial"/>
            <w:sz w:val="17"/>
            <w:szCs w:val="17"/>
            <w:u w:val="single" w:color="auto"/>
            <w:color w:val="0000EE"/>
          </w:rPr>
          <w:t xml:space="preserve">November 7, 2019 </w:t>
        </w:r>
      </w:hyperlink>
      <w:hyperlink r:id="rId96">
        <w:r>
          <w:rPr>
            <w:rFonts w:ascii="Arial" w:cs="Arial" w:eastAsia="Arial" w:hAnsi="Arial"/>
            <w:sz w:val="17"/>
            <w:szCs w:val="17"/>
            <w:u w:val="single" w:color="auto"/>
            <w:color w:val="0000EE"/>
          </w:rPr>
          <w:t xml:space="preserve">(two filings) </w:t>
        </w:r>
      </w:hyperlink>
      <w:hyperlink r:id="rId91">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97">
        <w:r>
          <w:rPr>
            <w:rFonts w:ascii="Arial" w:cs="Arial" w:eastAsia="Arial" w:hAnsi="Arial"/>
            <w:sz w:val="17"/>
            <w:szCs w:val="17"/>
            <w:u w:val="single" w:color="auto"/>
            <w:color w:val="0000EE"/>
          </w:rPr>
          <w:t>December 3, 2019</w:t>
        </w:r>
      </w:hyperlink>
      <w:hyperlink r:id="rId91">
        <w:r>
          <w:rPr>
            <w:rFonts w:ascii="Arial" w:cs="Arial" w:eastAsia="Arial" w:hAnsi="Arial"/>
            <w:sz w:val="17"/>
            <w:szCs w:val="17"/>
            <w:color w:val="000000"/>
          </w:rPr>
          <w:t>; and</w:t>
        </w:r>
      </w:hyperlink>
    </w:p>
    <w:p>
      <w:pPr>
        <w:spacing w:after="0" w:line="76" w:lineRule="exact"/>
        <w:rPr>
          <w:rFonts w:ascii="Arial" w:cs="Arial" w:eastAsia="Arial" w:hAnsi="Arial"/>
          <w:sz w:val="17"/>
          <w:szCs w:val="17"/>
          <w:color w:val="0000EE"/>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0000EE"/>
        </w:rPr>
      </w:pPr>
      <w:hyperlink r:id="rId98">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 A12B, filed with the SEC on November 16, 2015</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(File No. 001-37635)</w:t>
        </w:r>
        <w:r>
          <w:rPr>
            <w:rFonts w:ascii="Arial" w:cs="Arial" w:eastAsia="Arial" w:hAnsi="Arial"/>
            <w:sz w:val="18"/>
            <w:szCs w:val="18"/>
            <w:color w:val="000000"/>
          </w:rPr>
          <w:t>, and all amendments or reports filed for the purpose of updating such description.</w:t>
        </w:r>
      </w:hyperlink>
    </w:p>
    <w:p>
      <w:pPr>
        <w:spacing w:after="0" w:line="170" w:lineRule="exact"/>
        <w:rPr>
          <w:rFonts w:ascii="Arial" w:cs="Arial" w:eastAsia="Arial" w:hAnsi="Arial"/>
          <w:sz w:val="18"/>
          <w:szCs w:val="18"/>
          <w:color w:val="auto"/>
        </w:rPr>
      </w:pPr>
    </w:p>
    <w:p>
      <w:pPr>
        <w:ind w:left="120" w:right="100"/>
        <w:spacing w:after="0" w:line="293" w:lineRule="auto"/>
        <w:rPr>
          <w:sz w:val="20"/>
          <w:szCs w:val="20"/>
          <w:color w:val="auto"/>
        </w:rPr>
      </w:pPr>
      <w:r>
        <w:rPr>
          <w:rFonts w:ascii="Arial" w:cs="Arial" w:eastAsia="Arial" w:hAnsi="Arial"/>
          <w:sz w:val="16"/>
          <w:szCs w:val="16"/>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w:t>
      </w:r>
    </w:p>
    <w:p>
      <w:pPr>
        <w:spacing w:after="0" w:line="97"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these documents unless the exhibits are specifically incorporated by reference into these documents or referred to in this prospectus), free of charge, by writing or calling us at the following address and telephone number:</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ind w:left="5280" w:right="4840" w:hanging="183"/>
        <w:spacing w:after="0" w:line="323" w:lineRule="auto"/>
        <w:tabs>
          <w:tab w:leader="none" w:pos="54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38" w:lineRule="exact"/>
        <w:rPr>
          <w:sz w:val="20"/>
          <w:szCs w:val="20"/>
          <w:color w:val="auto"/>
        </w:rPr>
      </w:pPr>
    </w:p>
    <w:p>
      <w:pPr>
        <w:ind w:left="5500" w:hanging="431"/>
        <w:spacing w:after="0"/>
        <w:tabs>
          <w:tab w:leader="none" w:pos="5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332 3241</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000"/>
          </w:cols>
          <w:pgMar w:left="320" w:top="459" w:right="57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965835</wp:posOffset>
            </wp:positionV>
            <wp:extent cx="2434590" cy="694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2434590" cy="6940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Rights to Purchase Common Stock, Preferred Stock, Debt Securities or Units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Up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340360</wp:posOffset>
            </wp:positionV>
            <wp:extent cx="1859915" cy="1071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185991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2059"/>
        <w:spacing w:after="0"/>
        <w:rPr>
          <w:sz w:val="20"/>
          <w:szCs w:val="20"/>
          <w:color w:val="auto"/>
        </w:rPr>
      </w:pPr>
      <w:r>
        <w:rPr>
          <w:rFonts w:ascii="Arial" w:cs="Arial" w:eastAsia="Arial" w:hAnsi="Arial"/>
          <w:sz w:val="43"/>
          <w:szCs w:val="43"/>
          <w:b w:val="1"/>
          <w:bCs w:val="1"/>
          <w:color w:val="auto"/>
        </w:rPr>
        <w:t>Axsome Therapeutics, Inc.</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00"/>
        <w:spacing w:after="0"/>
        <w:rPr>
          <w:sz w:val="20"/>
          <w:szCs w:val="20"/>
          <w:color w:val="auto"/>
        </w:rPr>
      </w:pPr>
      <w:r>
        <w:rPr>
          <w:rFonts w:ascii="Arial" w:cs="Arial" w:eastAsia="Arial" w:hAnsi="Arial"/>
          <w:sz w:val="29"/>
          <w:szCs w:val="29"/>
          <w:b w:val="1"/>
          <w:bCs w:val="1"/>
          <w:color w:val="auto"/>
        </w:rPr>
        <w:t>SVB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1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Form</w:t>
            </w:r>
          </w:p>
        </w:tc>
        <w:tc>
          <w:tcPr>
            <w:tcW w:w="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6"/>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7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75"/>
              </w:rPr>
              <w:t>Fee</w:t>
            </w:r>
            <w:r>
              <w:rPr>
                <w:rFonts w:ascii="Arial" w:cs="Arial" w:eastAsia="Arial" w:hAnsi="Arial"/>
                <w:sz w:val="18"/>
                <w:szCs w:val="18"/>
                <w:color w:val="auto"/>
                <w:w w:val="75"/>
                <w:vertAlign w:val="superscript"/>
              </w:rPr>
              <w:t>(1)</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8"/>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r>
      <w:tr>
        <w:trPr>
          <w:trHeight w:val="230"/>
        </w:trPr>
        <w:tc>
          <w:tcPr>
            <w:tcW w:w="118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right="284"/>
              <w:spacing w:after="0"/>
              <w:rPr>
                <w:sz w:val="20"/>
                <w:szCs w:val="20"/>
                <w:color w:val="auto"/>
              </w:rPr>
            </w:pPr>
            <w:r>
              <w:rPr>
                <w:rFonts w:ascii="Arial" w:cs="Arial" w:eastAsia="Arial" w:hAnsi="Arial"/>
                <w:sz w:val="18"/>
                <w:szCs w:val="18"/>
                <w:color w:val="auto"/>
                <w:w w:val="89"/>
              </w:rPr>
              <w:t>Newly Registered Securities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15"/>
        </w:trPr>
        <w:tc>
          <w:tcPr>
            <w:tcW w:w="11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par value $0.0001</w:t>
            </w: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51"/>
        </w:trPr>
        <w:tc>
          <w:tcPr>
            <w:tcW w:w="11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457(o) and 457(r)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$250,000,000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$0.0000927</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$23,175</w:t>
            </w:r>
          </w:p>
        </w:tc>
        <w:tc>
          <w:tcPr>
            <w:tcW w:w="52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r>
      <w:tr>
        <w:trPr>
          <w:trHeight w:val="215"/>
        </w:trPr>
        <w:tc>
          <w:tcPr>
            <w:tcW w:w="11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79"/>
              </w:rPr>
              <w:t>Fees</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Previously</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7"/>
        </w:trPr>
        <w:tc>
          <w:tcPr>
            <w:tcW w:w="11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8"/>
              </w:rPr>
              <w:t>Paid</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right="284"/>
              <w:spacing w:after="0"/>
              <w:rPr>
                <w:sz w:val="20"/>
                <w:szCs w:val="20"/>
                <w:color w:val="auto"/>
              </w:rPr>
            </w:pPr>
            <w:r>
              <w:rPr>
                <w:rFonts w:ascii="Arial" w:cs="Arial" w:eastAsia="Arial" w:hAnsi="Arial"/>
                <w:sz w:val="18"/>
                <w:szCs w:val="18"/>
                <w:color w:val="auto"/>
                <w:w w:val="91"/>
              </w:rPr>
              <w:t>Carry Forward Securities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15"/>
        </w:trPr>
        <w:tc>
          <w:tcPr>
            <w:tcW w:w="11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Carry</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0"/>
              </w:rPr>
              <w:t>Forward</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7"/>
        </w:trPr>
        <w:tc>
          <w:tcPr>
            <w:tcW w:w="11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1"/>
              </w:rPr>
              <w:t>Securities</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Offering Amounts</w:t>
            </w:r>
          </w:p>
        </w:tc>
        <w:tc>
          <w:tcPr>
            <w:tcW w:w="6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$250,000,000</w:t>
            </w: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$23,175</w:t>
            </w: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90"/>
              </w:rPr>
              <w:t>Total Fees Previously Paid</w:t>
            </w:r>
          </w:p>
        </w:tc>
        <w:tc>
          <w:tcPr>
            <w:tcW w:w="6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6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r>
        <w:trPr>
          <w:trHeight w:val="236"/>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Fees Due</w:t>
            </w:r>
          </w:p>
        </w:tc>
        <w:tc>
          <w:tcPr>
            <w:tcW w:w="6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$23,175</w:t>
            </w:r>
          </w:p>
        </w:tc>
        <w:tc>
          <w:tcPr>
            <w:tcW w:w="5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jc w:val="both"/>
        <w:ind w:left="424" w:right="260" w:hanging="424"/>
        <w:spacing w:after="0" w:line="263"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in accordance with Rules 457(o) and 457(r) under the Securities Act of 1933, as amended (the “Securities Act”). In accordance with Rules 456(b) and 457(r) of the Securities Act, as amended, the registrant initially deferred payment of all of the registration fee for Registration Statement No. 333-235372 filed by the registrant on December 5, 2019.</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212"/>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200"/>
    </w:lvl>
  </w:abstractNum>
  <w:abstractNum w:abstractNumId="33">
    <w:nsid w:val="419AC241"/>
    <w:multiLevelType w:val="hybridMultilevel"/>
    <w:lvl w:ilvl="0">
      <w:lvlJc w:val="left"/>
      <w:lvlText w:val="(%1)"/>
      <w:numFmt w:val="decimal"/>
      <w:start w:val="212"/>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jpe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jpeg"/><Relationship Id="rId58" Type="http://schemas.openxmlformats.org/officeDocument/2006/relationships/image" Target="media/image35.png"/><Relationship Id="rId59" Type="http://schemas.openxmlformats.org/officeDocument/2006/relationships/image" Target="media/image36.jpeg"/><Relationship Id="rId60"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jpe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jpe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32" Type="http://schemas.openxmlformats.org/officeDocument/2006/relationships/hyperlink" Target="http://www.sec.gov/ix?doc=/Archives/edgar/data/0001579428/000095017022002568/axsm-20211231.htm" TargetMode="External"/><Relationship Id="rId33" Type="http://schemas.openxmlformats.org/officeDocument/2006/relationships/hyperlink" Target="http://www.sec.gov/ix?doc=/Archives/edgar/data/0001579428/000095017022006901/axsm-20220331.htm" TargetMode="External"/><Relationship Id="rId34" Type="http://schemas.openxmlformats.org/officeDocument/2006/relationships/hyperlink" Target="http://www.sec.gov/ix?doc=/Archives/edgar/data/0001579428/000095017022016143/axsm-20220630.htm" TargetMode="External"/><Relationship Id="rId35" Type="http://schemas.openxmlformats.org/officeDocument/2006/relationships/hyperlink" Target="http://www.sec.gov/Archives/edgar/data/0001579428/000095017022006020/axsm_2022_proxy_4.xx.22_.htm" TargetMode="External"/><Relationship Id="rId36" Type="http://schemas.openxmlformats.org/officeDocument/2006/relationships/hyperlink" Target="http://www.sec.gov/ix?doc=/Archives/edgar/data/0001579428/000095017022000347/axsm-20220118.htm" TargetMode="External"/><Relationship Id="rId37" Type="http://schemas.openxmlformats.org/officeDocument/2006/relationships/hyperlink" Target="http://www.sec.gov/ix?doc=/Archives/edgar/data/0001579428/000095017022000827/axsm-20220207.htm" TargetMode="External"/><Relationship Id="rId38" Type="http://schemas.openxmlformats.org/officeDocument/2006/relationships/hyperlink" Target="http://www.sec.gov/ix?doc=/Archives/edgar/data/0001579428/000095017022002576/axsm-20220301.htm" TargetMode="External"/><Relationship Id="rId39" Type="http://schemas.openxmlformats.org/officeDocument/2006/relationships/hyperlink" Target="http://www.sec.gov/ix?doc=/Archives/edgar/data/0001579428/000095017022010892/axsm-20220531.htm" TargetMode="External"/><Relationship Id="rId40" Type="http://schemas.openxmlformats.org/officeDocument/2006/relationships/hyperlink" Target="http://www.sec.gov/ix?doc=/Archives/edgar/data/0001579428/000095017022010980/axsm-20220601.htm" TargetMode="External"/><Relationship Id="rId41" Type="http://schemas.openxmlformats.org/officeDocument/2006/relationships/hyperlink" Target="http://www.sec.gov/ix?doc=/Archives/edgar/data/0001579428/000095017022011048/axsm-20220602.htm" TargetMode="External"/><Relationship Id="rId42" Type="http://schemas.openxmlformats.org/officeDocument/2006/relationships/hyperlink" Target="http://www.sec.gov/ix?doc=/Archives/edgar/data/1579428/000095017022011269/axsm-20220603.htm" TargetMode="External"/><Relationship Id="rId43" Type="http://schemas.openxmlformats.org/officeDocument/2006/relationships/hyperlink" Target="http://www.sec.gov/ix?doc=/Archives/edgar/data/0001579428/000095017022012137/axsm-20220624.htm" TargetMode="External"/><Relationship Id="rId44" Type="http://schemas.openxmlformats.org/officeDocument/2006/relationships/hyperlink" Target="http://www.sec.gov/ix?doc=/Archives/edgar/data/0001579428/000095017022012281/axsm-20220628.htm" TargetMode="External"/><Relationship Id="rId45" Type="http://schemas.openxmlformats.org/officeDocument/2006/relationships/hyperlink" Target="http://www.sec.gov/ix?doc=/Archives/edgar/data/0001579428/000095017022012884/axsm-20220509.htm" TargetMode="External"/><Relationship Id="rId46" Type="http://schemas.openxmlformats.org/officeDocument/2006/relationships/hyperlink" Target="http://www.sec.gov/ix?doc=/Archives/edgar/data/0001579428/000119312522224610/d367288d8k.htm" TargetMode="External"/><Relationship Id="rId47" Type="http://schemas.openxmlformats.org/officeDocument/2006/relationships/hyperlink" Target="http://www.sec.gov/Archives/edgar/data/1579428/000155837020002573/axsm-20191231ex4132a1d5e.htm" TargetMode="External"/><Relationship Id="rId61" Type="http://schemas.openxmlformats.org/officeDocument/2006/relationships/hyperlink" Target="http://www.sec.gov/Archives/edgar/data/1579428/000155837019002068/axsm-20181231x10k.htm" TargetMode="External"/><Relationship Id="rId85" Type="http://schemas.openxmlformats.org/officeDocument/2006/relationships/hyperlink" Target="http://www.sec.gov/Archives/edgar/data/1579428/000155837019003404/axsm-20190607xdef14a.htm" TargetMode="External"/><Relationship Id="rId86" Type="http://schemas.openxmlformats.org/officeDocument/2006/relationships/hyperlink" Target="http://www.sec.gov/Archives/edgar/data/1579428/000155837019004564/axsm-20190331x10q.htm" TargetMode="External"/><Relationship Id="rId87" Type="http://schemas.openxmlformats.org/officeDocument/2006/relationships/hyperlink" Target="http://www.sec.gov/Archives/edgar/data/1579428/000155837019007735/axsm-20190630x10q.htm" TargetMode="External"/><Relationship Id="rId88" Type="http://schemas.openxmlformats.org/officeDocument/2006/relationships/hyperlink" Target="http://www.sec.gov/Archives/edgar/data/1579428/000155837019010432/axsm-20190930x10q.htm" TargetMode="External"/><Relationship Id="rId89" Type="http://schemas.openxmlformats.org/officeDocument/2006/relationships/hyperlink" Target="http://www.sec.gov/Archives/edgar/data/1579428/000155837019000393/f8-k.htm" TargetMode="External"/><Relationship Id="rId90" Type="http://schemas.openxmlformats.org/officeDocument/2006/relationships/hyperlink" Target="http://www.sec.gov/Archives/edgar/data/1579428/000110465919034566/a19-11255_18k.htm" TargetMode="External"/><Relationship Id="rId91" Type="http://schemas.openxmlformats.org/officeDocument/2006/relationships/hyperlink" Target="http://www.sec.gov/Archives/edgar/data/1579428/000155837019008916/f8-k.htm" TargetMode="External"/><Relationship Id="rId92" Type="http://schemas.openxmlformats.org/officeDocument/2006/relationships/hyperlink" Target="http://www.sec.gov/Archives/edgar/data/1579428/000155837019008972/f8-k.htm" TargetMode="External"/><Relationship Id="rId93" Type="http://schemas.openxmlformats.org/officeDocument/2006/relationships/hyperlink" Target="http://www.sec.gov/Archives/edgar/data/1579428/000155837019009181/f8-k.htm" TargetMode="External"/><Relationship Id="rId94" Type="http://schemas.openxmlformats.org/officeDocument/2006/relationships/hyperlink" Target="http://www.sec.gov/Archives/edgar/data/1579428/000155837019009183/f8-k.htm" TargetMode="External"/><Relationship Id="rId95" Type="http://schemas.openxmlformats.org/officeDocument/2006/relationships/hyperlink" Target="http://www.sec.gov/Archives/edgar/data/1579428/000155837019010279/f8-k.htm" TargetMode="External"/><Relationship Id="rId96" Type="http://schemas.openxmlformats.org/officeDocument/2006/relationships/hyperlink" Target="http://www.sec.gov/Archives/edgar/data/1579428/000155837019010421/f8-k.htm" TargetMode="External"/><Relationship Id="rId97" Type="http://schemas.openxmlformats.org/officeDocument/2006/relationships/hyperlink" Target="http://www.sec.gov/Archives/edgar/data/1579428/000110465919069244/tm1924374-1_8k.htm" TargetMode="External"/><Relationship Id="rId98" Type="http://schemas.openxmlformats.org/officeDocument/2006/relationships/hyperlink" Target="http://www.sec.gov/Archives/edgar/data/1579428/000110465915079272/a15-17626_6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2022-08-22T05:12:47Z</dcterms:created>
  <dcterms:modified xsi:type="dcterms:W3CDTF">2022-08-22T05:12:47Z</dcterms:modified>
</cp:coreProperties>
</file>