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4"/>
          <w:szCs w:val="24"/>
          <w:color w:val="auto"/>
        </w:rPr>
      </w:pPr>
    </w:p>
    <w:p>
      <w:pPr>
        <w:spacing w:after="0" w:line="28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jc w:val="right"/>
        <w:spacing w:after="0"/>
        <w:rPr>
          <w:sz w:val="20"/>
          <w:szCs w:val="20"/>
          <w:color w:val="auto"/>
        </w:rPr>
      </w:pPr>
      <w:r>
        <w:rPr>
          <w:rFonts w:ascii="Arial" w:cs="Arial" w:eastAsia="Arial" w:hAnsi="Arial"/>
          <w:sz w:val="18"/>
          <w:szCs w:val="18"/>
          <w:b w:val="1"/>
          <w:bCs w:val="1"/>
          <w:color w:val="auto"/>
        </w:rPr>
        <w:t>Registration No. 333-235372</w:t>
      </w:r>
    </w:p>
    <w:p>
      <w:pPr>
        <w:spacing w:after="0" w:line="109" w:lineRule="exact"/>
        <w:rPr>
          <w:sz w:val="24"/>
          <w:szCs w:val="24"/>
          <w:color w:val="auto"/>
        </w:rPr>
      </w:pPr>
    </w:p>
    <w:p>
      <w:pPr>
        <w:ind w:left="6" w:right="120"/>
        <w:spacing w:after="0" w:line="249" w:lineRule="auto"/>
        <w:rPr>
          <w:sz w:val="20"/>
          <w:szCs w:val="20"/>
          <w:color w:val="auto"/>
        </w:rPr>
      </w:pPr>
      <w:r>
        <w:rPr>
          <w:rFonts w:ascii="Arial" w:cs="Arial" w:eastAsia="Arial" w:hAnsi="Arial"/>
          <w:sz w:val="16"/>
          <w:szCs w:val="16"/>
          <w:b w:val="1"/>
          <w:bCs w:val="1"/>
          <w:color w:val="FF0000"/>
        </w:rPr>
        <w:t>The information in this preliminary prospectus supplement is not complete and may be changed. A registration statement relating to these securities has become effective by rule of the Securities and Exchange Commission. This preliminary prospectus supplement and the accompanying prospectus are not an offer to sell these securities, and we are not soliciting offers to buy these securities, in any state or other jurisdiction where the offer or sale is not permitted.</w:t>
      </w:r>
    </w:p>
    <w:p>
      <w:pPr>
        <w:spacing w:after="0" w:line="97" w:lineRule="exact"/>
        <w:rPr>
          <w:sz w:val="24"/>
          <w:szCs w:val="24"/>
          <w:color w:val="auto"/>
        </w:rPr>
      </w:pPr>
    </w:p>
    <w:p>
      <w:pPr>
        <w:ind w:left="2266"/>
        <w:spacing w:after="0"/>
        <w:rPr>
          <w:sz w:val="20"/>
          <w:szCs w:val="20"/>
          <w:color w:val="auto"/>
        </w:rPr>
      </w:pPr>
      <w:r>
        <w:rPr>
          <w:rFonts w:ascii="Arial" w:cs="Arial" w:eastAsia="Arial" w:hAnsi="Arial"/>
          <w:sz w:val="18"/>
          <w:szCs w:val="18"/>
          <w:b w:val="1"/>
          <w:bCs w:val="1"/>
          <w:color w:val="FF0000"/>
        </w:rPr>
        <w:t>SUBJECT TO COMPLETION, DATED DECEMBER 18, 2019</w:t>
      </w:r>
    </w:p>
    <w:p>
      <w:pPr>
        <w:spacing w:after="0" w:line="117" w:lineRule="exact"/>
        <w:rPr>
          <w:sz w:val="24"/>
          <w:szCs w:val="24"/>
          <w:color w:val="auto"/>
        </w:rPr>
      </w:pPr>
    </w:p>
    <w:p>
      <w:pPr>
        <w:ind w:left="6"/>
        <w:spacing w:after="0"/>
        <w:rPr>
          <w:sz w:val="20"/>
          <w:szCs w:val="20"/>
          <w:color w:val="auto"/>
        </w:rPr>
      </w:pPr>
      <w:r>
        <w:rPr>
          <w:rFonts w:ascii="Arial" w:cs="Arial" w:eastAsia="Arial" w:hAnsi="Arial"/>
          <w:sz w:val="18"/>
          <w:szCs w:val="18"/>
          <w:b w:val="1"/>
          <w:bCs w:val="1"/>
          <w:color w:val="auto"/>
        </w:rPr>
        <w:t>PROSPECTUS SUPPLEMENT</w:t>
      </w:r>
    </w:p>
    <w:p>
      <w:pPr>
        <w:ind w:left="6"/>
        <w:spacing w:after="0"/>
        <w:rPr>
          <w:sz w:val="20"/>
          <w:szCs w:val="20"/>
          <w:color w:val="auto"/>
        </w:rPr>
      </w:pPr>
      <w:r>
        <w:rPr>
          <w:rFonts w:ascii="Arial" w:cs="Arial" w:eastAsia="Arial" w:hAnsi="Arial"/>
          <w:sz w:val="18"/>
          <w:szCs w:val="18"/>
          <w:b w:val="1"/>
          <w:bCs w:val="1"/>
          <w:color w:val="auto"/>
        </w:rPr>
        <w:t>(To Prospectus dated December 5, 2019)</w:t>
      </w:r>
    </w:p>
    <w:p>
      <w:pPr>
        <w:spacing w:after="0" w:line="113" w:lineRule="exact"/>
        <w:rPr>
          <w:sz w:val="24"/>
          <w:szCs w:val="24"/>
          <w:color w:val="auto"/>
        </w:rPr>
      </w:pPr>
    </w:p>
    <w:p>
      <w:pPr>
        <w:ind w:left="5606"/>
        <w:spacing w:after="0"/>
        <w:rPr>
          <w:sz w:val="20"/>
          <w:szCs w:val="20"/>
          <w:color w:val="auto"/>
        </w:rPr>
      </w:pPr>
      <w:r>
        <w:rPr>
          <w:rFonts w:ascii="Arial" w:cs="Arial" w:eastAsia="Arial" w:hAnsi="Arial"/>
          <w:sz w:val="22"/>
          <w:szCs w:val="22"/>
          <w:b w:val="1"/>
          <w:bCs w:val="1"/>
          <w:color w:val="auto"/>
        </w:rPr>
        <w:t>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1767840</wp:posOffset>
            </wp:positionH>
            <wp:positionV relativeFrom="paragraph">
              <wp:posOffset>172720</wp:posOffset>
            </wp:positionV>
            <wp:extent cx="2432685" cy="751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32685" cy="751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5"/>
        <w:spacing w:after="0"/>
        <w:rPr>
          <w:sz w:val="20"/>
          <w:szCs w:val="20"/>
          <w:color w:val="auto"/>
        </w:rPr>
      </w:pPr>
      <w:r>
        <w:rPr>
          <w:rFonts w:ascii="Arial" w:cs="Arial" w:eastAsia="Arial" w:hAnsi="Arial"/>
          <w:sz w:val="22"/>
          <w:szCs w:val="22"/>
          <w:b w:val="1"/>
          <w:bCs w:val="1"/>
          <w:color w:val="auto"/>
        </w:rPr>
        <w:t>Axsome Therapeutics, Inc.</w:t>
      </w:r>
    </w:p>
    <w:p>
      <w:pPr>
        <w:spacing w:after="0" w:line="137" w:lineRule="exact"/>
        <w:rPr>
          <w:sz w:val="24"/>
          <w:szCs w:val="24"/>
          <w:color w:val="auto"/>
        </w:rPr>
      </w:pPr>
    </w:p>
    <w:p>
      <w:pPr>
        <w:jc w:val="center"/>
        <w:ind w:right="-5"/>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2237105</wp:posOffset>
            </wp:positionH>
            <wp:positionV relativeFrom="paragraph">
              <wp:posOffset>70485</wp:posOffset>
            </wp:positionV>
            <wp:extent cx="14935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93520" cy="8255"/>
                    </a:xfrm>
                    <a:prstGeom prst="rect">
                      <a:avLst/>
                    </a:prstGeom>
                    <a:noFill/>
                  </pic:spPr>
                </pic:pic>
              </a:graphicData>
            </a:graphic>
          </wp:anchor>
        </w:drawing>
      </w:r>
    </w:p>
    <w:p>
      <w:pPr>
        <w:spacing w:after="0" w:line="188" w:lineRule="exact"/>
        <w:rPr>
          <w:sz w:val="24"/>
          <w:szCs w:val="24"/>
          <w:color w:val="auto"/>
        </w:rPr>
      </w:pPr>
    </w:p>
    <w:p>
      <w:pPr>
        <w:ind w:left="6" w:right="360"/>
        <w:spacing w:after="0" w:line="239" w:lineRule="auto"/>
        <w:rPr>
          <w:sz w:val="20"/>
          <w:szCs w:val="20"/>
          <w:color w:val="auto"/>
        </w:rPr>
      </w:pPr>
      <w:r>
        <w:rPr>
          <w:rFonts w:ascii="Arial" w:cs="Arial" w:eastAsia="Arial" w:hAnsi="Arial"/>
          <w:sz w:val="16"/>
          <w:szCs w:val="16"/>
          <w:color w:val="auto"/>
        </w:rPr>
        <w:t>We are offering shares of our common stock. Our common stock is listed on the Nasdaq Global Market under the symbol “AXSM.” On December 17, 2019, the last reported sale price of our common stock was $80.97 per share.</w:t>
      </w:r>
    </w:p>
    <w:p>
      <w:pPr>
        <w:spacing w:after="0" w:line="64" w:lineRule="exact"/>
        <w:rPr>
          <w:sz w:val="24"/>
          <w:szCs w:val="24"/>
          <w:color w:val="auto"/>
        </w:rPr>
      </w:pPr>
    </w:p>
    <w:p>
      <w:pPr>
        <w:ind w:left="6" w:right="480"/>
        <w:spacing w:after="0" w:line="239" w:lineRule="auto"/>
        <w:rPr>
          <w:sz w:val="20"/>
          <w:szCs w:val="20"/>
          <w:color w:val="auto"/>
        </w:rPr>
      </w:pPr>
      <w:r>
        <w:rPr>
          <w:rFonts w:ascii="Arial" w:cs="Arial" w:eastAsia="Arial" w:hAnsi="Arial"/>
          <w:sz w:val="16"/>
          <w:szCs w:val="16"/>
          <w:color w:val="auto"/>
        </w:rPr>
        <w:t>We are an emerging growth company as that term is used in the Jumpstart Our Business Startups Act of 2012 and, as such, have elected to comply with certain reduced public company reporting requirements.</w:t>
      </w:r>
    </w:p>
    <w:p>
      <w:pPr>
        <w:spacing w:after="0" w:line="60" w:lineRule="exact"/>
        <w:rPr>
          <w:sz w:val="24"/>
          <w:szCs w:val="24"/>
          <w:color w:val="auto"/>
        </w:rPr>
      </w:pPr>
    </w:p>
    <w:p>
      <w:pPr>
        <w:ind w:left="6" w:right="180"/>
        <w:spacing w:after="0" w:line="244" w:lineRule="auto"/>
        <w:rPr>
          <w:sz w:val="20"/>
          <w:szCs w:val="20"/>
          <w:color w:val="auto"/>
        </w:rPr>
      </w:pPr>
      <w:r>
        <w:rPr>
          <w:rFonts w:ascii="Arial" w:cs="Arial" w:eastAsia="Arial" w:hAnsi="Arial"/>
          <w:sz w:val="16"/>
          <w:szCs w:val="16"/>
          <w:b w:val="1"/>
          <w:bCs w:val="1"/>
          <w:color w:val="auto"/>
        </w:rPr>
        <w:t>Investing in our common stock involves a high degree of risk. See “Risk Factors” beginning on page S-4 of this prospectus and the risk factors in the documents incorporated by reference in this prospectus.</w:t>
      </w:r>
    </w:p>
    <w:p>
      <w:pPr>
        <w:spacing w:after="0" w:line="56" w:lineRule="exact"/>
        <w:rPr>
          <w:sz w:val="24"/>
          <w:szCs w:val="24"/>
          <w:color w:val="auto"/>
        </w:rPr>
      </w:pPr>
    </w:p>
    <w:p>
      <w:pPr>
        <w:ind w:left="6" w:right="60"/>
        <w:spacing w:after="0" w:line="276"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78" w:lineRule="exact"/>
        <w:rPr>
          <w:sz w:val="24"/>
          <w:szCs w:val="24"/>
          <w:color w:val="auto"/>
        </w:rPr>
      </w:pPr>
    </w:p>
    <w:tbl>
      <w:tblPr>
        <w:tblLayout w:type="fixed"/>
        <w:tblInd w:w="2006"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Per</w:t>
            </w:r>
          </w:p>
        </w:tc>
        <w:tc>
          <w:tcPr>
            <w:tcW w:w="720" w:type="dxa"/>
            <w:vAlign w:val="bottom"/>
            <w:vMerge w:val="restart"/>
          </w:tcPr>
          <w:p>
            <w:pPr>
              <w:jc w:val="right"/>
              <w:ind w:right="10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8"/>
        </w:trPr>
        <w:tc>
          <w:tcPr>
            <w:tcW w:w="3660" w:type="dxa"/>
            <w:vAlign w:val="bottom"/>
            <w:vMerge w:val="restart"/>
          </w:tcPr>
          <w:p>
            <w:pPr>
              <w:spacing w:after="0"/>
              <w:rPr>
                <w:sz w:val="20"/>
                <w:szCs w:val="20"/>
                <w:color w:val="auto"/>
              </w:rPr>
            </w:pPr>
            <w:r>
              <w:rPr>
                <w:rFonts w:ascii="Arial" w:cs="Arial" w:eastAsia="Arial" w:hAnsi="Arial"/>
                <w:sz w:val="16"/>
                <w:szCs w:val="16"/>
                <w:color w:val="auto"/>
              </w:rPr>
              <w:t>Public offering price</w:t>
            </w: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Share</w:t>
            </w: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660" w:type="dxa"/>
            <w:vAlign w:val="bottom"/>
            <w:vMerge w:val="continue"/>
          </w:tcPr>
          <w:p>
            <w:pPr>
              <w:spacing w:after="0"/>
              <w:rPr>
                <w:sz w:val="11"/>
                <w:szCs w:val="11"/>
                <w:color w:val="auto"/>
              </w:rPr>
            </w:pPr>
          </w:p>
        </w:tc>
        <w:tc>
          <w:tcPr>
            <w:tcW w:w="740" w:type="dxa"/>
            <w:vAlign w:val="bottom"/>
            <w:tcBorders>
              <w:top w:val="single" w:sz="8" w:color="auto"/>
            </w:tcBorders>
          </w:tcPr>
          <w:p>
            <w:pPr>
              <w:jc w:val="right"/>
              <w:ind w:right="280"/>
              <w:spacing w:after="0" w:line="131" w:lineRule="exact"/>
              <w:rPr>
                <w:sz w:val="20"/>
                <w:szCs w:val="20"/>
                <w:color w:val="auto"/>
              </w:rPr>
            </w:pPr>
            <w:r>
              <w:rPr>
                <w:rFonts w:ascii="Arial" w:cs="Arial" w:eastAsia="Arial" w:hAnsi="Arial"/>
                <w:sz w:val="15"/>
                <w:szCs w:val="15"/>
                <w:color w:val="auto"/>
              </w:rPr>
              <w:t>$</w:t>
            </w:r>
          </w:p>
        </w:tc>
        <w:tc>
          <w:tcPr>
            <w:tcW w:w="340" w:type="dxa"/>
            <w:vAlign w:val="bottom"/>
          </w:tcPr>
          <w:p>
            <w:pPr>
              <w:spacing w:after="0"/>
              <w:rPr>
                <w:sz w:val="11"/>
                <w:szCs w:val="11"/>
                <w:color w:val="auto"/>
              </w:rPr>
            </w:pPr>
          </w:p>
        </w:tc>
        <w:tc>
          <w:tcPr>
            <w:tcW w:w="720" w:type="dxa"/>
            <w:vAlign w:val="bottom"/>
            <w:tcBorders>
              <w:top w:val="single" w:sz="8" w:color="auto"/>
            </w:tcBorders>
          </w:tcPr>
          <w:p>
            <w:pPr>
              <w:jc w:val="right"/>
              <w:ind w:right="281"/>
              <w:spacing w:after="0" w:line="13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1"/>
        </w:trPr>
        <w:tc>
          <w:tcPr>
            <w:tcW w:w="3660" w:type="dxa"/>
            <w:vAlign w:val="bottom"/>
          </w:tcPr>
          <w:p>
            <w:pPr>
              <w:spacing w:after="0" w:line="162" w:lineRule="exact"/>
              <w:rPr>
                <w:sz w:val="20"/>
                <w:szCs w:val="20"/>
                <w:color w:val="auto"/>
              </w:rPr>
            </w:pPr>
            <w:r>
              <w:rPr>
                <w:rFonts w:ascii="Arial" w:cs="Arial" w:eastAsia="Arial" w:hAnsi="Arial"/>
                <w:sz w:val="16"/>
                <w:szCs w:val="16"/>
                <w:color w:val="auto"/>
              </w:rPr>
              <w:t>Underwriting discounts and commissions</w:t>
            </w:r>
            <w:r>
              <w:rPr>
                <w:rFonts w:ascii="Arial" w:cs="Arial" w:eastAsia="Arial" w:hAnsi="Arial"/>
                <w:sz w:val="17"/>
                <w:szCs w:val="17"/>
                <w:color w:val="auto"/>
                <w:vertAlign w:val="superscript"/>
              </w:rPr>
              <w:t>(1)</w:t>
            </w:r>
          </w:p>
        </w:tc>
        <w:tc>
          <w:tcPr>
            <w:tcW w:w="740" w:type="dxa"/>
            <w:vAlign w:val="bottom"/>
          </w:tcPr>
          <w:p>
            <w:pPr>
              <w:jc w:val="right"/>
              <w:ind w:right="280"/>
              <w:spacing w:after="0" w:line="161"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4"/>
                <w:szCs w:val="14"/>
                <w:color w:val="auto"/>
              </w:rPr>
            </w:pPr>
          </w:p>
        </w:tc>
        <w:tc>
          <w:tcPr>
            <w:tcW w:w="720" w:type="dxa"/>
            <w:vAlign w:val="bottom"/>
          </w:tcPr>
          <w:p>
            <w:pPr>
              <w:jc w:val="right"/>
              <w:ind w:right="281"/>
              <w:spacing w:after="0" w:line="16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660" w:type="dxa"/>
            <w:vAlign w:val="bottom"/>
          </w:tcPr>
          <w:p>
            <w:pPr>
              <w:spacing w:after="0"/>
              <w:rPr>
                <w:sz w:val="20"/>
                <w:szCs w:val="20"/>
                <w:color w:val="auto"/>
              </w:rPr>
            </w:pPr>
            <w:r>
              <w:rPr>
                <w:rFonts w:ascii="Arial" w:cs="Arial" w:eastAsia="Arial" w:hAnsi="Arial"/>
                <w:sz w:val="16"/>
                <w:szCs w:val="16"/>
                <w:color w:val="auto"/>
              </w:rPr>
              <w:t>Proceeds, before expenses, to us</w:t>
            </w:r>
          </w:p>
        </w:tc>
        <w:tc>
          <w:tcPr>
            <w:tcW w:w="74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72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71" w:lineRule="exact"/>
        <w:rPr>
          <w:sz w:val="24"/>
          <w:szCs w:val="24"/>
          <w:color w:val="auto"/>
        </w:rPr>
      </w:pPr>
    </w:p>
    <w:p>
      <w:pPr>
        <w:ind w:left="226" w:hanging="226"/>
        <w:spacing w:after="0"/>
        <w:tabs>
          <w:tab w:leader="none" w:pos="226" w:val="left"/>
        </w:tabs>
        <w:numPr>
          <w:ilvl w:val="0"/>
          <w:numId w:val="1"/>
        </w:numPr>
        <w:rPr>
          <w:rFonts w:ascii="Arial" w:cs="Arial" w:eastAsia="Arial" w:hAnsi="Arial"/>
          <w:sz w:val="16"/>
          <w:szCs w:val="16"/>
          <w:b w:val="1"/>
          <w:bCs w:val="1"/>
          <w:color w:val="auto"/>
        </w:rPr>
      </w:pPr>
      <w:r>
        <w:rPr>
          <w:rFonts w:ascii="Arial" w:cs="Arial" w:eastAsia="Arial" w:hAnsi="Arial"/>
          <w:sz w:val="16"/>
          <w:szCs w:val="16"/>
          <w:color w:val="auto"/>
        </w:rPr>
        <w:t>We have agreed to reimburse the underwriters for certain expenses. See “Underwriting.”</w:t>
      </w:r>
    </w:p>
    <w:p>
      <w:pPr>
        <w:sectPr>
          <w:pgSz w:w="11900" w:h="16838" w:orient="portrait"/>
          <w:cols w:equalWidth="0" w:num="1">
            <w:col w:w="9406"/>
          </w:cols>
          <w:pgMar w:left="1254" w:top="219" w:right="1239" w:bottom="1440" w:gutter="0" w:footer="0" w:header="0"/>
        </w:sectPr>
      </w:pPr>
    </w:p>
    <w:p>
      <w:pPr>
        <w:spacing w:after="0" w:line="85" w:lineRule="exact"/>
        <w:rPr>
          <w:sz w:val="24"/>
          <w:szCs w:val="24"/>
          <w:color w:val="auto"/>
        </w:rPr>
      </w:pPr>
    </w:p>
    <w:p>
      <w:pPr>
        <w:ind w:left="6"/>
        <w:spacing w:after="0" w:line="239" w:lineRule="auto"/>
        <w:rPr>
          <w:sz w:val="20"/>
          <w:szCs w:val="20"/>
          <w:color w:val="auto"/>
        </w:rPr>
      </w:pPr>
      <w:r>
        <w:rPr>
          <w:rFonts w:ascii="Arial" w:cs="Arial" w:eastAsia="Arial" w:hAnsi="Arial"/>
          <w:sz w:val="16"/>
          <w:szCs w:val="16"/>
          <w:color w:val="auto"/>
        </w:rPr>
        <w:t>We have granted the underwriters an option for 30 days from the date of this prospectus supplement to purchase up to our common stock. See “Underwriting” for more information.</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rPr>
          <w:sz w:val="20"/>
          <w:szCs w:val="20"/>
          <w:color w:val="auto"/>
        </w:rPr>
      </w:pPr>
      <w:r>
        <w:rPr>
          <w:rFonts w:ascii="Arial" w:cs="Arial" w:eastAsia="Arial" w:hAnsi="Arial"/>
          <w:sz w:val="14"/>
          <w:szCs w:val="14"/>
          <w:color w:val="auto"/>
        </w:rPr>
        <w:t>additional shares of</w:t>
      </w:r>
    </w:p>
    <w:p>
      <w:pPr>
        <w:spacing w:after="0" w:line="269" w:lineRule="exact"/>
        <w:rPr>
          <w:sz w:val="24"/>
          <w:szCs w:val="24"/>
          <w:color w:val="auto"/>
        </w:rPr>
      </w:pPr>
    </w:p>
    <w:p>
      <w:pPr>
        <w:sectPr>
          <w:pgSz w:w="11900" w:h="16838" w:orient="portrait"/>
          <w:cols w:equalWidth="0" w:num="2">
            <w:col w:w="7586" w:space="340"/>
            <w:col w:w="1480"/>
          </w:cols>
          <w:pgMar w:left="1254" w:top="219" w:right="1239" w:bottom="1440" w:gutter="0" w:footer="0" w:header="0"/>
          <w:type w:val="continuous"/>
        </w:sectPr>
      </w:pPr>
    </w:p>
    <w:p>
      <w:pPr>
        <w:ind w:left="6"/>
        <w:spacing w:after="0"/>
        <w:rPr>
          <w:sz w:val="20"/>
          <w:szCs w:val="20"/>
          <w:color w:val="auto"/>
        </w:rPr>
      </w:pPr>
      <w:r>
        <w:rPr>
          <w:rFonts w:ascii="Arial" w:cs="Arial" w:eastAsia="Arial" w:hAnsi="Arial"/>
          <w:sz w:val="14"/>
          <w:szCs w:val="14"/>
          <w:color w:val="auto"/>
        </w:rPr>
        <w:t>The underwriters expect to deliver the shares to the investors on or about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 2019.</w:t>
      </w:r>
    </w:p>
    <w:p>
      <w:pPr>
        <w:spacing w:after="0" w:line="92" w:lineRule="exact"/>
        <w:rPr>
          <w:sz w:val="24"/>
          <w:szCs w:val="24"/>
          <w:color w:val="auto"/>
        </w:rPr>
      </w:pPr>
    </w:p>
    <w:p>
      <w:pPr>
        <w:sectPr>
          <w:pgSz w:w="11900" w:h="16838" w:orient="portrait"/>
          <w:cols w:equalWidth="0" w:num="2">
            <w:col w:w="5106" w:space="720"/>
            <w:col w:w="3580"/>
          </w:cols>
          <w:pgMar w:left="1254" w:top="219" w:right="1239" w:bottom="1440" w:gutter="0" w:footer="0" w:header="0"/>
          <w:type w:val="continuous"/>
        </w:sectPr>
      </w:pPr>
    </w:p>
    <w:p>
      <w:pPr>
        <w:jc w:val="center"/>
        <w:ind w:right="14"/>
        <w:spacing w:after="0"/>
        <w:rPr>
          <w:sz w:val="20"/>
          <w:szCs w:val="20"/>
          <w:color w:val="auto"/>
        </w:rPr>
      </w:pPr>
      <w:r>
        <w:rPr>
          <w:rFonts w:ascii="Arial" w:cs="Arial" w:eastAsia="Arial" w:hAnsi="Arial"/>
          <w:sz w:val="18"/>
          <w:szCs w:val="18"/>
          <w:b w:val="1"/>
          <w:bCs w:val="1"/>
          <w:i w:val="1"/>
          <w:iCs w:val="1"/>
          <w:color w:val="auto"/>
        </w:rPr>
        <w:t>Sole Bookrunning Manager</w:t>
      </w:r>
    </w:p>
    <w:p>
      <w:pPr>
        <w:spacing w:after="0" w:line="111" w:lineRule="exact"/>
        <w:rPr>
          <w:sz w:val="24"/>
          <w:szCs w:val="24"/>
          <w:color w:val="auto"/>
        </w:rPr>
      </w:pPr>
    </w:p>
    <w:p>
      <w:pPr>
        <w:jc w:val="center"/>
        <w:ind w:right="14"/>
        <w:spacing w:after="0"/>
        <w:rPr>
          <w:sz w:val="20"/>
          <w:szCs w:val="20"/>
          <w:color w:val="auto"/>
        </w:rPr>
      </w:pPr>
      <w:r>
        <w:rPr>
          <w:rFonts w:ascii="Arial" w:cs="Arial" w:eastAsia="Arial" w:hAnsi="Arial"/>
          <w:sz w:val="29"/>
          <w:szCs w:val="29"/>
          <w:b w:val="1"/>
          <w:bCs w:val="1"/>
          <w:color w:val="auto"/>
        </w:rPr>
        <w:t>SVB Leerink</w:t>
      </w:r>
    </w:p>
    <w:p>
      <w:pPr>
        <w:spacing w:after="0" w:line="155" w:lineRule="exact"/>
        <w:rPr>
          <w:sz w:val="24"/>
          <w:szCs w:val="24"/>
          <w:color w:val="auto"/>
        </w:rPr>
      </w:pPr>
    </w:p>
    <w:p>
      <w:pPr>
        <w:jc w:val="center"/>
        <w:ind w:right="14"/>
        <w:spacing w:after="0"/>
        <w:tabs>
          <w:tab w:leader="none" w:pos="160" w:val="left"/>
        </w:tabs>
        <w:rPr>
          <w:sz w:val="20"/>
          <w:szCs w:val="20"/>
          <w:color w:val="auto"/>
        </w:rPr>
      </w:pPr>
      <w:r>
        <w:rPr>
          <w:rFonts w:ascii="Arial" w:cs="Arial" w:eastAsia="Arial" w:hAnsi="Arial"/>
          <w:sz w:val="18"/>
          <w:szCs w:val="18"/>
          <w:color w:val="auto"/>
        </w:rPr>
        <w:t>The date of this prospectus supplement is December</w:t>
      </w:r>
      <w:r>
        <w:rPr>
          <w:sz w:val="20"/>
          <w:szCs w:val="20"/>
          <w:color w:val="auto"/>
        </w:rPr>
        <w:tab/>
      </w:r>
      <w:r>
        <w:rPr>
          <w:rFonts w:ascii="Arial" w:cs="Arial" w:eastAsia="Arial" w:hAnsi="Arial"/>
          <w:sz w:val="15"/>
          <w:szCs w:val="15"/>
          <w:color w:val="auto"/>
        </w:rPr>
        <w:t>,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944880</wp:posOffset>
            </wp:positionV>
            <wp:extent cx="596646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406"/>
          </w:cols>
          <w:pgMar w:left="1254" w:top="219" w:right="123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700" w:type="dxa"/>
            <w:vAlign w:val="bottom"/>
            <w:gridSpan w:val="2"/>
          </w:tcPr>
          <w:p>
            <w:pPr>
              <w:ind w:left="900"/>
              <w:spacing w:after="0"/>
              <w:rPr>
                <w:sz w:val="20"/>
                <w:szCs w:val="20"/>
                <w:color w:val="auto"/>
              </w:rPr>
            </w:pPr>
            <w:r>
              <w:rPr>
                <w:rFonts w:ascii="Arial" w:cs="Arial" w:eastAsia="Arial" w:hAnsi="Arial"/>
                <w:sz w:val="18"/>
                <w:szCs w:val="18"/>
                <w:b w:val="1"/>
                <w:bCs w:val="1"/>
                <w:color w:val="auto"/>
              </w:rPr>
              <w:t>TABLE OF CONTENTS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8"/>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342"/>
        </w:trPr>
        <w:tc>
          <w:tcPr>
            <w:tcW w:w="8540" w:type="dxa"/>
            <w:vAlign w:val="bottom"/>
            <w:gridSpan w:val="21"/>
          </w:tcPr>
          <w:p>
            <w:pPr>
              <w:spacing w:after="0"/>
              <w:rPr>
                <w:sz w:val="20"/>
                <w:szCs w:val="20"/>
                <w:color w:val="auto"/>
              </w:rPr>
            </w:pPr>
            <w:r>
              <w:rPr>
                <w:rFonts w:ascii="Arial" w:cs="Arial" w:eastAsia="Arial" w:hAnsi="Arial"/>
                <w:sz w:val="18"/>
                <w:szCs w:val="18"/>
                <w:b w:val="1"/>
                <w:bCs w:val="1"/>
                <w:color w:val="auto"/>
              </w:rPr>
              <w:t>Prospectus Supplement</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540" w:type="dxa"/>
            <w:vAlign w:val="bottom"/>
            <w:gridSpan w:val="21"/>
          </w:tcPr>
          <w:p>
            <w:pPr>
              <w:spacing w:after="0" w:line="189" w:lineRule="exact"/>
              <w:rPr>
                <w:rFonts w:ascii="Arial" w:cs="Arial" w:eastAsia="Arial" w:hAnsi="Arial"/>
                <w:sz w:val="18"/>
                <w:szCs w:val="18"/>
                <w:color w:val="0000EE"/>
              </w:rPr>
            </w:pPr>
            <w:hyperlink w:anchor="page3">
              <w:r>
                <w:rPr>
                  <w:rFonts w:ascii="Arial" w:cs="Arial" w:eastAsia="Arial" w:hAnsi="Arial"/>
                  <w:sz w:val="18"/>
                  <w:szCs w:val="18"/>
                  <w:color w:val="0000EE"/>
                </w:rPr>
                <w:t>About this Prospectus Supplement</w:t>
              </w:r>
            </w:hyperlink>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S-iii</w:t>
            </w:r>
          </w:p>
        </w:tc>
        <w:tc>
          <w:tcPr>
            <w:tcW w:w="0" w:type="dxa"/>
            <w:vAlign w:val="bottom"/>
          </w:tcPr>
          <w:p>
            <w:pPr>
              <w:spacing w:after="0" w:line="20" w:lineRule="exact"/>
              <w:rPr>
                <w:sz w:val="1"/>
                <w:szCs w:val="1"/>
                <w:color w:val="auto"/>
              </w:rPr>
            </w:pPr>
          </w:p>
        </w:tc>
      </w:tr>
      <w:tr>
        <w:trPr>
          <w:trHeight w:val="168"/>
        </w:trPr>
        <w:tc>
          <w:tcPr>
            <w:tcW w:w="8540" w:type="dxa"/>
            <w:vAlign w:val="bottom"/>
            <w:gridSpan w:val="21"/>
          </w:tcPr>
          <w:p>
            <w:pPr>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Cautionary Note Regarding Forward-Looking Statements</w:t>
              </w:r>
            </w:hyperlink>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20" w:type="dxa"/>
            <w:vAlign w:val="bottom"/>
            <w:tcBorders>
              <w:top w:val="single" w:sz="8" w:color="0000EE"/>
            </w:tcBorders>
            <w:gridSpan w:val="20"/>
          </w:tcPr>
          <w:p>
            <w:pPr>
              <w:spacing w:after="0" w:line="169" w:lineRule="exact"/>
              <w:rPr>
                <w:rFonts w:ascii="Arial" w:cs="Arial" w:eastAsia="Arial" w:hAnsi="Arial"/>
                <w:sz w:val="18"/>
                <w:szCs w:val="18"/>
                <w:color w:val="0000EE"/>
              </w:rPr>
            </w:pPr>
            <w:hyperlink w:anchor="page5">
              <w:r>
                <w:rPr>
                  <w:rFonts w:ascii="Arial" w:cs="Arial" w:eastAsia="Arial" w:hAnsi="Arial"/>
                  <w:sz w:val="18"/>
                  <w:szCs w:val="18"/>
                  <w:color w:val="0000EE"/>
                </w:rPr>
                <w:t>Prospectus Supplement Summary</w:t>
              </w:r>
            </w:hyperlink>
          </w:p>
        </w:tc>
        <w:tc>
          <w:tcPr>
            <w:tcW w:w="4420" w:type="dxa"/>
            <w:vAlign w:val="bottom"/>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68"/>
        </w:trPr>
        <w:tc>
          <w:tcPr>
            <w:tcW w:w="900" w:type="dxa"/>
            <w:vAlign w:val="bottom"/>
            <w:tcBorders>
              <w:top w:val="single" w:sz="8" w:color="0000EE"/>
              <w:bottom w:val="single" w:sz="8" w:color="0000EE"/>
            </w:tcBorders>
            <w:gridSpan w:val="3"/>
          </w:tcPr>
          <w:p>
            <w:pPr>
              <w:spacing w:after="0" w:line="169"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Risk Factors</w:t>
              </w:r>
            </w:hyperlink>
          </w:p>
        </w:tc>
        <w:tc>
          <w:tcPr>
            <w:tcW w:w="1560" w:type="dxa"/>
            <w:vAlign w:val="bottom"/>
            <w:tcBorders>
              <w:top w:val="single" w:sz="8" w:color="0000EE"/>
            </w:tcBorders>
            <w:gridSpan w:val="14"/>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700" w:type="dxa"/>
            <w:vAlign w:val="bottom"/>
            <w:gridSpan w:val="2"/>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168"/>
        </w:trPr>
        <w:tc>
          <w:tcPr>
            <w:tcW w:w="8540" w:type="dxa"/>
            <w:vAlign w:val="bottom"/>
            <w:gridSpan w:val="21"/>
          </w:tcPr>
          <w:p>
            <w:pPr>
              <w:spacing w:after="0" w:line="169" w:lineRule="exact"/>
              <w:rPr>
                <w:rFonts w:ascii="Arial" w:cs="Arial" w:eastAsia="Arial" w:hAnsi="Arial"/>
                <w:sz w:val="18"/>
                <w:szCs w:val="18"/>
                <w:color w:val="0000EE"/>
              </w:rPr>
            </w:pPr>
            <w:hyperlink w:anchor="page14">
              <w:r>
                <w:rPr>
                  <w:rFonts w:ascii="Arial" w:cs="Arial" w:eastAsia="Arial" w:hAnsi="Arial"/>
                  <w:sz w:val="18"/>
                  <w:szCs w:val="18"/>
                  <w:color w:val="0000EE"/>
                </w:rPr>
                <w:t>Use of Proceeds</w:t>
              </w:r>
            </w:hyperlink>
          </w:p>
        </w:tc>
        <w:tc>
          <w:tcPr>
            <w:tcW w:w="860" w:type="dxa"/>
            <w:vAlign w:val="bottom"/>
          </w:tcPr>
          <w:p>
            <w:pPr>
              <w:jc w:val="right"/>
              <w:spacing w:after="0" w:line="169" w:lineRule="exact"/>
              <w:rPr>
                <w:sz w:val="20"/>
                <w:szCs w:val="20"/>
                <w:color w:val="auto"/>
              </w:rPr>
            </w:pPr>
            <w:r>
              <w:rPr>
                <w:rFonts w:ascii="Arial" w:cs="Arial" w:eastAsia="Arial" w:hAnsi="Arial"/>
                <w:sz w:val="18"/>
                <w:szCs w:val="18"/>
                <w:color w:val="auto"/>
              </w:rPr>
              <w:t>S-10</w:t>
            </w:r>
          </w:p>
        </w:tc>
        <w:tc>
          <w:tcPr>
            <w:tcW w:w="0" w:type="dxa"/>
            <w:vAlign w:val="bottom"/>
          </w:tcPr>
          <w:p>
            <w:pPr>
              <w:spacing w:after="0"/>
              <w:rPr>
                <w:sz w:val="1"/>
                <w:szCs w:val="1"/>
                <w:color w:val="auto"/>
              </w:rPr>
            </w:pPr>
          </w:p>
        </w:tc>
      </w:tr>
      <w:tr>
        <w:trPr>
          <w:trHeight w:val="168"/>
        </w:trPr>
        <w:tc>
          <w:tcPr>
            <w:tcW w:w="600" w:type="dxa"/>
            <w:vAlign w:val="bottom"/>
            <w:tcBorders>
              <w:top w:val="single" w:sz="8" w:color="0000EE"/>
              <w:bottom w:val="single" w:sz="8" w:color="0000EE"/>
            </w:tcBorders>
            <w:gridSpan w:val="2"/>
          </w:tcPr>
          <w:p>
            <w:pPr>
              <w:spacing w:after="0" w:line="169" w:lineRule="exact"/>
              <w:rPr>
                <w:rFonts w:ascii="Arial" w:cs="Arial" w:eastAsia="Arial" w:hAnsi="Arial"/>
                <w:sz w:val="18"/>
                <w:szCs w:val="18"/>
                <w:color w:val="0000EE"/>
                <w:w w:val="96"/>
              </w:rPr>
            </w:pPr>
            <w:hyperlink w:anchor="page15">
              <w:r>
                <w:rPr>
                  <w:rFonts w:ascii="Arial" w:cs="Arial" w:eastAsia="Arial" w:hAnsi="Arial"/>
                  <w:sz w:val="18"/>
                  <w:szCs w:val="18"/>
                  <w:color w:val="0000EE"/>
                  <w:w w:val="96"/>
                </w:rPr>
                <w:t>Dilution</w:t>
              </w:r>
            </w:hyperlink>
          </w:p>
        </w:tc>
        <w:tc>
          <w:tcPr>
            <w:tcW w:w="560" w:type="dxa"/>
            <w:vAlign w:val="bottom"/>
            <w:tcBorders>
              <w:top w:val="single" w:sz="8" w:color="0000EE"/>
            </w:tcBorders>
            <w:gridSpan w:val="4"/>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5700" w:type="dxa"/>
            <w:vAlign w:val="bottom"/>
            <w:gridSpan w:val="2"/>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8"/>
                <w:szCs w:val="18"/>
                <w:color w:val="auto"/>
              </w:rPr>
              <w:t>S-11</w:t>
            </w:r>
          </w:p>
        </w:tc>
        <w:tc>
          <w:tcPr>
            <w:tcW w:w="0" w:type="dxa"/>
            <w:vAlign w:val="bottom"/>
          </w:tcPr>
          <w:p>
            <w:pPr>
              <w:spacing w:after="0"/>
              <w:rPr>
                <w:sz w:val="1"/>
                <w:szCs w:val="1"/>
                <w:color w:val="auto"/>
              </w:rPr>
            </w:pPr>
          </w:p>
        </w:tc>
      </w:tr>
      <w:tr>
        <w:trPr>
          <w:trHeight w:val="168"/>
        </w:trPr>
        <w:tc>
          <w:tcPr>
            <w:tcW w:w="8540" w:type="dxa"/>
            <w:vAlign w:val="bottom"/>
            <w:gridSpan w:val="21"/>
          </w:tcPr>
          <w:p>
            <w:pPr>
              <w:spacing w:after="0" w:line="169" w:lineRule="exact"/>
              <w:rPr>
                <w:rFonts w:ascii="Arial" w:cs="Arial" w:eastAsia="Arial" w:hAnsi="Arial"/>
                <w:sz w:val="18"/>
                <w:szCs w:val="18"/>
                <w:color w:val="0000EE"/>
              </w:rPr>
            </w:pPr>
            <w:hyperlink w:anchor="page16">
              <w:r>
                <w:rPr>
                  <w:rFonts w:ascii="Arial" w:cs="Arial" w:eastAsia="Arial" w:hAnsi="Arial"/>
                  <w:sz w:val="18"/>
                  <w:szCs w:val="18"/>
                  <w:color w:val="0000EE"/>
                </w:rPr>
                <w:t>Underwriting</w:t>
              </w:r>
            </w:hyperlink>
          </w:p>
        </w:tc>
        <w:tc>
          <w:tcPr>
            <w:tcW w:w="860" w:type="dxa"/>
            <w:vAlign w:val="bottom"/>
          </w:tcPr>
          <w:p>
            <w:pPr>
              <w:jc w:val="right"/>
              <w:spacing w:after="0" w:line="169" w:lineRule="exact"/>
              <w:rPr>
                <w:sz w:val="20"/>
                <w:szCs w:val="20"/>
                <w:color w:val="auto"/>
              </w:rPr>
            </w:pPr>
            <w:r>
              <w:rPr>
                <w:rFonts w:ascii="Arial" w:cs="Arial" w:eastAsia="Arial" w:hAnsi="Arial"/>
                <w:sz w:val="18"/>
                <w:szCs w:val="18"/>
                <w:color w:val="auto"/>
              </w:rPr>
              <w:t>S-12</w:t>
            </w:r>
          </w:p>
        </w:tc>
        <w:tc>
          <w:tcPr>
            <w:tcW w:w="0" w:type="dxa"/>
            <w:vAlign w:val="bottom"/>
          </w:tcPr>
          <w:p>
            <w:pPr>
              <w:spacing w:after="0"/>
              <w:rPr>
                <w:sz w:val="1"/>
                <w:szCs w:val="1"/>
                <w:color w:val="auto"/>
              </w:rPr>
            </w:pPr>
          </w:p>
        </w:tc>
      </w:tr>
      <w:tr>
        <w:trPr>
          <w:trHeight w:val="168"/>
        </w:trPr>
        <w:tc>
          <w:tcPr>
            <w:tcW w:w="960" w:type="dxa"/>
            <w:vAlign w:val="bottom"/>
            <w:tcBorders>
              <w:top w:val="single" w:sz="8" w:color="0000EE"/>
              <w:bottom w:val="single" w:sz="8" w:color="0000EE"/>
            </w:tcBorders>
            <w:gridSpan w:val="4"/>
          </w:tcPr>
          <w:p>
            <w:pPr>
              <w:spacing w:after="0" w:line="169" w:lineRule="exact"/>
              <w:rPr>
                <w:rFonts w:ascii="Arial" w:cs="Arial" w:eastAsia="Arial" w:hAnsi="Arial"/>
                <w:sz w:val="18"/>
                <w:szCs w:val="18"/>
                <w:color w:val="0000EE"/>
                <w:w w:val="86"/>
              </w:rPr>
            </w:pPr>
            <w:hyperlink w:anchor="page21">
              <w:r>
                <w:rPr>
                  <w:rFonts w:ascii="Arial" w:cs="Arial" w:eastAsia="Arial" w:hAnsi="Arial"/>
                  <w:sz w:val="18"/>
                  <w:szCs w:val="18"/>
                  <w:color w:val="0000EE"/>
                  <w:w w:val="86"/>
                </w:rPr>
                <w:t>Legal Matters</w:t>
              </w:r>
            </w:hyperlink>
          </w:p>
        </w:tc>
        <w:tc>
          <w:tcPr>
            <w:tcW w:w="40" w:type="dxa"/>
            <w:vAlign w:val="bottom"/>
            <w:tcBorders>
              <w:bottom w:val="single" w:sz="8" w:color="0000EE"/>
            </w:tcBorders>
          </w:tcPr>
          <w:p>
            <w:pPr>
              <w:spacing w:after="0"/>
              <w:rPr>
                <w:sz w:val="14"/>
                <w:szCs w:val="14"/>
                <w:color w:val="auto"/>
              </w:rPr>
            </w:pPr>
          </w:p>
        </w:tc>
        <w:tc>
          <w:tcPr>
            <w:tcW w:w="18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5700" w:type="dxa"/>
            <w:vAlign w:val="bottom"/>
            <w:gridSpan w:val="2"/>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8"/>
                <w:szCs w:val="18"/>
                <w:color w:val="auto"/>
              </w:rPr>
              <w:t>S-17</w:t>
            </w:r>
          </w:p>
        </w:tc>
        <w:tc>
          <w:tcPr>
            <w:tcW w:w="0" w:type="dxa"/>
            <w:vAlign w:val="bottom"/>
          </w:tcPr>
          <w:p>
            <w:pPr>
              <w:spacing w:after="0"/>
              <w:rPr>
                <w:sz w:val="1"/>
                <w:szCs w:val="1"/>
                <w:color w:val="auto"/>
              </w:rPr>
            </w:pPr>
          </w:p>
        </w:tc>
      </w:tr>
      <w:tr>
        <w:trPr>
          <w:trHeight w:val="168"/>
        </w:trPr>
        <w:tc>
          <w:tcPr>
            <w:tcW w:w="1000" w:type="dxa"/>
            <w:vAlign w:val="bottom"/>
            <w:gridSpan w:val="5"/>
          </w:tcPr>
          <w:p>
            <w:pPr>
              <w:spacing w:after="0" w:line="169" w:lineRule="exact"/>
              <w:rPr>
                <w:rFonts w:ascii="Arial" w:cs="Arial" w:eastAsia="Arial" w:hAnsi="Arial"/>
                <w:sz w:val="18"/>
                <w:szCs w:val="18"/>
                <w:color w:val="0000EE"/>
              </w:rPr>
            </w:pPr>
            <w:hyperlink w:anchor="page21">
              <w:r>
                <w:rPr>
                  <w:rFonts w:ascii="Arial" w:cs="Arial" w:eastAsia="Arial" w:hAnsi="Arial"/>
                  <w:sz w:val="18"/>
                  <w:szCs w:val="18"/>
                  <w:color w:val="0000EE"/>
                </w:rPr>
                <w:t>Experts</w:t>
              </w:r>
            </w:hyperlink>
          </w:p>
        </w:tc>
        <w:tc>
          <w:tcPr>
            <w:tcW w:w="18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5700" w:type="dxa"/>
            <w:vAlign w:val="bottom"/>
            <w:gridSpan w:val="2"/>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8"/>
                <w:szCs w:val="18"/>
                <w:color w:val="auto"/>
              </w:rPr>
              <w:t>S-17</w:t>
            </w:r>
          </w:p>
        </w:tc>
        <w:tc>
          <w:tcPr>
            <w:tcW w:w="0" w:type="dxa"/>
            <w:vAlign w:val="bottom"/>
          </w:tcPr>
          <w:p>
            <w:pPr>
              <w:spacing w:after="0"/>
              <w:rPr>
                <w:sz w:val="1"/>
                <w:szCs w:val="1"/>
                <w:color w:val="auto"/>
              </w:rPr>
            </w:pPr>
          </w:p>
        </w:tc>
      </w:tr>
      <w:tr>
        <w:trPr>
          <w:trHeight w:val="168"/>
        </w:trPr>
        <w:tc>
          <w:tcPr>
            <w:tcW w:w="540" w:type="dxa"/>
            <w:vAlign w:val="bottom"/>
            <w:tcBorders>
              <w:top w:val="single" w:sz="8" w:color="0000EE"/>
            </w:tcBorders>
          </w:tcPr>
          <w:p>
            <w:pPr>
              <w:spacing w:after="0" w:line="169" w:lineRule="exact"/>
              <w:rPr>
                <w:rFonts w:ascii="Arial" w:cs="Arial" w:eastAsia="Arial" w:hAnsi="Arial"/>
                <w:sz w:val="18"/>
                <w:szCs w:val="18"/>
                <w:color w:val="0000EE"/>
                <w:w w:val="97"/>
              </w:rPr>
            </w:pPr>
            <w:hyperlink w:anchor="page21">
              <w:r>
                <w:rPr>
                  <w:rFonts w:ascii="Arial" w:cs="Arial" w:eastAsia="Arial" w:hAnsi="Arial"/>
                  <w:sz w:val="18"/>
                  <w:szCs w:val="18"/>
                  <w:color w:val="0000EE"/>
                  <w:w w:val="97"/>
                </w:rPr>
                <w:t>Where</w:t>
              </w:r>
            </w:hyperlink>
          </w:p>
        </w:tc>
        <w:tc>
          <w:tcPr>
            <w:tcW w:w="8000" w:type="dxa"/>
            <w:vAlign w:val="bottom"/>
            <w:gridSpan w:val="20"/>
          </w:tcPr>
          <w:p>
            <w:pPr>
              <w:spacing w:after="0" w:line="169" w:lineRule="exact"/>
              <w:rPr>
                <w:rFonts w:ascii="Arial" w:cs="Arial" w:eastAsia="Arial" w:hAnsi="Arial"/>
                <w:sz w:val="18"/>
                <w:szCs w:val="18"/>
                <w:color w:val="0000EE"/>
              </w:rPr>
            </w:pPr>
            <w:hyperlink w:anchor="page21">
              <w:r>
                <w:rPr>
                  <w:rFonts w:ascii="Arial" w:cs="Arial" w:eastAsia="Arial" w:hAnsi="Arial"/>
                  <w:sz w:val="18"/>
                  <w:szCs w:val="18"/>
                  <w:color w:val="0000EE"/>
                </w:rPr>
                <w:t>You Can Find More Information</w:t>
              </w:r>
            </w:hyperlink>
          </w:p>
        </w:tc>
        <w:tc>
          <w:tcPr>
            <w:tcW w:w="860" w:type="dxa"/>
            <w:vAlign w:val="bottom"/>
          </w:tcPr>
          <w:p>
            <w:pPr>
              <w:jc w:val="right"/>
              <w:spacing w:after="0" w:line="169" w:lineRule="exact"/>
              <w:rPr>
                <w:sz w:val="20"/>
                <w:szCs w:val="20"/>
                <w:color w:val="auto"/>
              </w:rPr>
            </w:pPr>
            <w:r>
              <w:rPr>
                <w:rFonts w:ascii="Arial" w:cs="Arial" w:eastAsia="Arial" w:hAnsi="Arial"/>
                <w:sz w:val="18"/>
                <w:szCs w:val="18"/>
                <w:color w:val="auto"/>
              </w:rPr>
              <w:t>S-17</w:t>
            </w:r>
          </w:p>
        </w:tc>
        <w:tc>
          <w:tcPr>
            <w:tcW w:w="0" w:type="dxa"/>
            <w:vAlign w:val="bottom"/>
          </w:tcPr>
          <w:p>
            <w:pPr>
              <w:spacing w:after="0"/>
              <w:rPr>
                <w:sz w:val="1"/>
                <w:szCs w:val="1"/>
                <w:color w:val="auto"/>
              </w:rPr>
            </w:pPr>
          </w:p>
        </w:tc>
      </w:tr>
      <w:tr>
        <w:trPr>
          <w:trHeight w:val="168"/>
        </w:trPr>
        <w:tc>
          <w:tcPr>
            <w:tcW w:w="2840" w:type="dxa"/>
            <w:vAlign w:val="bottom"/>
            <w:tcBorders>
              <w:top w:val="single" w:sz="8" w:color="0000EE"/>
            </w:tcBorders>
            <w:gridSpan w:val="19"/>
          </w:tcPr>
          <w:p>
            <w:pPr>
              <w:spacing w:after="0" w:line="169"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Information Incorporated by Reference</w:t>
              </w:r>
            </w:hyperlink>
          </w:p>
        </w:tc>
        <w:tc>
          <w:tcPr>
            <w:tcW w:w="5700" w:type="dxa"/>
            <w:vAlign w:val="bottom"/>
            <w:gridSpan w:val="2"/>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8"/>
                <w:szCs w:val="18"/>
                <w:color w:val="auto"/>
              </w:rPr>
              <w:t>S-18</w:t>
            </w:r>
          </w:p>
        </w:tc>
        <w:tc>
          <w:tcPr>
            <w:tcW w:w="0" w:type="dxa"/>
            <w:vAlign w:val="bottom"/>
          </w:tcPr>
          <w:p>
            <w:pPr>
              <w:spacing w:after="0"/>
              <w:rPr>
                <w:sz w:val="1"/>
                <w:szCs w:val="1"/>
                <w:color w:val="auto"/>
              </w:rPr>
            </w:pPr>
          </w:p>
        </w:tc>
      </w:tr>
      <w:tr>
        <w:trPr>
          <w:trHeight w:val="382"/>
        </w:trPr>
        <w:tc>
          <w:tcPr>
            <w:tcW w:w="2800" w:type="dxa"/>
            <w:vAlign w:val="bottom"/>
            <w:tcBorders>
              <w:top w:val="single" w:sz="8" w:color="0000EE"/>
            </w:tcBorders>
            <w:gridSpan w:val="18"/>
          </w:tcPr>
          <w:p>
            <w:pPr>
              <w:spacing w:after="0"/>
              <w:rPr>
                <w:sz w:val="20"/>
                <w:szCs w:val="20"/>
                <w:color w:val="auto"/>
              </w:rPr>
            </w:pPr>
            <w:r>
              <w:rPr>
                <w:rFonts w:ascii="Arial" w:cs="Arial" w:eastAsia="Arial" w:hAnsi="Arial"/>
                <w:sz w:val="18"/>
                <w:szCs w:val="18"/>
                <w:b w:val="1"/>
                <w:bCs w:val="1"/>
                <w:color w:val="auto"/>
              </w:rPr>
              <w:t>Prospectus</w:t>
            </w:r>
          </w:p>
        </w:tc>
        <w:tc>
          <w:tcPr>
            <w:tcW w:w="5740" w:type="dxa"/>
            <w:vAlign w:val="bottom"/>
            <w:gridSpan w:val="3"/>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9"/>
        </w:trPr>
        <w:tc>
          <w:tcPr>
            <w:tcW w:w="8540" w:type="dxa"/>
            <w:vAlign w:val="bottom"/>
            <w:gridSpan w:val="21"/>
          </w:tcPr>
          <w:p>
            <w:pPr>
              <w:spacing w:after="0" w:line="189" w:lineRule="exact"/>
              <w:rPr>
                <w:rFonts w:ascii="Arial" w:cs="Arial" w:eastAsia="Arial" w:hAnsi="Arial"/>
                <w:sz w:val="18"/>
                <w:szCs w:val="18"/>
                <w:color w:val="0000EE"/>
              </w:rPr>
            </w:pPr>
            <w:hyperlink w:anchor="page25">
              <w:r>
                <w:rPr>
                  <w:rFonts w:ascii="Arial" w:cs="Arial" w:eastAsia="Arial" w:hAnsi="Arial"/>
                  <w:sz w:val="18"/>
                  <w:szCs w:val="18"/>
                  <w:color w:val="0000EE"/>
                </w:rPr>
                <w:t>About This Prospectus</w:t>
              </w:r>
            </w:hyperlink>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80" w:type="dxa"/>
            <w:vAlign w:val="bottom"/>
            <w:gridSpan w:val="7"/>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740" w:type="dxa"/>
            <w:vAlign w:val="bottom"/>
            <w:gridSpan w:val="3"/>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line="20" w:lineRule="exact"/>
              <w:rPr>
                <w:sz w:val="1"/>
                <w:szCs w:val="1"/>
                <w:color w:val="auto"/>
              </w:rPr>
            </w:pPr>
          </w:p>
        </w:tc>
      </w:tr>
      <w:tr>
        <w:trPr>
          <w:trHeight w:val="195"/>
        </w:trPr>
        <w:tc>
          <w:tcPr>
            <w:tcW w:w="8540" w:type="dxa"/>
            <w:vAlign w:val="bottom"/>
            <w:gridSpan w:val="21"/>
          </w:tcPr>
          <w:p>
            <w:pPr>
              <w:spacing w:after="0" w:line="195" w:lineRule="exact"/>
              <w:rPr>
                <w:rFonts w:ascii="Arial" w:cs="Arial" w:eastAsia="Arial" w:hAnsi="Arial"/>
                <w:sz w:val="18"/>
                <w:szCs w:val="18"/>
                <w:color w:val="0000EE"/>
              </w:rPr>
            </w:pPr>
            <w:hyperlink w:anchor="page26">
              <w:r>
                <w:rPr>
                  <w:rFonts w:ascii="Arial" w:cs="Arial" w:eastAsia="Arial" w:hAnsi="Arial"/>
                  <w:sz w:val="18"/>
                  <w:szCs w:val="18"/>
                  <w:color w:val="0000EE"/>
                </w:rPr>
                <w:t>Axsome Therapeutics, Inc.</w:t>
              </w:r>
            </w:hyperlink>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80" w:type="dxa"/>
            <w:vAlign w:val="bottom"/>
            <w:gridSpan w:val="7"/>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740" w:type="dxa"/>
            <w:vAlign w:val="bottom"/>
            <w:gridSpan w:val="3"/>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195"/>
        </w:trPr>
        <w:tc>
          <w:tcPr>
            <w:tcW w:w="8540" w:type="dxa"/>
            <w:vAlign w:val="bottom"/>
            <w:gridSpan w:val="21"/>
          </w:tcPr>
          <w:p>
            <w:pPr>
              <w:spacing w:after="0" w:line="195" w:lineRule="exact"/>
              <w:rPr>
                <w:rFonts w:ascii="Arial" w:cs="Arial" w:eastAsia="Arial" w:hAnsi="Arial"/>
                <w:sz w:val="18"/>
                <w:szCs w:val="18"/>
                <w:color w:val="0000EE"/>
              </w:rPr>
            </w:pPr>
            <w:hyperlink w:anchor="page28">
              <w:r>
                <w:rPr>
                  <w:rFonts w:ascii="Arial" w:cs="Arial" w:eastAsia="Arial" w:hAnsi="Arial"/>
                  <w:sz w:val="18"/>
                  <w:szCs w:val="18"/>
                  <w:color w:val="0000EE"/>
                </w:rPr>
                <w:t>Forward-Looking Statements</w:t>
              </w:r>
            </w:hyperlink>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00" w:type="dxa"/>
            <w:vAlign w:val="bottom"/>
            <w:tcBorders>
              <w:top w:val="single" w:sz="8" w:color="0000EE"/>
              <w:bottom w:val="single" w:sz="8" w:color="0000EE"/>
            </w:tcBorders>
            <w:gridSpan w:val="3"/>
          </w:tcPr>
          <w:p>
            <w:pPr>
              <w:spacing w:after="0" w:line="195"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Risk Factors</w:t>
              </w:r>
            </w:hyperlink>
          </w:p>
        </w:tc>
        <w:tc>
          <w:tcPr>
            <w:tcW w:w="1200" w:type="dxa"/>
            <w:vAlign w:val="bottom"/>
            <w:tcBorders>
              <w:top w:val="single" w:sz="8" w:color="0000EE"/>
            </w:tcBorders>
            <w:gridSpan w:val="12"/>
          </w:tcPr>
          <w:p>
            <w:pPr>
              <w:spacing w:after="0"/>
              <w:rPr>
                <w:sz w:val="16"/>
                <w:szCs w:val="16"/>
                <w:color w:val="auto"/>
              </w:rPr>
            </w:pPr>
          </w:p>
        </w:tc>
        <w:tc>
          <w:tcPr>
            <w:tcW w:w="6440" w:type="dxa"/>
            <w:vAlign w:val="bottom"/>
            <w:gridSpan w:val="6"/>
          </w:tcPr>
          <w:p>
            <w:pPr>
              <w:spacing w:after="0"/>
              <w:rPr>
                <w:sz w:val="16"/>
                <w:szCs w:val="16"/>
                <w:color w:val="auto"/>
              </w:rPr>
            </w:pP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5"/>
        </w:trPr>
        <w:tc>
          <w:tcPr>
            <w:tcW w:w="1180" w:type="dxa"/>
            <w:vAlign w:val="bottom"/>
            <w:tcBorders>
              <w:bottom w:val="single" w:sz="8" w:color="0000EE"/>
            </w:tcBorders>
            <w:gridSpan w:val="7"/>
          </w:tcPr>
          <w:p>
            <w:pPr>
              <w:spacing w:after="0" w:line="195"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Use of Proceeds</w:t>
              </w:r>
            </w:hyperlink>
          </w:p>
        </w:tc>
        <w:tc>
          <w:tcPr>
            <w:tcW w:w="7360" w:type="dxa"/>
            <w:vAlign w:val="bottom"/>
            <w:gridSpan w:val="14"/>
          </w:tcPr>
          <w:p>
            <w:pPr>
              <w:spacing w:after="0"/>
              <w:rPr>
                <w:sz w:val="16"/>
                <w:szCs w:val="16"/>
                <w:color w:val="auto"/>
              </w:rPr>
            </w:pP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5"/>
        </w:trPr>
        <w:tc>
          <w:tcPr>
            <w:tcW w:w="8540" w:type="dxa"/>
            <w:vAlign w:val="bottom"/>
            <w:gridSpan w:val="21"/>
          </w:tcPr>
          <w:p>
            <w:pPr>
              <w:spacing w:after="0" w:line="195" w:lineRule="exact"/>
              <w:rPr>
                <w:rFonts w:ascii="Arial" w:cs="Arial" w:eastAsia="Arial" w:hAnsi="Arial"/>
                <w:sz w:val="18"/>
                <w:szCs w:val="18"/>
                <w:color w:val="0000EE"/>
              </w:rPr>
            </w:pPr>
            <w:hyperlink w:anchor="page29">
              <w:r>
                <w:rPr>
                  <w:rFonts w:ascii="Arial" w:cs="Arial" w:eastAsia="Arial" w:hAnsi="Arial"/>
                  <w:sz w:val="18"/>
                  <w:szCs w:val="18"/>
                  <w:color w:val="0000EE"/>
                </w:rPr>
                <w:t>Description of Capital Stock</w:t>
              </w:r>
            </w:hyperlink>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5"/>
        </w:trPr>
        <w:tc>
          <w:tcPr>
            <w:tcW w:w="1720" w:type="dxa"/>
            <w:vAlign w:val="bottom"/>
            <w:tcBorders>
              <w:top w:val="single" w:sz="8" w:color="0000EE"/>
              <w:bottom w:val="single" w:sz="8" w:color="0000EE"/>
            </w:tcBorders>
            <w:gridSpan w:val="12"/>
          </w:tcPr>
          <w:p>
            <w:pPr>
              <w:spacing w:after="0" w:line="195"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Description of Warrants</w:t>
              </w:r>
            </w:hyperlink>
          </w:p>
        </w:tc>
        <w:tc>
          <w:tcPr>
            <w:tcW w:w="320" w:type="dxa"/>
            <w:vAlign w:val="bottom"/>
            <w:tcBorders>
              <w:top w:val="single" w:sz="8" w:color="0000EE"/>
            </w:tcBorders>
            <w:gridSpan w:val="2"/>
          </w:tcPr>
          <w:p>
            <w:pPr>
              <w:spacing w:after="0"/>
              <w:rPr>
                <w:sz w:val="16"/>
                <w:szCs w:val="16"/>
                <w:color w:val="auto"/>
              </w:rPr>
            </w:pPr>
          </w:p>
        </w:tc>
        <w:tc>
          <w:tcPr>
            <w:tcW w:w="6500" w:type="dxa"/>
            <w:vAlign w:val="bottom"/>
            <w:gridSpan w:val="7"/>
          </w:tcPr>
          <w:p>
            <w:pPr>
              <w:spacing w:after="0"/>
              <w:rPr>
                <w:sz w:val="16"/>
                <w:szCs w:val="16"/>
                <w:color w:val="auto"/>
              </w:rPr>
            </w:pP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5"/>
        </w:trPr>
        <w:tc>
          <w:tcPr>
            <w:tcW w:w="8540" w:type="dxa"/>
            <w:vAlign w:val="bottom"/>
            <w:gridSpan w:val="21"/>
          </w:tcPr>
          <w:p>
            <w:pPr>
              <w:spacing w:after="0" w:line="195" w:lineRule="exact"/>
              <w:rPr>
                <w:rFonts w:ascii="Arial" w:cs="Arial" w:eastAsia="Arial" w:hAnsi="Arial"/>
                <w:sz w:val="18"/>
                <w:szCs w:val="18"/>
                <w:color w:val="0000EE"/>
              </w:rPr>
            </w:pPr>
            <w:hyperlink w:anchor="page34">
              <w:r>
                <w:rPr>
                  <w:rFonts w:ascii="Arial" w:cs="Arial" w:eastAsia="Arial" w:hAnsi="Arial"/>
                  <w:sz w:val="18"/>
                  <w:szCs w:val="18"/>
                  <w:color w:val="0000EE"/>
                </w:rPr>
                <w:t>Description of Debt Securities</w:t>
              </w:r>
            </w:hyperlink>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5"/>
        </w:trPr>
        <w:tc>
          <w:tcPr>
            <w:tcW w:w="1540" w:type="dxa"/>
            <w:vAlign w:val="bottom"/>
            <w:tcBorders>
              <w:top w:val="single" w:sz="8" w:color="0000EE"/>
              <w:bottom w:val="single" w:sz="8" w:color="0000EE"/>
            </w:tcBorders>
            <w:gridSpan w:val="10"/>
          </w:tcPr>
          <w:p>
            <w:pPr>
              <w:spacing w:after="0" w:line="195" w:lineRule="exact"/>
              <w:rPr>
                <w:rFonts w:ascii="Arial" w:cs="Arial" w:eastAsia="Arial" w:hAnsi="Arial"/>
                <w:sz w:val="18"/>
                <w:szCs w:val="18"/>
                <w:color w:val="0000EE"/>
                <w:w w:val="91"/>
              </w:rPr>
            </w:pPr>
            <w:hyperlink w:anchor="page42">
              <w:r>
                <w:rPr>
                  <w:rFonts w:ascii="Arial" w:cs="Arial" w:eastAsia="Arial" w:hAnsi="Arial"/>
                  <w:sz w:val="18"/>
                  <w:szCs w:val="18"/>
                  <w:color w:val="0000EE"/>
                  <w:w w:val="91"/>
                </w:rPr>
                <w:t>Description of Rights</w:t>
              </w:r>
            </w:hyperlink>
          </w:p>
        </w:tc>
        <w:tc>
          <w:tcPr>
            <w:tcW w:w="620" w:type="dxa"/>
            <w:vAlign w:val="bottom"/>
            <w:tcBorders>
              <w:top w:val="single" w:sz="8" w:color="0000EE"/>
            </w:tcBorders>
            <w:gridSpan w:val="6"/>
          </w:tcPr>
          <w:p>
            <w:pPr>
              <w:spacing w:after="0"/>
              <w:rPr>
                <w:sz w:val="16"/>
                <w:szCs w:val="16"/>
                <w:color w:val="auto"/>
              </w:rPr>
            </w:pPr>
          </w:p>
        </w:tc>
        <w:tc>
          <w:tcPr>
            <w:tcW w:w="6380" w:type="dxa"/>
            <w:vAlign w:val="bottom"/>
            <w:gridSpan w:val="5"/>
          </w:tcPr>
          <w:p>
            <w:pPr>
              <w:spacing w:after="0"/>
              <w:rPr>
                <w:sz w:val="16"/>
                <w:szCs w:val="16"/>
                <w:color w:val="auto"/>
              </w:rPr>
            </w:pP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5"/>
        </w:trPr>
        <w:tc>
          <w:tcPr>
            <w:tcW w:w="1460" w:type="dxa"/>
            <w:vAlign w:val="bottom"/>
            <w:tcBorders>
              <w:bottom w:val="single" w:sz="8" w:color="0000EE"/>
            </w:tcBorders>
            <w:gridSpan w:val="9"/>
          </w:tcPr>
          <w:p>
            <w:pPr>
              <w:spacing w:after="0" w:line="195" w:lineRule="exact"/>
              <w:rPr>
                <w:rFonts w:ascii="Arial" w:cs="Arial" w:eastAsia="Arial" w:hAnsi="Arial"/>
                <w:sz w:val="18"/>
                <w:szCs w:val="18"/>
                <w:color w:val="0000EE"/>
                <w:w w:val="92"/>
              </w:rPr>
            </w:pPr>
            <w:hyperlink w:anchor="page44">
              <w:r>
                <w:rPr>
                  <w:rFonts w:ascii="Arial" w:cs="Arial" w:eastAsia="Arial" w:hAnsi="Arial"/>
                  <w:sz w:val="18"/>
                  <w:szCs w:val="18"/>
                  <w:color w:val="0000EE"/>
                  <w:w w:val="92"/>
                </w:rPr>
                <w:t>Description of Units</w:t>
              </w:r>
            </w:hyperlink>
          </w:p>
        </w:tc>
        <w:tc>
          <w:tcPr>
            <w:tcW w:w="7080" w:type="dxa"/>
            <w:vAlign w:val="bottom"/>
            <w:gridSpan w:val="12"/>
          </w:tcPr>
          <w:p>
            <w:pPr>
              <w:spacing w:after="0"/>
              <w:rPr>
                <w:sz w:val="16"/>
                <w:szCs w:val="16"/>
                <w:color w:val="auto"/>
              </w:rPr>
            </w:pP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5"/>
        </w:trPr>
        <w:tc>
          <w:tcPr>
            <w:tcW w:w="1420" w:type="dxa"/>
            <w:vAlign w:val="bottom"/>
            <w:tcBorders>
              <w:bottom w:val="single" w:sz="8" w:color="0000EE"/>
            </w:tcBorders>
            <w:gridSpan w:val="8"/>
          </w:tcPr>
          <w:p>
            <w:pPr>
              <w:spacing w:after="0" w:line="195" w:lineRule="exact"/>
              <w:rPr>
                <w:rFonts w:ascii="Arial" w:cs="Arial" w:eastAsia="Arial" w:hAnsi="Arial"/>
                <w:sz w:val="18"/>
                <w:szCs w:val="18"/>
                <w:color w:val="0000EE"/>
                <w:w w:val="92"/>
              </w:rPr>
            </w:pPr>
            <w:hyperlink w:anchor="page44">
              <w:r>
                <w:rPr>
                  <w:rFonts w:ascii="Arial" w:cs="Arial" w:eastAsia="Arial" w:hAnsi="Arial"/>
                  <w:sz w:val="18"/>
                  <w:szCs w:val="18"/>
                  <w:color w:val="0000EE"/>
                  <w:w w:val="92"/>
                </w:rPr>
                <w:t>Plan of Distribution</w:t>
              </w:r>
            </w:hyperlink>
          </w:p>
        </w:tc>
        <w:tc>
          <w:tcPr>
            <w:tcW w:w="7120" w:type="dxa"/>
            <w:vAlign w:val="bottom"/>
            <w:gridSpan w:val="13"/>
          </w:tcPr>
          <w:p>
            <w:pPr>
              <w:spacing w:after="0"/>
              <w:rPr>
                <w:sz w:val="16"/>
                <w:szCs w:val="16"/>
                <w:color w:val="auto"/>
              </w:rPr>
            </w:pP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5"/>
        </w:trPr>
        <w:tc>
          <w:tcPr>
            <w:tcW w:w="1000" w:type="dxa"/>
            <w:vAlign w:val="bottom"/>
            <w:tcBorders>
              <w:bottom w:val="single" w:sz="8" w:color="0000EE"/>
            </w:tcBorders>
            <w:gridSpan w:val="5"/>
          </w:tcPr>
          <w:p>
            <w:pPr>
              <w:spacing w:after="0" w:line="195"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Legal Matters</w:t>
              </w:r>
            </w:hyperlink>
          </w:p>
        </w:tc>
        <w:tc>
          <w:tcPr>
            <w:tcW w:w="7540" w:type="dxa"/>
            <w:vAlign w:val="bottom"/>
            <w:gridSpan w:val="16"/>
          </w:tcPr>
          <w:p>
            <w:pPr>
              <w:spacing w:after="0"/>
              <w:rPr>
                <w:sz w:val="16"/>
                <w:szCs w:val="16"/>
                <w:color w:val="auto"/>
              </w:rPr>
            </w:pP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5"/>
        </w:trPr>
        <w:tc>
          <w:tcPr>
            <w:tcW w:w="8540" w:type="dxa"/>
            <w:vAlign w:val="bottom"/>
            <w:gridSpan w:val="21"/>
          </w:tcPr>
          <w:p>
            <w:pPr>
              <w:spacing w:after="0" w:line="195" w:lineRule="exact"/>
              <w:rPr>
                <w:rFonts w:ascii="Arial" w:cs="Arial" w:eastAsia="Arial" w:hAnsi="Arial"/>
                <w:sz w:val="18"/>
                <w:szCs w:val="18"/>
                <w:color w:val="0000EE"/>
              </w:rPr>
            </w:pPr>
            <w:hyperlink w:anchor="page46">
              <w:r>
                <w:rPr>
                  <w:rFonts w:ascii="Arial" w:cs="Arial" w:eastAsia="Arial" w:hAnsi="Arial"/>
                  <w:sz w:val="18"/>
                  <w:szCs w:val="18"/>
                  <w:color w:val="0000EE"/>
                </w:rPr>
                <w:t>Experts</w:t>
              </w:r>
            </w:hyperlink>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7"/>
          </w:tcPr>
          <w:p>
            <w:pPr>
              <w:spacing w:after="0" w:line="20" w:lineRule="exact"/>
              <w:rPr>
                <w:sz w:val="1"/>
                <w:szCs w:val="1"/>
                <w:color w:val="auto"/>
              </w:rPr>
            </w:pPr>
          </w:p>
        </w:tc>
        <w:tc>
          <w:tcPr>
            <w:tcW w:w="5740" w:type="dxa"/>
            <w:vAlign w:val="bottom"/>
            <w:gridSpan w:val="3"/>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line="20" w:lineRule="exact"/>
              <w:rPr>
                <w:sz w:val="1"/>
                <w:szCs w:val="1"/>
                <w:color w:val="auto"/>
              </w:rPr>
            </w:pPr>
          </w:p>
        </w:tc>
      </w:tr>
      <w:tr>
        <w:trPr>
          <w:trHeight w:val="195"/>
        </w:trPr>
        <w:tc>
          <w:tcPr>
            <w:tcW w:w="8540" w:type="dxa"/>
            <w:vAlign w:val="bottom"/>
            <w:gridSpan w:val="21"/>
          </w:tcPr>
          <w:p>
            <w:pPr>
              <w:spacing w:after="0" w:line="195" w:lineRule="exact"/>
              <w:rPr>
                <w:rFonts w:ascii="Arial" w:cs="Arial" w:eastAsia="Arial" w:hAnsi="Arial"/>
                <w:sz w:val="18"/>
                <w:szCs w:val="18"/>
                <w:color w:val="0000EE"/>
              </w:rPr>
            </w:pPr>
            <w:hyperlink w:anchor="page46">
              <w:r>
                <w:rPr>
                  <w:rFonts w:ascii="Arial" w:cs="Arial" w:eastAsia="Arial" w:hAnsi="Arial"/>
                  <w:sz w:val="18"/>
                  <w:szCs w:val="18"/>
                  <w:color w:val="0000EE"/>
                </w:rPr>
                <w:t>Where You Can Find More Information</w:t>
              </w:r>
            </w:hyperlink>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840" w:type="dxa"/>
            <w:vAlign w:val="bottom"/>
            <w:tcBorders>
              <w:top w:val="single" w:sz="8" w:color="0000EE"/>
            </w:tcBorders>
            <w:gridSpan w:val="19"/>
          </w:tcPr>
          <w:p>
            <w:pPr>
              <w:spacing w:after="0" w:line="195" w:lineRule="exact"/>
              <w:rPr>
                <w:rFonts w:ascii="Arial" w:cs="Arial" w:eastAsia="Arial" w:hAnsi="Arial"/>
                <w:sz w:val="18"/>
                <w:szCs w:val="18"/>
                <w:color w:val="0000EE"/>
                <w:w w:val="91"/>
              </w:rPr>
            </w:pPr>
            <w:hyperlink w:anchor="page47">
              <w:r>
                <w:rPr>
                  <w:rFonts w:ascii="Arial" w:cs="Arial" w:eastAsia="Arial" w:hAnsi="Arial"/>
                  <w:sz w:val="18"/>
                  <w:szCs w:val="18"/>
                  <w:color w:val="0000EE"/>
                  <w:w w:val="91"/>
                </w:rPr>
                <w:t>Information Incorporated by Reference</w:t>
              </w:r>
            </w:hyperlink>
          </w:p>
        </w:tc>
        <w:tc>
          <w:tcPr>
            <w:tcW w:w="5700" w:type="dxa"/>
            <w:vAlign w:val="bottom"/>
            <w:gridSpan w:val="2"/>
          </w:tcPr>
          <w:p>
            <w:pPr>
              <w:spacing w:after="0"/>
              <w:rPr>
                <w:sz w:val="16"/>
                <w:szCs w:val="16"/>
                <w:color w:val="auto"/>
              </w:rPr>
            </w:pP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ind w:right="60"/>
        <w:spacing w:after="0" w:line="233" w:lineRule="auto"/>
        <w:rPr>
          <w:sz w:val="20"/>
          <w:szCs w:val="20"/>
          <w:color w:val="auto"/>
        </w:rPr>
      </w:pPr>
      <w:r>
        <w:rPr>
          <w:rFonts w:ascii="Arial" w:cs="Arial" w:eastAsia="Arial" w:hAnsi="Arial"/>
          <w:sz w:val="16"/>
          <w:szCs w:val="16"/>
          <w:b w:val="1"/>
          <w:bCs w:val="1"/>
          <w:color w:val="auto"/>
        </w:rPr>
        <w:t>Neither we nor SVB Leerink LLC have authorized anyone to provide any information or to make any representations other than those contained or incorporated by reference in this prospectus supplement, the accompanying prospectus or in any free writing prospectus that we have authorized for use in connection with this offering. We and SVB Leerink LLC take no responsibility for, and can provide no assurance as to the reliability of, any other information that others may give you. This prospectus supplement and the accompanying prospectus together constitute an offer to sell only the securities offered hereby, but only under circumstances and in jurisdictions where it is lawful to do so. The information contained in this prospectus supplement, the accompanying prospectus and any free writing prospectus that we have authorized for use in connection with this offering is current only as of its date. Our business, financial condition, results of operations and prospects may have changed since those dates. You should read this prospectus supplement, the accompanying prospectus, the documents incorporated by reference herein, and any free writing prospectus that we have authorized for use in connection with this offering when making your investment decision. You should also read and consider the information in the documents we have referred you to in the sections of this prospectus supplement entitled “Where You Can Find More Information” and “Information Incorporated by Reference.”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400"/>
          </w:cols>
          <w:pgMar w:left="1260" w:top="114" w:right="123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187" w:lineRule="exact"/>
        <w:rPr>
          <w:sz w:val="20"/>
          <w:szCs w:val="20"/>
          <w:color w:val="auto"/>
        </w:rPr>
      </w:pPr>
    </w:p>
    <w:p>
      <w:pPr>
        <w:spacing w:after="0" w:line="232" w:lineRule="auto"/>
        <w:rPr>
          <w:sz w:val="20"/>
          <w:szCs w:val="20"/>
          <w:color w:val="auto"/>
        </w:rPr>
      </w:pPr>
      <w:r>
        <w:rPr>
          <w:rFonts w:ascii="Arial" w:cs="Arial" w:eastAsia="Arial" w:hAnsi="Arial"/>
          <w:sz w:val="16"/>
          <w:szCs w:val="16"/>
          <w:color w:val="auto"/>
        </w:rPr>
        <w:t>This prospectus supplement and the accompanying prospectus form part of an automatic “shelf” registration statement on Form S-3ASR (File No. 333-235372) that we filed with the Securities and Exchange Commission, or SEC, as a “well-known seasoned issuer” as defined in Rule 405 under the Securities Act of 1933, as amended, or the Securities Act. This document contains two parts. The first part consists of this prospectus supplement, which provides you with specific information about this offering. The second part, the accompanying prospectus, provides more general information, some of which may not apply to this offering. Generally, when we refer only to the “prospectus,” we are referring to both parts combined. This prospectus supplement may add, update or change information contained in the accompanying prospectus. To the extent that any statement we make in this prospectus supplement is inconsistent with statements made in the accompanying prospectus or any documents incorporated by reference herein or therein, the statements made in this prospectus supplement will be deemed to modify or supersede those made in the accompanying prospectus and such documents incorporated by reference herein and therein. You should read this prospectus supplement and the accompanying prospectus, including the information incorporated by reference herein and therein, and any related free writing prospectus that we have authorized for use in connection with this offering. You should rely only on the information that we have included or incorporated by reference in this prospectus supplement, the accompanying prospectus and any related free writing prospectus that we have authorized for use in connection with this offering. Neither we nor SVB Leerink have authorized any dealer, salesman or other person to give any information or to make any representation other than those contained or incorporated by reference in this prospectus supplement, the accompanying prospectus or any related free writing prospectus that we have authorized for use in connection with this offering.</w:t>
      </w:r>
    </w:p>
    <w:p>
      <w:pPr>
        <w:spacing w:after="0" w:line="162" w:lineRule="exact"/>
        <w:rPr>
          <w:sz w:val="20"/>
          <w:szCs w:val="20"/>
          <w:color w:val="auto"/>
        </w:rPr>
      </w:pPr>
    </w:p>
    <w:p>
      <w:pPr>
        <w:spacing w:after="0" w:line="225" w:lineRule="auto"/>
        <w:rPr>
          <w:sz w:val="20"/>
          <w:szCs w:val="20"/>
          <w:color w:val="auto"/>
        </w:rPr>
      </w:pPr>
      <w:r>
        <w:rPr>
          <w:rFonts w:ascii="Arial" w:cs="Arial" w:eastAsia="Arial" w:hAnsi="Arial"/>
          <w:sz w:val="17"/>
          <w:szCs w:val="17"/>
          <w:color w:val="auto"/>
        </w:rPr>
        <w:t>The representations, warranties and covenants made by us in any agreement that is filed as an exhibit to any document that is incorporated by reference in this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64" w:lineRule="exact"/>
        <w:rPr>
          <w:sz w:val="20"/>
          <w:szCs w:val="20"/>
          <w:color w:val="auto"/>
        </w:rPr>
      </w:pPr>
    </w:p>
    <w:p>
      <w:pPr>
        <w:ind w:right="20"/>
        <w:spacing w:after="0" w:line="215" w:lineRule="auto"/>
        <w:rPr>
          <w:sz w:val="20"/>
          <w:szCs w:val="20"/>
          <w:color w:val="auto"/>
        </w:rPr>
      </w:pPr>
      <w:r>
        <w:rPr>
          <w:rFonts w:ascii="Arial" w:cs="Arial" w:eastAsia="Arial" w:hAnsi="Arial"/>
          <w:sz w:val="18"/>
          <w:szCs w:val="18"/>
          <w:color w:val="auto"/>
        </w:rPr>
        <w:t>This prospectus supplement, the accompanying prospectus and any related free writing prospectus do not constitute an offer to sell or the solicitation of an offer to buy any securities other than the registered securities to which they relate, nor do this prospectus supplement, the accompanying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62" w:lineRule="exact"/>
        <w:rPr>
          <w:sz w:val="20"/>
          <w:szCs w:val="20"/>
          <w:color w:val="auto"/>
        </w:rPr>
      </w:pPr>
    </w:p>
    <w:p>
      <w:pPr>
        <w:spacing w:after="0" w:line="222" w:lineRule="auto"/>
        <w:rPr>
          <w:sz w:val="20"/>
          <w:szCs w:val="20"/>
          <w:color w:val="auto"/>
        </w:rPr>
      </w:pPr>
      <w:r>
        <w:rPr>
          <w:rFonts w:ascii="Arial" w:cs="Arial" w:eastAsia="Arial" w:hAnsi="Arial"/>
          <w:sz w:val="17"/>
          <w:szCs w:val="17"/>
          <w:color w:val="auto"/>
        </w:rPr>
        <w:t>You should not assume that the information contained in this prospectus supplement, the accompanying prospectus or any related free writing prospectus is accurate on any date subsequent to the date set forth on the front of the document or that any information we have incorporated by reference herein or therein is correct on any date subsequent to the date of the document incorporated by reference, even though this prospectus supplement, the accompanying prospectus or any related free writing prospectus is delivered, or securities are sold, on a later date. You should assume that the information appearing in this prospectus supplement, the accompanying prospectus,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67" w:lineRule="exact"/>
        <w:rPr>
          <w:sz w:val="20"/>
          <w:szCs w:val="20"/>
          <w:color w:val="auto"/>
        </w:rPr>
      </w:pPr>
    </w:p>
    <w:p>
      <w:pPr>
        <w:ind w:right="120"/>
        <w:spacing w:after="0" w:line="228" w:lineRule="auto"/>
        <w:rPr>
          <w:sz w:val="20"/>
          <w:szCs w:val="20"/>
          <w:color w:val="auto"/>
        </w:rPr>
      </w:pPr>
      <w:r>
        <w:rPr>
          <w:rFonts w:ascii="Arial" w:cs="Arial" w:eastAsia="Arial" w:hAnsi="Arial"/>
          <w:sz w:val="17"/>
          <w:szCs w:val="17"/>
          <w:color w:val="auto"/>
        </w:rPr>
        <w:t>This prospectus supplement contains or incorporates by reference summaries of certain provisions contained in some of the documents described herein, but all such summaries are qualified in their entirety by the actual documents. Copies of some of the documents referred to herein have been or will be filed or have been or will be incorporated by reference as exhibits to the registration statement of which this prospectus supplement forms a part, and you may obtain copies of those documents as described in this prospectus supplement under the heading “Where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80"/>
          </w:cols>
          <w:pgMar w:left="1260" w:top="114" w:right="125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0"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7" w:lineRule="exact"/>
        <w:rPr>
          <w:sz w:val="20"/>
          <w:szCs w:val="20"/>
          <w:color w:val="auto"/>
        </w:rPr>
      </w:pPr>
    </w:p>
    <w:p>
      <w:pPr>
        <w:ind w:right="1140"/>
        <w:spacing w:after="0" w:line="217" w:lineRule="auto"/>
        <w:rPr>
          <w:sz w:val="20"/>
          <w:szCs w:val="20"/>
          <w:color w:val="auto"/>
        </w:rPr>
      </w:pPr>
      <w:r>
        <w:rPr>
          <w:rFonts w:ascii="Arial" w:cs="Arial" w:eastAsia="Arial" w:hAnsi="Arial"/>
          <w:sz w:val="17"/>
          <w:szCs w:val="17"/>
          <w:color w:val="auto"/>
        </w:rPr>
        <w:t>Certain matters discussed in this prospectus supplement and the accompanying prospectus, including matters discussed under the heading "Management's Discussion and Analysis of Financial Condition and Results of Operations," incorporated by reference herein from our most recent Annual Report on Form 10-K and Quarterly Reports on Form 10-Q for the quarterly periods ended subsequent to our filing of such Annual Report on Form 10-K, may constitute forward-looking statements for purposes of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We may, in some cases, use terms such as</w:t>
      </w:r>
    </w:p>
    <w:p>
      <w:pPr>
        <w:spacing w:after="0" w:line="214" w:lineRule="auto"/>
        <w:rPr>
          <w:sz w:val="20"/>
          <w:szCs w:val="20"/>
          <w:color w:val="auto"/>
        </w:rPr>
      </w:pPr>
      <w:r>
        <w:rPr>
          <w:rFonts w:ascii="Arial" w:cs="Arial" w:eastAsia="Arial" w:hAnsi="Arial"/>
          <w:sz w:val="17"/>
          <w:szCs w:val="17"/>
          <w:color w:val="auto"/>
        </w:rPr>
        <w:t>“predicts,” “believes,” “potential,” “continue,” “estimates,” “anticipates,” “expects,” “plans,” “intends,” “may,” “could,” “might,” “will,” “should” or other words that convey uncertainty of future events or outcomes to identify these forward-looking statements. Our actual</w:t>
      </w:r>
    </w:p>
    <w:p>
      <w:pPr>
        <w:spacing w:after="0" w:line="1" w:lineRule="exact"/>
        <w:rPr>
          <w:sz w:val="20"/>
          <w:szCs w:val="20"/>
          <w:color w:val="auto"/>
        </w:rPr>
      </w:pPr>
    </w:p>
    <w:p>
      <w:pPr>
        <w:ind w:right="1160"/>
        <w:spacing w:after="0" w:line="222" w:lineRule="auto"/>
        <w:rPr>
          <w:sz w:val="20"/>
          <w:szCs w:val="20"/>
          <w:color w:val="auto"/>
        </w:rPr>
      </w:pPr>
      <w:r>
        <w:rPr>
          <w:rFonts w:ascii="Arial" w:cs="Arial" w:eastAsia="Arial" w:hAnsi="Arial"/>
          <w:sz w:val="17"/>
          <w:szCs w:val="17"/>
          <w:color w:val="auto"/>
        </w:rPr>
        <w:t>results may differ materially from the results anticipated in these forward-looking statements due to a variety of factors, including, without limitation, those discussed under the headings “Risk Factors” and "Management's Discussion and Analysis of Financial Condition and Results of Operations" and elsewhere in this prospectus supplement and the documents incorporated by reference herein, as well as other factors which may be identified from time to time in our other filings with the SEC, or in the documents in which such forward-looking statements appear. All written or oral forward-looking statements attributable to us are expressly qualified in their entirety by these cautionary statements.</w:t>
      </w:r>
    </w:p>
    <w:p>
      <w:pPr>
        <w:spacing w:after="0" w:line="163" w:lineRule="exact"/>
        <w:rPr>
          <w:sz w:val="20"/>
          <w:szCs w:val="20"/>
          <w:color w:val="auto"/>
        </w:rPr>
      </w:pPr>
    </w:p>
    <w:p>
      <w:pPr>
        <w:ind w:right="1120"/>
        <w:spacing w:after="0" w:line="233" w:lineRule="auto"/>
        <w:rPr>
          <w:sz w:val="20"/>
          <w:szCs w:val="20"/>
          <w:color w:val="auto"/>
        </w:rPr>
      </w:pPr>
      <w:r>
        <w:rPr>
          <w:rFonts w:ascii="Arial" w:cs="Arial" w:eastAsia="Arial" w:hAnsi="Arial"/>
          <w:sz w:val="16"/>
          <w:szCs w:val="16"/>
          <w:color w:val="auto"/>
        </w:rPr>
        <w:t>In particular, our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and completion of the trials, futility analyses and receipt of interim results; the timing of and our ability to obtain and maintain regulatory approval from the U.S. Food and Drug Administration, European Medicines Agency or other regulatory authority, or other anticipated regulatory action with respect to, our current or future product candidates; our ability to obtain additional capital necessary to fund our operations and our expectations relating to future capital requirements; our ability to generate revenues in the future; our ability to defend our intellectual property successfully or obtain the necessary licenses at a cost acceptable to us, if at all; the successful implementation of our research and development programs; the enforceability and success of our license agreements; the acceptance by the market of our product candidates, if approved; and other factors, including general economic conditions and regulatory developments, not within our control and discussed under the heading “Risk Factors,” including those risk factors that are incorporated by reference in this prospectus supplement and the accompanying prospectus.</w:t>
      </w:r>
    </w:p>
    <w:p>
      <w:pPr>
        <w:spacing w:after="0" w:line="169" w:lineRule="exact"/>
        <w:rPr>
          <w:sz w:val="20"/>
          <w:szCs w:val="20"/>
          <w:color w:val="auto"/>
        </w:rPr>
      </w:pPr>
    </w:p>
    <w:p>
      <w:pPr>
        <w:ind w:right="1280"/>
        <w:spacing w:after="0" w:line="223" w:lineRule="auto"/>
        <w:rPr>
          <w:sz w:val="20"/>
          <w:szCs w:val="20"/>
          <w:color w:val="auto"/>
        </w:rPr>
      </w:pPr>
      <w:r>
        <w:rPr>
          <w:rFonts w:ascii="Arial" w:cs="Arial" w:eastAsia="Arial" w:hAnsi="Arial"/>
          <w:sz w:val="18"/>
          <w:szCs w:val="18"/>
          <w:color w:val="auto"/>
        </w:rPr>
        <w:t>The forward-looking statements contained in this prospectus supplement and the accompanying prospectus reflect our views and assumptions only as of the date of this prospectus supplement. Except as required by law, we assume no responsibility for updating any forward-looking statements.</w:t>
      </w:r>
    </w:p>
    <w:p>
      <w:pPr>
        <w:spacing w:after="0" w:line="162" w:lineRule="exact"/>
        <w:rPr>
          <w:sz w:val="20"/>
          <w:szCs w:val="20"/>
          <w:color w:val="auto"/>
        </w:rPr>
      </w:pPr>
    </w:p>
    <w:p>
      <w:pPr>
        <w:jc w:val="both"/>
        <w:ind w:right="1320"/>
        <w:spacing w:after="0" w:line="223" w:lineRule="auto"/>
        <w:rPr>
          <w:sz w:val="20"/>
          <w:szCs w:val="20"/>
          <w:color w:val="auto"/>
        </w:rPr>
      </w:pPr>
      <w:r>
        <w:rPr>
          <w:rFonts w:ascii="Arial" w:cs="Arial" w:eastAsia="Arial" w:hAnsi="Arial"/>
          <w:sz w:val="18"/>
          <w:szCs w:val="18"/>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10500"/>
          </w:cols>
          <w:pgMar w:left="1260" w:top="114" w:right="13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 SUMMARY</w:t>
      </w:r>
    </w:p>
    <w:p>
      <w:pPr>
        <w:spacing w:after="0" w:line="147" w:lineRule="exact"/>
        <w:rPr>
          <w:sz w:val="20"/>
          <w:szCs w:val="20"/>
          <w:color w:val="auto"/>
        </w:rPr>
      </w:pPr>
    </w:p>
    <w:p>
      <w:pPr>
        <w:spacing w:after="0" w:line="234" w:lineRule="auto"/>
        <w:rPr>
          <w:sz w:val="20"/>
          <w:szCs w:val="20"/>
          <w:color w:val="auto"/>
        </w:rPr>
      </w:pPr>
      <w:r>
        <w:rPr>
          <w:rFonts w:ascii="Arial" w:cs="Arial" w:eastAsia="Arial" w:hAnsi="Arial"/>
          <w:sz w:val="16"/>
          <w:szCs w:val="16"/>
          <w:i w:val="1"/>
          <w:iCs w:val="1"/>
          <w:color w:val="auto"/>
        </w:rPr>
        <w:t>This summary highlights selected information contained elsewhere in, or incorporated by reference into, this prospectus supplement and the accompanying prospectus. Because it is only a summary, it does not contain all of the information that you should consider before investing in shares of our common stock and it is qualified in its entirety by, and should be read in conjunction with, the more detailed information appearing elsewhere in this prospectus supplement, the accompanying prospectus, any free writing prospectus that we have authorized for use in connection with this offering and the documents incorporated by reference in this prospectus supplement and the accompanying prospectus. You should read all such documents carefully and you should pay special attention to the information contained under the caption entitled “Risk Factors” in this prospectus, in our Annual Reports on Form 10-K, in any subsequent Quarterly Reports on Form 10-Q and in our other reports filed from time to time with the SEC, which are incorporated by reference into this prospectus, before deciding to buy shares of our common stock. Unless the context requires otherwise, references in this prospectus supplement and the accompanying prospectus to “Axsome,” “we,” “us” and “our” refer to Axsome Therapeutics, Inc. and our subsidiaries.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47" w:lineRule="exact"/>
        <w:rPr>
          <w:sz w:val="20"/>
          <w:szCs w:val="20"/>
          <w:color w:val="auto"/>
        </w:rPr>
      </w:pPr>
    </w:p>
    <w:p>
      <w:pPr>
        <w:ind w:right="60"/>
        <w:spacing w:after="0"/>
        <w:rPr>
          <w:sz w:val="20"/>
          <w:szCs w:val="20"/>
          <w:color w:val="auto"/>
        </w:rPr>
      </w:pPr>
      <w:r>
        <w:rPr>
          <w:rFonts w:ascii="Arial" w:cs="Arial" w:eastAsia="Arial" w:hAnsi="Arial"/>
          <w:sz w:val="16"/>
          <w:szCs w:val="16"/>
          <w:color w:val="auto"/>
        </w:rPr>
        <w:t>We are a clinical-stage biopharmaceutical company developing novel therapies for the management of central nervous system, or CNS, disorders for which there are limited treatment options. By focusing on this therapeutic area, we are addressing significant and growing markets where current treatment options are limited or inadequate. Our core CNS portfolio includes four CNS product candidates, AXS-05, AXS-07, AXS-09, and AXS-12, which are being developed for multiple indications. AXS-05 is currently in a Phase 3 trial in treatment resistant depression, or TRD, which we refer to as the STRIDE-1 study, a Phase 3 open-label safety trial in patients with TRD and major depressive disorder, or MDD; and a Phase 2/3 trial in agitation associated with Alzheimer's disease, or AD, which we refer to as the ADVANCE-1 study. We have completed a Phase 2 trial in MDD, which we refer to as the ASCEND study, a Phase 3 trial which we refer to as the GEMINI study, and a Phase 2 trial in smoking cessation. AXS -07 is currently in two Phase 3 trials for the acute treatment of migraine, which we refer to as the MOMENTUM and the INTERCEPT studies, and a Phase 3 open-label safety trial in patients with migraine. AXS-12 is being developed for the treatment of narcolepsy. We have completed a Phase 2 trial, which we refer to as the CONCERT study. The Axsome Pain and Primary Care business unit, or Axsome PPC, houses our pain and primary care assets, including AXS-02 and AXS-06, and intellectual property which covers these and related product candidates and molecules being developed by us and others. AXS-02 is being developed for the treatment of knee osteoarthritis, or OA, associated with bone marrow lesions, or BMLs. AXS-06 is being developed for the treatment of osteoarthritis and rheumatoid arthritis and for the reduction of the risk of nonsteroidal anti-inflammatory drug, or NSAID, associated gastrointestinal ulcers. Additionally, we are currently evaluating other product candidates, which we intend to develop for CNS disorders. We aim to become a fully integrated biopharmaceutical company that develops and commercializes differentiated therapies that expand the treatment options available to caregivers and improve the lives of patients living with CNS disorders.</w:t>
      </w:r>
    </w:p>
    <w:p>
      <w:pPr>
        <w:spacing w:after="0" w:line="224" w:lineRule="exact"/>
        <w:rPr>
          <w:sz w:val="20"/>
          <w:szCs w:val="20"/>
          <w:color w:val="auto"/>
        </w:rPr>
      </w:pPr>
    </w:p>
    <w:p>
      <w:pPr>
        <w:ind w:right="60"/>
        <w:spacing w:after="0" w:line="222" w:lineRule="auto"/>
        <w:rPr>
          <w:sz w:val="20"/>
          <w:szCs w:val="20"/>
          <w:color w:val="auto"/>
        </w:rPr>
      </w:pPr>
      <w:r>
        <w:rPr>
          <w:rFonts w:ascii="Arial" w:cs="Arial" w:eastAsia="Arial" w:hAnsi="Arial"/>
          <w:sz w:val="17"/>
          <w:szCs w:val="17"/>
          <w:color w:val="auto"/>
        </w:rPr>
        <w:t>AXS-05 is a novel, oral, investigational NMDA receptor antagonist with multimodal activity under development for the treatment of CNS disorders. AXS-05 consists of bupropion and dextromethorphan, or DM, and utilizes our metabolic inhibition technology. We are developing AXS-05 initially for the following four indications: TRD, agitation associated with AD, MDD, and as an aid to smoking cessation. The DM component of AXS-05 is a non-competitive N-methyl-D-aspartate, or NMDA, receptor antagonist, also known as a glutamate receptor modulator. The DM component of AXS-05 is also a sigma-1 receptor agonist, nicotinic acetylcholine receptor antagonist, and inhibitor of the serotonin and norepinephrine transporters. The bupropion component of AXS-05 serves to increase the bioavailability of dextromethorphan, and is a norepinephrine and dopamine reuptake inhibitor, and a nicotinic acetylcholine receptor antagonist. We intend to seek U.S. Food and Drug Administration, or FDA, approval for AXS-05 utilizing the 505(b)(2) regulatory development pathway.</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400"/>
          </w:cols>
          <w:pgMar w:left="1260" w:top="114" w:right="123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4" w:lineRule="exact"/>
        <w:rPr>
          <w:sz w:val="20"/>
          <w:szCs w:val="20"/>
          <w:color w:val="auto"/>
        </w:rPr>
      </w:pPr>
    </w:p>
    <w:p>
      <w:pPr>
        <w:ind w:right="20"/>
        <w:spacing w:after="0" w:line="218" w:lineRule="auto"/>
        <w:rPr>
          <w:sz w:val="20"/>
          <w:szCs w:val="20"/>
          <w:color w:val="auto"/>
        </w:rPr>
      </w:pPr>
      <w:r>
        <w:rPr>
          <w:rFonts w:ascii="Arial" w:cs="Arial" w:eastAsia="Arial" w:hAnsi="Arial"/>
          <w:sz w:val="16"/>
          <w:szCs w:val="16"/>
          <w:color w:val="auto"/>
        </w:rPr>
        <w:t>AXS-07 is a novel, oral, investigational medicine with distinct dual mechanisms of action consisting of MoSEIC™, or Molecular Solubility Enhanced Inclusion Complex, meloxicam and rizatriptan. We are developing AXS-07 initially for the acute treatment of migraine. Meloxicam is a long-acting nonsteroidal anti-inflammatory drug, or NSAID, with COX-2, an enzyme involved in inflammation and pain pathways, preferential inhibition and potent pain-relieving effects. However, standard meloxicam has an extended time to maximum plasma concentration, or T</w:t>
      </w:r>
      <w:r>
        <w:rPr>
          <w:rFonts w:ascii="Arial" w:cs="Arial" w:eastAsia="Arial" w:hAnsi="Arial"/>
          <w:sz w:val="26"/>
          <w:szCs w:val="26"/>
          <w:color w:val="auto"/>
          <w:vertAlign w:val="subscript"/>
        </w:rPr>
        <w:t>max</w:t>
      </w:r>
      <w:r>
        <w:rPr>
          <w:rFonts w:ascii="Arial" w:cs="Arial" w:eastAsia="Arial" w:hAnsi="Arial"/>
          <w:sz w:val="16"/>
          <w:szCs w:val="16"/>
          <w:color w:val="auto"/>
        </w:rPr>
        <w:t>, which delays its onset of action. AXS-07 utilizes our proprietary</w:t>
      </w:r>
    </w:p>
    <w:p>
      <w:pPr>
        <w:spacing w:after="0" w:line="3" w:lineRule="exact"/>
        <w:rPr>
          <w:sz w:val="20"/>
          <w:szCs w:val="20"/>
          <w:color w:val="auto"/>
        </w:rPr>
      </w:pPr>
    </w:p>
    <w:p>
      <w:pPr>
        <w:ind w:right="40"/>
        <w:spacing w:after="0" w:line="208" w:lineRule="auto"/>
        <w:rPr>
          <w:sz w:val="20"/>
          <w:szCs w:val="20"/>
          <w:color w:val="auto"/>
        </w:rPr>
      </w:pPr>
      <w:r>
        <w:rPr>
          <w:rFonts w:ascii="Arial" w:cs="Arial" w:eastAsia="Arial" w:hAnsi="Arial"/>
          <w:sz w:val="16"/>
          <w:szCs w:val="16"/>
          <w:color w:val="auto"/>
        </w:rPr>
        <w:t>MoSEIC™ technology to substantially increase the solubility and speed the absorption of meloxicam while potentially maintaining durability of action. Meloxicam is a new molecular entity for migraine enabled by our MoSEIC™ technology. Rizatriptan is a 5-HT</w:t>
      </w:r>
      <w:r>
        <w:rPr>
          <w:rFonts w:ascii="Arial" w:cs="Arial" w:eastAsia="Arial" w:hAnsi="Arial"/>
          <w:sz w:val="26"/>
          <w:szCs w:val="26"/>
          <w:color w:val="auto"/>
          <w:vertAlign w:val="subscript"/>
        </w:rPr>
        <w:t>1B/D</w:t>
      </w:r>
      <w:r>
        <w:rPr>
          <w:rFonts w:ascii="Arial" w:cs="Arial" w:eastAsia="Arial" w:hAnsi="Arial"/>
          <w:sz w:val="16"/>
          <w:szCs w:val="16"/>
          <w:color w:val="auto"/>
        </w:rPr>
        <w:t xml:space="preserve"> agonist that inhibits calcitonin gene-related peptide, or CGRP-mediated vasodilation, has been shown to</w:t>
      </w:r>
    </w:p>
    <w:p>
      <w:pPr>
        <w:ind w:right="300"/>
        <w:spacing w:after="0" w:line="217" w:lineRule="auto"/>
        <w:rPr>
          <w:sz w:val="20"/>
          <w:szCs w:val="20"/>
          <w:color w:val="auto"/>
        </w:rPr>
      </w:pPr>
      <w:r>
        <w:rPr>
          <w:rFonts w:ascii="Arial" w:cs="Arial" w:eastAsia="Arial" w:hAnsi="Arial"/>
          <w:sz w:val="18"/>
          <w:szCs w:val="18"/>
          <w:color w:val="auto"/>
        </w:rPr>
        <w:t>have central trigeminal antinociceptive activity, and may reduce the release of inflammatory mediators from trigeminal nerves. Rizatriptan is approved as a single agent for the acute treatment of migraine. We intend to seek FDA approval for AXS-07 utilizing the 505(b)(2) regulatory development pathway.</w:t>
      </w:r>
    </w:p>
    <w:p>
      <w:pPr>
        <w:spacing w:after="0" w:line="162" w:lineRule="exact"/>
        <w:rPr>
          <w:sz w:val="20"/>
          <w:szCs w:val="20"/>
          <w:color w:val="auto"/>
        </w:rPr>
      </w:pPr>
    </w:p>
    <w:p>
      <w:pPr>
        <w:spacing w:after="0" w:line="225" w:lineRule="auto"/>
        <w:rPr>
          <w:sz w:val="20"/>
          <w:szCs w:val="20"/>
          <w:color w:val="auto"/>
        </w:rPr>
      </w:pPr>
      <w:r>
        <w:rPr>
          <w:rFonts w:ascii="Arial" w:cs="Arial" w:eastAsia="Arial" w:hAnsi="Arial"/>
          <w:sz w:val="17"/>
          <w:szCs w:val="17"/>
          <w:color w:val="auto"/>
        </w:rPr>
        <w:t xml:space="preserve">AXS-09 is a novel, oral, investigational medicine consisting of esbupropion and DM, which is being developed for the treatment of CNS disorders. AXS-09 contains esbupropion, the chirally pure </w:t>
      </w:r>
      <w:r>
        <w:rPr>
          <w:rFonts w:ascii="Arial" w:cs="Arial" w:eastAsia="Arial" w:hAnsi="Arial"/>
          <w:sz w:val="17"/>
          <w:szCs w:val="17"/>
          <w:i w:val="1"/>
          <w:iCs w:val="1"/>
          <w:color w:val="auto"/>
        </w:rPr>
        <w:t>S</w:t>
      </w:r>
      <w:r>
        <w:rPr>
          <w:rFonts w:ascii="Arial" w:cs="Arial" w:eastAsia="Arial" w:hAnsi="Arial"/>
          <w:sz w:val="17"/>
          <w:szCs w:val="17"/>
          <w:color w:val="auto"/>
        </w:rPr>
        <w:t xml:space="preserve">-enantiomer of bupropion, as compared to the company’s first generation product candidate AXS-05 which contains racemic bupropion, equal amounts of the </w:t>
      </w:r>
      <w:r>
        <w:rPr>
          <w:rFonts w:ascii="Arial" w:cs="Arial" w:eastAsia="Arial" w:hAnsi="Arial"/>
          <w:sz w:val="17"/>
          <w:szCs w:val="17"/>
          <w:i w:val="1"/>
          <w:iCs w:val="1"/>
          <w:color w:val="auto"/>
        </w:rPr>
        <w:t>S</w:t>
      </w:r>
      <w:r>
        <w:rPr>
          <w:rFonts w:ascii="Arial" w:cs="Arial" w:eastAsia="Arial" w:hAnsi="Arial"/>
          <w:sz w:val="17"/>
          <w:szCs w:val="17"/>
          <w:color w:val="auto"/>
        </w:rPr>
        <w:t xml:space="preserve">- and </w:t>
      </w:r>
      <w:r>
        <w:rPr>
          <w:rFonts w:ascii="Arial" w:cs="Arial" w:eastAsia="Arial" w:hAnsi="Arial"/>
          <w:sz w:val="17"/>
          <w:szCs w:val="17"/>
          <w:i w:val="1"/>
          <w:iCs w:val="1"/>
          <w:color w:val="auto"/>
        </w:rPr>
        <w:t>R</w:t>
      </w:r>
      <w:r>
        <w:rPr>
          <w:rFonts w:ascii="Arial" w:cs="Arial" w:eastAsia="Arial" w:hAnsi="Arial"/>
          <w:sz w:val="17"/>
          <w:szCs w:val="17"/>
          <w:color w:val="auto"/>
        </w:rPr>
        <w:t xml:space="preserve">-enantiomers. We have demonstrated in a Phase 1 trial that DM plasma levels are substantially increased into a potentially therapeutic range with repeated administration of AXS-09. Results of this Phase 1 trial coupled with preclinical data also indicate the potential for enhanced absorption and therapeutic effect of the </w:t>
      </w:r>
      <w:r>
        <w:rPr>
          <w:rFonts w:ascii="Arial" w:cs="Arial" w:eastAsia="Arial" w:hAnsi="Arial"/>
          <w:sz w:val="17"/>
          <w:szCs w:val="17"/>
          <w:i w:val="1"/>
          <w:iCs w:val="1"/>
          <w:color w:val="auto"/>
        </w:rPr>
        <w:t>S</w:t>
      </w:r>
      <w:r>
        <w:rPr>
          <w:rFonts w:ascii="Arial" w:cs="Arial" w:eastAsia="Arial" w:hAnsi="Arial"/>
          <w:sz w:val="17"/>
          <w:szCs w:val="17"/>
          <w:color w:val="auto"/>
        </w:rPr>
        <w:t xml:space="preserve">-enantiomer as compared to the </w:t>
      </w:r>
      <w:r>
        <w:rPr>
          <w:rFonts w:ascii="Arial" w:cs="Arial" w:eastAsia="Arial" w:hAnsi="Arial"/>
          <w:sz w:val="17"/>
          <w:szCs w:val="17"/>
          <w:i w:val="1"/>
          <w:iCs w:val="1"/>
          <w:color w:val="auto"/>
        </w:rPr>
        <w:t>R</w:t>
      </w:r>
      <w:r>
        <w:rPr>
          <w:rFonts w:ascii="Arial" w:cs="Arial" w:eastAsia="Arial" w:hAnsi="Arial"/>
          <w:sz w:val="17"/>
          <w:szCs w:val="17"/>
          <w:color w:val="auto"/>
        </w:rPr>
        <w:t>-enantiomer.</w:t>
      </w:r>
    </w:p>
    <w:p>
      <w:pPr>
        <w:spacing w:after="0" w:line="164" w:lineRule="exact"/>
        <w:rPr>
          <w:sz w:val="20"/>
          <w:szCs w:val="20"/>
          <w:color w:val="auto"/>
        </w:rPr>
      </w:pPr>
    </w:p>
    <w:p>
      <w:pPr>
        <w:spacing w:after="0" w:line="215" w:lineRule="auto"/>
        <w:rPr>
          <w:sz w:val="20"/>
          <w:szCs w:val="20"/>
          <w:color w:val="auto"/>
        </w:rPr>
      </w:pPr>
      <w:r>
        <w:rPr>
          <w:rFonts w:ascii="Arial" w:cs="Arial" w:eastAsia="Arial" w:hAnsi="Arial"/>
          <w:sz w:val="18"/>
          <w:szCs w:val="18"/>
          <w:color w:val="auto"/>
        </w:rPr>
        <w:t>AXS-12, reboxetine, is a novel, oral, investigational medicine in development for treatment of narcolepsy. AXS-12 is a highly selective and potent norepinephrine reuptake inhibitor. The potential utility of AXS-12 in narcolepsy is supported by positive pre-clinical and clinical results in narcolepsy, and an extensive positive clinical safety record. Reboxetine, the active agent in AXS-12, significantly and dose-dependently reduced narcoleptic episodes in hypocretin, or orexin-deficient mice, a well-established genetic animal model of narcolepsy.</w:t>
      </w:r>
    </w:p>
    <w:p>
      <w:pPr>
        <w:spacing w:after="0" w:line="162" w:lineRule="exact"/>
        <w:rPr>
          <w:sz w:val="20"/>
          <w:szCs w:val="20"/>
          <w:color w:val="auto"/>
        </w:rPr>
      </w:pPr>
    </w:p>
    <w:p>
      <w:pPr>
        <w:ind w:right="220"/>
        <w:spacing w:after="0" w:line="242" w:lineRule="auto"/>
        <w:rPr>
          <w:sz w:val="20"/>
          <w:szCs w:val="20"/>
          <w:color w:val="auto"/>
        </w:rPr>
      </w:pPr>
      <w:r>
        <w:rPr>
          <w:rFonts w:ascii="Arial" w:cs="Arial" w:eastAsia="Arial" w:hAnsi="Arial"/>
          <w:sz w:val="16"/>
          <w:szCs w:val="16"/>
          <w:color w:val="auto"/>
        </w:rPr>
        <w:t>The Axsome PPC unit houses Axsome’s pain and primary care assets, including AXS-02 and AXS-06, and intellectual property which covers these and related product candidates and molecules being developed by Axsome and others. AXS-02 is being developed for the treatment of knee osteoarthritis, or OA, associated with bone marrow lesions, or BMLs, and chronic low back pain, or CLBP, associated with Modic changes, or MCs. AXS-06 is being developed for the treatment of osteoarthritis and rheumatoid arthritis and for the reduction of the risk of NSAID-associated gastrointestinal ulcers.</w:t>
      </w:r>
    </w:p>
    <w:p>
      <w:pPr>
        <w:spacing w:after="0" w:line="161" w:lineRule="exact"/>
        <w:rPr>
          <w:sz w:val="20"/>
          <w:szCs w:val="20"/>
          <w:color w:val="auto"/>
        </w:rPr>
      </w:pPr>
    </w:p>
    <w:p>
      <w:pPr>
        <w:ind w:right="40"/>
        <w:spacing w:after="0" w:line="184" w:lineRule="exact"/>
        <w:rPr>
          <w:sz w:val="20"/>
          <w:szCs w:val="20"/>
          <w:color w:val="auto"/>
        </w:rPr>
      </w:pPr>
      <w:r>
        <w:rPr>
          <w:rFonts w:ascii="Arial" w:cs="Arial" w:eastAsia="Arial" w:hAnsi="Arial"/>
          <w:sz w:val="16"/>
          <w:szCs w:val="16"/>
          <w:color w:val="auto"/>
        </w:rPr>
        <w:t>AXS</w:t>
      </w:r>
      <w:r>
        <w:rPr>
          <w:rFonts w:ascii="MS PGothic" w:cs="MS PGothic" w:eastAsia="MS PGothic" w:hAnsi="MS PGothic"/>
          <w:sz w:val="16"/>
          <w:szCs w:val="16"/>
          <w:color w:val="auto"/>
        </w:rPr>
        <w:t>‑</w:t>
      </w:r>
      <w:r>
        <w:rPr>
          <w:rFonts w:ascii="Arial" w:cs="Arial" w:eastAsia="Arial" w:hAnsi="Arial"/>
          <w:sz w:val="16"/>
          <w:szCs w:val="16"/>
          <w:color w:val="auto"/>
        </w:rPr>
        <w:t>02, disodium zoledronate tetrahydrate, is a potentially first</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class, oral, targeted, non</w:t>
      </w:r>
      <w:r>
        <w:rPr>
          <w:rFonts w:ascii="MS PGothic" w:cs="MS PGothic" w:eastAsia="MS PGothic" w:hAnsi="MS PGothic"/>
          <w:sz w:val="16"/>
          <w:szCs w:val="16"/>
          <w:color w:val="auto"/>
        </w:rPr>
        <w:t>‑</w:t>
      </w:r>
      <w:r>
        <w:rPr>
          <w:rFonts w:ascii="Arial" w:cs="Arial" w:eastAsia="Arial" w:hAnsi="Arial"/>
          <w:sz w:val="16"/>
          <w:szCs w:val="16"/>
          <w:color w:val="auto"/>
        </w:rPr>
        <w:t>opioid therapeutic for chronic pain. AXS</w:t>
      </w:r>
      <w:r>
        <w:rPr>
          <w:rFonts w:ascii="MS PGothic" w:cs="MS PGothic" w:eastAsia="MS PGothic" w:hAnsi="MS PGothic"/>
          <w:sz w:val="16"/>
          <w:szCs w:val="16"/>
          <w:color w:val="auto"/>
        </w:rPr>
        <w:t>‑</w:t>
      </w:r>
      <w:r>
        <w:rPr>
          <w:rFonts w:ascii="Arial" w:cs="Arial" w:eastAsia="Arial" w:hAnsi="Arial"/>
          <w:sz w:val="16"/>
          <w:szCs w:val="16"/>
          <w:color w:val="auto"/>
        </w:rPr>
        <w:t>02 is a potent inhibitor of osteoclasts, which are bone remodeling cells that break down bone tissue. We are developing AXS</w:t>
      </w:r>
      <w:r>
        <w:rPr>
          <w:rFonts w:ascii="MS PGothic" w:cs="MS PGothic" w:eastAsia="MS PGothic" w:hAnsi="MS PGothic"/>
          <w:sz w:val="16"/>
          <w:szCs w:val="16"/>
          <w:color w:val="auto"/>
        </w:rPr>
        <w:t>‑</w:t>
      </w:r>
      <w:r>
        <w:rPr>
          <w:rFonts w:ascii="Arial" w:cs="Arial" w:eastAsia="Arial" w:hAnsi="Arial"/>
          <w:sz w:val="16"/>
          <w:szCs w:val="16"/>
          <w:color w:val="auto"/>
        </w:rPr>
        <w:t>02 for the treatment of pain in the following two conditions: knee OA associated with BMLs and CLBP associated with type 1 or mixed type 1 and type 2 MCs. These conditions exhibit target lesions or specific pathology that we believe may be addressed by the mechanisms of action of AXS</w:t>
      </w:r>
      <w:r>
        <w:rPr>
          <w:rFonts w:ascii="MS PGothic" w:cs="MS PGothic" w:eastAsia="MS PGothic" w:hAnsi="MS PGothic"/>
          <w:sz w:val="16"/>
          <w:szCs w:val="16"/>
          <w:color w:val="auto"/>
        </w:rPr>
        <w:t>‑</w:t>
      </w:r>
      <w:r>
        <w:rPr>
          <w:rFonts w:ascii="Arial" w:cs="Arial" w:eastAsia="Arial" w:hAnsi="Arial"/>
          <w:sz w:val="16"/>
          <w:szCs w:val="16"/>
          <w:color w:val="auto"/>
        </w:rPr>
        <w:t>02, such as inhibition of osteoclast activity. These mechanisms may result in a reduction of pain in these conditions. We intend to seek FDA approval for AXS</w:t>
      </w:r>
      <w:r>
        <w:rPr>
          <w:rFonts w:ascii="MS PGothic" w:cs="MS PGothic" w:eastAsia="MS PGothic" w:hAnsi="MS PGothic"/>
          <w:sz w:val="16"/>
          <w:szCs w:val="16"/>
          <w:color w:val="auto"/>
        </w:rPr>
        <w:t>‑</w:t>
      </w:r>
      <w:r>
        <w:rPr>
          <w:rFonts w:ascii="Arial" w:cs="Arial" w:eastAsia="Arial" w:hAnsi="Arial"/>
          <w:sz w:val="16"/>
          <w:szCs w:val="16"/>
          <w:color w:val="auto"/>
        </w:rPr>
        <w:t>02 utilizing the 505(b)(2) regulatory development pathway.</w:t>
      </w:r>
    </w:p>
    <w:p>
      <w:pPr>
        <w:spacing w:after="0" w:line="164" w:lineRule="exact"/>
        <w:rPr>
          <w:sz w:val="20"/>
          <w:szCs w:val="20"/>
          <w:color w:val="auto"/>
        </w:rPr>
      </w:pPr>
    </w:p>
    <w:p>
      <w:pPr>
        <w:ind w:right="80"/>
        <w:spacing w:after="0" w:line="221" w:lineRule="auto"/>
        <w:rPr>
          <w:sz w:val="20"/>
          <w:szCs w:val="20"/>
          <w:color w:val="auto"/>
        </w:rPr>
      </w:pPr>
      <w:r>
        <w:rPr>
          <w:rFonts w:ascii="Arial" w:cs="Arial" w:eastAsia="Arial" w:hAnsi="Arial"/>
          <w:sz w:val="16"/>
          <w:szCs w:val="16"/>
          <w:color w:val="auto"/>
        </w:rPr>
        <w:t>AXS-06 is a novel, oral, non-opioid, fixed-dose combination of MoSEIC™ meloxicam and esomeprazole. We are developing AXS-06 initially for the treatment of osteoarthritis and rheumatoid arthritis. Esomeprazole is a proton pump inhibitor which lowers stomach acidity and which has been shown to reduce the occurrence of NSAID-associated gastrointestinal ulcers. AXS-06 is designed to provide rapid, effective pain relief, and to reduce the risk of NSAID-associated gastrointestinal ulcers, with convenient once-daily dosing. We have successfully completed a Phase 1 trial of AXS-06 to characterize the pharmacokinetics of meloxicam and esomeprazole after oral administration of AXS-06. The results of our Phase 1 trial demonstrated that the median T</w:t>
      </w:r>
      <w:r>
        <w:rPr>
          <w:rFonts w:ascii="Arial" w:cs="Arial" w:eastAsia="Arial" w:hAnsi="Arial"/>
          <w:sz w:val="26"/>
          <w:szCs w:val="26"/>
          <w:color w:val="auto"/>
          <w:vertAlign w:val="subscript"/>
        </w:rPr>
        <w:t>max</w:t>
      </w:r>
      <w:r>
        <w:rPr>
          <w:rFonts w:ascii="Arial" w:cs="Arial" w:eastAsia="Arial" w:hAnsi="Arial"/>
          <w:sz w:val="16"/>
          <w:szCs w:val="16"/>
          <w:color w:val="auto"/>
        </w:rPr>
        <w:t xml:space="preserve"> for meloxicam, the trial's primary endpoint, was nine times faster for AXS-06 as compared to standard meloxicam. We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intend to seek FDA approval for AXS-06 utilizing the 505(b)(2) regulatory development pathway.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80"/>
          </w:cols>
          <w:pgMar w:left="1260" w:top="114" w:right="125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Our current CNS product candidate pipeline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107950</wp:posOffset>
            </wp:positionV>
            <wp:extent cx="5736590" cy="22193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36590" cy="221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Additionally, our PPC product candidate pipeline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107950</wp:posOffset>
            </wp:positionV>
            <wp:extent cx="5736590" cy="1306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36590" cy="1306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87" w:lineRule="exact"/>
        <w:rPr>
          <w:sz w:val="20"/>
          <w:szCs w:val="20"/>
          <w:color w:val="auto"/>
        </w:rPr>
      </w:pPr>
    </w:p>
    <w:p>
      <w:pPr>
        <w:ind w:right="100"/>
        <w:spacing w:after="0" w:line="202" w:lineRule="exact"/>
        <w:rPr>
          <w:sz w:val="20"/>
          <w:szCs w:val="20"/>
          <w:color w:val="auto"/>
        </w:rPr>
      </w:pPr>
      <w:r>
        <w:rPr>
          <w:rFonts w:ascii="Arial" w:cs="Arial" w:eastAsia="Arial" w:hAnsi="Arial"/>
          <w:sz w:val="18"/>
          <w:szCs w:val="18"/>
          <w:color w:val="auto"/>
        </w:rPr>
        <w:t>We were incorporated under the laws of the State of Delaware in January 2012. Our principal executive offices are located at 200 Broadway, 3rd Floor, New York, New York 10038, and our telephone number is (212) 332</w:t>
      </w:r>
      <w:r>
        <w:rPr>
          <w:rFonts w:ascii="MS PGothic" w:cs="MS PGothic" w:eastAsia="MS PGothic" w:hAnsi="MS PGothic"/>
          <w:sz w:val="18"/>
          <w:szCs w:val="18"/>
          <w:color w:val="auto"/>
        </w:rPr>
        <w:t>‑</w:t>
      </w:r>
      <w:r>
        <w:rPr>
          <w:rFonts w:ascii="Arial" w:cs="Arial" w:eastAsia="Arial" w:hAnsi="Arial"/>
          <w:sz w:val="18"/>
          <w:szCs w:val="18"/>
          <w:color w:val="auto"/>
        </w:rPr>
        <w:t>3241.</w:t>
      </w:r>
    </w:p>
    <w:p>
      <w:pPr>
        <w:spacing w:after="0" w:line="161"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 xml:space="preserve">Information concerning our business and our prospects is included in the documents that we file with the SEC as a reporting company under the Exchange Act, which are accessible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and on our website at </w:t>
      </w:r>
      <w:r>
        <w:rPr>
          <w:rFonts w:ascii="Arial" w:cs="Arial" w:eastAsia="Arial" w:hAnsi="Arial"/>
          <w:sz w:val="17"/>
          <w:szCs w:val="17"/>
          <w:i w:val="1"/>
          <w:iCs w:val="1"/>
          <w:color w:val="auto"/>
        </w:rPr>
        <w:t>www.axsome.com</w:t>
      </w:r>
      <w:r>
        <w:rPr>
          <w:rFonts w:ascii="Arial" w:cs="Arial" w:eastAsia="Arial" w:hAnsi="Arial"/>
          <w:sz w:val="17"/>
          <w:szCs w:val="17"/>
          <w:color w:val="auto"/>
        </w:rPr>
        <w:t>. The information contained on, or that can be accessed through, our website is not a part of this prospectus supplement. Investors should not rely on any such information in deciding whether to purchase our common stock. We have included our website address in this prospectus supplement solely as an inactive textual reference.</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60"/>
          </w:cols>
          <w:pgMar w:left="1260" w:top="114" w:right="127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87" w:lineRule="exact"/>
        <w:rPr>
          <w:sz w:val="20"/>
          <w:szCs w:val="20"/>
          <w:color w:val="auto"/>
        </w:rPr>
      </w:pPr>
    </w:p>
    <w:p>
      <w:pPr>
        <w:ind w:right="100"/>
        <w:spacing w:after="0" w:line="223"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An emerging growth company may take advantage of relief from certain reporting requirements and other burdens that are otherwise generally applicable to public companies. These provisions include:</w:t>
      </w:r>
    </w:p>
    <w:p>
      <w:pPr>
        <w:spacing w:after="0" w:line="162" w:lineRule="exact"/>
        <w:rPr>
          <w:sz w:val="20"/>
          <w:szCs w:val="20"/>
          <w:color w:val="auto"/>
        </w:rPr>
      </w:pPr>
    </w:p>
    <w:p>
      <w:pPr>
        <w:ind w:left="960" w:right="80"/>
        <w:spacing w:after="0" w:line="223" w:lineRule="auto"/>
        <w:rPr>
          <w:sz w:val="20"/>
          <w:szCs w:val="20"/>
          <w:color w:val="auto"/>
        </w:rPr>
      </w:pPr>
      <w:r>
        <w:rPr>
          <w:rFonts w:ascii="Arial" w:cs="Arial" w:eastAsia="Arial" w:hAnsi="Arial"/>
          <w:sz w:val="18"/>
          <w:szCs w:val="18"/>
          <w:color w:val="auto"/>
        </w:rPr>
        <w:t>requirement for only two years of audited financial statements, in addition to any required unaudited interim financial statements, with correspondingly reduced “Management’s Discussion and Analysis of Financial Condition and Results of Operations” disclosure;</w:t>
      </w:r>
    </w:p>
    <w:p>
      <w:pPr>
        <w:spacing w:after="0" w:line="162" w:lineRule="exact"/>
        <w:rPr>
          <w:sz w:val="20"/>
          <w:szCs w:val="20"/>
          <w:color w:val="auto"/>
        </w:rPr>
      </w:pPr>
    </w:p>
    <w:p>
      <w:pPr>
        <w:ind w:left="960" w:right="560"/>
        <w:spacing w:after="0" w:line="234" w:lineRule="auto"/>
        <w:rPr>
          <w:sz w:val="20"/>
          <w:szCs w:val="20"/>
          <w:color w:val="auto"/>
        </w:rPr>
      </w:pPr>
      <w:r>
        <w:rPr>
          <w:rFonts w:ascii="Arial" w:cs="Arial" w:eastAsia="Arial" w:hAnsi="Arial"/>
          <w:sz w:val="18"/>
          <w:szCs w:val="18"/>
          <w:color w:val="auto"/>
        </w:rPr>
        <w:t>exemption from the auditor attestation requirement on the effectiveness of our internal controls over financial reporting;</w:t>
      </w:r>
    </w:p>
    <w:p>
      <w:pPr>
        <w:spacing w:after="0" w:line="16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reduced disclosure about our executive compensation arrangements; and</w:t>
      </w:r>
    </w:p>
    <w:p>
      <w:pPr>
        <w:spacing w:after="0" w:line="183" w:lineRule="exact"/>
        <w:rPr>
          <w:sz w:val="20"/>
          <w:szCs w:val="20"/>
          <w:color w:val="auto"/>
        </w:rPr>
      </w:pPr>
    </w:p>
    <w:p>
      <w:pPr>
        <w:ind w:left="960"/>
        <w:spacing w:after="0" w:line="196" w:lineRule="exact"/>
        <w:rPr>
          <w:sz w:val="20"/>
          <w:szCs w:val="20"/>
          <w:color w:val="auto"/>
        </w:rPr>
      </w:pPr>
      <w:r>
        <w:rPr>
          <w:rFonts w:ascii="Arial" w:cs="Arial" w:eastAsia="Arial" w:hAnsi="Arial"/>
          <w:sz w:val="17"/>
          <w:szCs w:val="17"/>
          <w:color w:val="auto"/>
        </w:rPr>
        <w:t>no requirements for non</w:t>
      </w:r>
      <w:r>
        <w:rPr>
          <w:rFonts w:ascii="MS PGothic" w:cs="MS PGothic" w:eastAsia="MS PGothic" w:hAnsi="MS PGothic"/>
          <w:sz w:val="17"/>
          <w:szCs w:val="17"/>
          <w:color w:val="auto"/>
        </w:rPr>
        <w:t>‑</w:t>
      </w:r>
      <w:r>
        <w:rPr>
          <w:rFonts w:ascii="Arial" w:cs="Arial" w:eastAsia="Arial" w:hAnsi="Arial"/>
          <w:sz w:val="17"/>
          <w:szCs w:val="17"/>
          <w:color w:val="auto"/>
        </w:rPr>
        <w:t>binding advisory votes on executive compensation or golden parachute arrangements.</w:t>
      </w:r>
    </w:p>
    <w:p>
      <w:pPr>
        <w:spacing w:after="0" w:line="194" w:lineRule="exact"/>
        <w:rPr>
          <w:sz w:val="20"/>
          <w:szCs w:val="20"/>
          <w:color w:val="auto"/>
        </w:rPr>
      </w:pPr>
    </w:p>
    <w:p>
      <w:pPr>
        <w:spacing w:after="0" w:line="183" w:lineRule="exact"/>
        <w:rPr>
          <w:sz w:val="20"/>
          <w:szCs w:val="20"/>
          <w:color w:val="auto"/>
        </w:rPr>
      </w:pPr>
      <w:r>
        <w:rPr>
          <w:rFonts w:ascii="Arial" w:cs="Arial" w:eastAsia="Arial" w:hAnsi="Arial"/>
          <w:sz w:val="16"/>
          <w:szCs w:val="16"/>
          <w:color w:val="auto"/>
        </w:rPr>
        <w:t>We may take advantage of these provisions until December 31, 2020 or such earlier time that we no longer qualify as an emerging growth company. We would cease to be an emerging growth company if we have more than $1.07 billion in total annual gross revenue, have more than $700 million in market value of our capital stock held by non</w:t>
      </w:r>
      <w:r>
        <w:rPr>
          <w:rFonts w:ascii="MS PGothic" w:cs="MS PGothic" w:eastAsia="MS PGothic" w:hAnsi="MS PGothic"/>
          <w:sz w:val="16"/>
          <w:szCs w:val="16"/>
          <w:color w:val="auto"/>
        </w:rPr>
        <w:t>‑</w:t>
      </w:r>
      <w:r>
        <w:rPr>
          <w:rFonts w:ascii="Arial" w:cs="Arial" w:eastAsia="Arial" w:hAnsi="Arial"/>
          <w:sz w:val="16"/>
          <w:szCs w:val="16"/>
          <w:color w:val="auto"/>
        </w:rPr>
        <w:t>affiliates or issue more than $1.0 billion of non</w:t>
      </w:r>
      <w:r>
        <w:rPr>
          <w:rFonts w:ascii="MS PGothic" w:cs="MS PGothic" w:eastAsia="MS PGothic" w:hAnsi="MS PGothic"/>
          <w:sz w:val="16"/>
          <w:szCs w:val="16"/>
          <w:color w:val="auto"/>
        </w:rPr>
        <w:t>‑</w:t>
      </w:r>
      <w:r>
        <w:rPr>
          <w:rFonts w:ascii="Arial" w:cs="Arial" w:eastAsia="Arial" w:hAnsi="Arial"/>
          <w:sz w:val="16"/>
          <w:szCs w:val="16"/>
          <w:color w:val="auto"/>
        </w:rPr>
        <w:t>convertible debt over a three</w:t>
      </w:r>
      <w:r>
        <w:rPr>
          <w:rFonts w:ascii="MS PGothic" w:cs="MS PGothic" w:eastAsia="MS PGothic" w:hAnsi="MS PGothic"/>
          <w:sz w:val="16"/>
          <w:szCs w:val="16"/>
          <w:color w:val="auto"/>
        </w:rPr>
        <w:t>‑</w:t>
      </w:r>
      <w:r>
        <w:rPr>
          <w:rFonts w:ascii="Arial" w:cs="Arial" w:eastAsia="Arial" w:hAnsi="Arial"/>
          <w:sz w:val="16"/>
          <w:szCs w:val="16"/>
          <w:color w:val="auto"/>
        </w:rPr>
        <w:t>year period. We may choose to take advantage of some but not all of these reduced reporting requirements and other burdens. We have taken advantage of some reduced reporting burdens in this prospectus supplement, the accompanying prospectus and the documents incorporated by reference herein and therein. Accordingly, the information that we provide stockholders may be different than what you might obtain from other public companies in which you hold equity interests.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60"/>
          </w:cols>
          <w:pgMar w:left="1260" w:top="114" w:right="127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3840" w:type="dxa"/>
            <w:vAlign w:val="bottom"/>
            <w:gridSpan w:val="2"/>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1820" w:type="dxa"/>
            <w:vAlign w:val="bottom"/>
          </w:tcPr>
          <w:p>
            <w:pPr>
              <w:spacing w:after="0"/>
              <w:rPr>
                <w:sz w:val="17"/>
                <w:szCs w:val="17"/>
                <w:color w:val="auto"/>
              </w:rPr>
            </w:pPr>
          </w:p>
        </w:tc>
        <w:tc>
          <w:tcPr>
            <w:tcW w:w="3700" w:type="dxa"/>
            <w:vAlign w:val="bottom"/>
          </w:tcPr>
          <w:p>
            <w:pPr>
              <w:spacing w:after="0"/>
              <w:rPr>
                <w:sz w:val="17"/>
                <w:szCs w:val="17"/>
                <w:color w:val="auto"/>
              </w:rPr>
            </w:pPr>
          </w:p>
        </w:tc>
      </w:tr>
      <w:tr>
        <w:trPr>
          <w:trHeight w:val="733"/>
        </w:trPr>
        <w:tc>
          <w:tcPr>
            <w:tcW w:w="1260" w:type="dxa"/>
            <w:vAlign w:val="bottom"/>
            <w:tcBorders>
              <w:top w:val="single" w:sz="8" w:color="0563C1"/>
            </w:tcBorders>
          </w:tcPr>
          <w:p>
            <w:pPr>
              <w:spacing w:after="0"/>
              <w:rPr>
                <w:sz w:val="24"/>
                <w:szCs w:val="24"/>
                <w:color w:val="auto"/>
              </w:rPr>
            </w:pPr>
          </w:p>
        </w:tc>
        <w:tc>
          <w:tcPr>
            <w:tcW w:w="2580" w:type="dxa"/>
            <w:vAlign w:val="bottom"/>
          </w:tcPr>
          <w:p>
            <w:pPr>
              <w:spacing w:after="0"/>
              <w:rPr>
                <w:sz w:val="24"/>
                <w:szCs w:val="24"/>
                <w:color w:val="auto"/>
              </w:rPr>
            </w:pPr>
          </w:p>
        </w:tc>
        <w:tc>
          <w:tcPr>
            <w:tcW w:w="1820" w:type="dxa"/>
            <w:vAlign w:val="bottom"/>
          </w:tcPr>
          <w:p>
            <w:pPr>
              <w:ind w:left="160"/>
              <w:spacing w:after="0"/>
              <w:rPr>
                <w:sz w:val="20"/>
                <w:szCs w:val="20"/>
                <w:color w:val="auto"/>
              </w:rPr>
            </w:pPr>
            <w:r>
              <w:rPr>
                <w:rFonts w:ascii="Arial" w:cs="Arial" w:eastAsia="Arial" w:hAnsi="Arial"/>
                <w:sz w:val="18"/>
                <w:szCs w:val="18"/>
                <w:b w:val="1"/>
                <w:bCs w:val="1"/>
                <w:color w:val="auto"/>
              </w:rPr>
              <w:t>THE OFFERING</w:t>
            </w:r>
          </w:p>
        </w:tc>
        <w:tc>
          <w:tcPr>
            <w:tcW w:w="3700" w:type="dxa"/>
            <w:vAlign w:val="bottom"/>
          </w:tcPr>
          <w:p>
            <w:pPr>
              <w:spacing w:after="0"/>
              <w:rPr>
                <w:sz w:val="24"/>
                <w:szCs w:val="24"/>
                <w:color w:val="auto"/>
              </w:rPr>
            </w:pPr>
          </w:p>
        </w:tc>
      </w:tr>
      <w:tr>
        <w:trPr>
          <w:trHeight w:val="403"/>
        </w:trPr>
        <w:tc>
          <w:tcPr>
            <w:tcW w:w="3840" w:type="dxa"/>
            <w:vAlign w:val="bottom"/>
            <w:gridSpan w:val="2"/>
          </w:tcPr>
          <w:p>
            <w:pPr>
              <w:spacing w:after="0"/>
              <w:rPr>
                <w:sz w:val="20"/>
                <w:szCs w:val="20"/>
                <w:color w:val="auto"/>
              </w:rPr>
            </w:pPr>
            <w:r>
              <w:rPr>
                <w:rFonts w:ascii="Arial" w:cs="Arial" w:eastAsia="Arial" w:hAnsi="Arial"/>
                <w:sz w:val="18"/>
                <w:szCs w:val="18"/>
                <w:color w:val="auto"/>
              </w:rPr>
              <w:t>Common stock offered by us</w:t>
            </w:r>
          </w:p>
        </w:tc>
        <w:tc>
          <w:tcPr>
            <w:tcW w:w="1820" w:type="dxa"/>
            <w:vAlign w:val="bottom"/>
          </w:tcPr>
          <w:p>
            <w:pPr>
              <w:ind w:left="800"/>
              <w:spacing w:after="0"/>
              <w:rPr>
                <w:sz w:val="20"/>
                <w:szCs w:val="20"/>
                <w:color w:val="auto"/>
              </w:rPr>
            </w:pPr>
            <w:r>
              <w:rPr>
                <w:rFonts w:ascii="Arial" w:cs="Arial" w:eastAsia="Arial" w:hAnsi="Arial"/>
                <w:sz w:val="18"/>
                <w:szCs w:val="18"/>
                <w:color w:val="auto"/>
              </w:rPr>
              <w:t>shares.</w:t>
            </w:r>
          </w:p>
        </w:tc>
        <w:tc>
          <w:tcPr>
            <w:tcW w:w="3700" w:type="dxa"/>
            <w:vAlign w:val="bottom"/>
          </w:tcPr>
          <w:p>
            <w:pPr>
              <w:spacing w:after="0"/>
              <w:rPr>
                <w:sz w:val="24"/>
                <w:szCs w:val="24"/>
                <w:color w:val="auto"/>
              </w:rPr>
            </w:pPr>
          </w:p>
        </w:tc>
      </w:tr>
      <w:tr>
        <w:trPr>
          <w:trHeight w:val="335"/>
        </w:trPr>
        <w:tc>
          <w:tcPr>
            <w:tcW w:w="3840" w:type="dxa"/>
            <w:vAlign w:val="bottom"/>
            <w:gridSpan w:val="2"/>
          </w:tcPr>
          <w:p>
            <w:pPr>
              <w:spacing w:after="0"/>
              <w:rPr>
                <w:sz w:val="20"/>
                <w:szCs w:val="20"/>
                <w:color w:val="auto"/>
              </w:rPr>
            </w:pPr>
            <w:r>
              <w:rPr>
                <w:rFonts w:ascii="Arial" w:cs="Arial" w:eastAsia="Arial" w:hAnsi="Arial"/>
                <w:sz w:val="18"/>
                <w:szCs w:val="18"/>
                <w:color w:val="auto"/>
              </w:rPr>
              <w:t>Option to purchase additional shares</w:t>
            </w:r>
          </w:p>
        </w:tc>
        <w:tc>
          <w:tcPr>
            <w:tcW w:w="5520" w:type="dxa"/>
            <w:vAlign w:val="bottom"/>
            <w:gridSpan w:val="2"/>
          </w:tcPr>
          <w:p>
            <w:pPr>
              <w:ind w:left="440"/>
              <w:spacing w:after="0"/>
              <w:rPr>
                <w:sz w:val="20"/>
                <w:szCs w:val="20"/>
                <w:color w:val="auto"/>
              </w:rPr>
            </w:pPr>
            <w:r>
              <w:rPr>
                <w:rFonts w:ascii="Arial" w:cs="Arial" w:eastAsia="Arial" w:hAnsi="Arial"/>
                <w:sz w:val="18"/>
                <w:szCs w:val="18"/>
                <w:color w:val="auto"/>
                <w:w w:val="94"/>
              </w:rPr>
              <w:t>We have granted the underwriters an option for a period of 30 days</w:t>
            </w:r>
          </w:p>
        </w:tc>
      </w:tr>
      <w:tr>
        <w:trPr>
          <w:trHeight w:val="188"/>
        </w:trPr>
        <w:tc>
          <w:tcPr>
            <w:tcW w:w="12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520" w:type="dxa"/>
            <w:vAlign w:val="bottom"/>
            <w:gridSpan w:val="2"/>
          </w:tcPr>
          <w:p>
            <w:pPr>
              <w:ind w:left="440"/>
              <w:spacing w:after="0" w:line="189" w:lineRule="exact"/>
              <w:rPr>
                <w:sz w:val="20"/>
                <w:szCs w:val="20"/>
                <w:color w:val="auto"/>
              </w:rPr>
            </w:pPr>
            <w:r>
              <w:rPr>
                <w:rFonts w:ascii="Arial" w:cs="Arial" w:eastAsia="Arial" w:hAnsi="Arial"/>
                <w:sz w:val="18"/>
                <w:szCs w:val="18"/>
                <w:color w:val="auto"/>
              </w:rPr>
              <w:t>from the date of this prospectus supplement to purchase up to</w:t>
            </w:r>
          </w:p>
        </w:tc>
      </w:tr>
      <w:tr>
        <w:trPr>
          <w:trHeight w:val="230"/>
        </w:trPr>
        <w:tc>
          <w:tcPr>
            <w:tcW w:w="12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520" w:type="dxa"/>
            <w:vAlign w:val="bottom"/>
            <w:gridSpan w:val="2"/>
          </w:tcPr>
          <w:p>
            <w:pPr>
              <w:ind w:left="440"/>
              <w:spacing w:after="0"/>
              <w:rPr>
                <w:sz w:val="20"/>
                <w:szCs w:val="20"/>
                <w:color w:val="auto"/>
              </w:rPr>
            </w:pPr>
            <w:r>
              <w:rPr>
                <w:rFonts w:ascii="Arial" w:cs="Arial" w:eastAsia="Arial" w:hAnsi="Arial"/>
                <w:sz w:val="18"/>
                <w:szCs w:val="18"/>
                <w:color w:val="auto"/>
              </w:rPr>
              <w:t>additional shares of our common stock.</w:t>
            </w:r>
          </w:p>
        </w:tc>
      </w:tr>
      <w:tr>
        <w:trPr>
          <w:trHeight w:val="335"/>
        </w:trPr>
        <w:tc>
          <w:tcPr>
            <w:tcW w:w="3840" w:type="dxa"/>
            <w:vAlign w:val="bottom"/>
            <w:gridSpan w:val="2"/>
          </w:tcPr>
          <w:p>
            <w:pPr>
              <w:spacing w:after="0"/>
              <w:rPr>
                <w:sz w:val="20"/>
                <w:szCs w:val="20"/>
                <w:color w:val="auto"/>
              </w:rPr>
            </w:pPr>
            <w:r>
              <w:rPr>
                <w:rFonts w:ascii="Arial" w:cs="Arial" w:eastAsia="Arial" w:hAnsi="Arial"/>
                <w:sz w:val="18"/>
                <w:szCs w:val="18"/>
                <w:color w:val="auto"/>
                <w:w w:val="94"/>
              </w:rPr>
              <w:t>Common stock to be outstanding after this offering</w:t>
            </w:r>
          </w:p>
        </w:tc>
        <w:tc>
          <w:tcPr>
            <w:tcW w:w="1820" w:type="dxa"/>
            <w:vAlign w:val="bottom"/>
          </w:tcPr>
          <w:p>
            <w:pPr>
              <w:ind w:left="840"/>
              <w:spacing w:after="0"/>
              <w:rPr>
                <w:sz w:val="20"/>
                <w:szCs w:val="20"/>
                <w:color w:val="auto"/>
              </w:rPr>
            </w:pPr>
            <w:r>
              <w:rPr>
                <w:rFonts w:ascii="Arial" w:cs="Arial" w:eastAsia="Arial" w:hAnsi="Arial"/>
                <w:sz w:val="18"/>
                <w:szCs w:val="18"/>
                <w:color w:val="auto"/>
              </w:rPr>
              <w:t>shares (or</w:t>
            </w:r>
          </w:p>
        </w:tc>
        <w:tc>
          <w:tcPr>
            <w:tcW w:w="3700" w:type="dxa"/>
            <w:vAlign w:val="bottom"/>
          </w:tcPr>
          <w:p>
            <w:pPr>
              <w:ind w:left="260"/>
              <w:spacing w:after="0"/>
              <w:rPr>
                <w:sz w:val="20"/>
                <w:szCs w:val="20"/>
                <w:color w:val="auto"/>
              </w:rPr>
            </w:pPr>
            <w:r>
              <w:rPr>
                <w:rFonts w:ascii="Arial" w:cs="Arial" w:eastAsia="Arial" w:hAnsi="Arial"/>
                <w:sz w:val="18"/>
                <w:szCs w:val="18"/>
                <w:color w:val="auto"/>
                <w:w w:val="93"/>
              </w:rPr>
              <w:t>shares, if the underwriters exercise in full their</w:t>
            </w:r>
          </w:p>
        </w:tc>
      </w:tr>
      <w:tr>
        <w:trPr>
          <w:trHeight w:val="230"/>
        </w:trPr>
        <w:tc>
          <w:tcPr>
            <w:tcW w:w="12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520" w:type="dxa"/>
            <w:vAlign w:val="bottom"/>
            <w:gridSpan w:val="2"/>
          </w:tcPr>
          <w:p>
            <w:pPr>
              <w:ind w:left="440"/>
              <w:spacing w:after="0"/>
              <w:rPr>
                <w:sz w:val="20"/>
                <w:szCs w:val="20"/>
                <w:color w:val="auto"/>
              </w:rPr>
            </w:pPr>
            <w:r>
              <w:rPr>
                <w:rFonts w:ascii="Arial" w:cs="Arial" w:eastAsia="Arial" w:hAnsi="Arial"/>
                <w:sz w:val="18"/>
                <w:szCs w:val="18"/>
                <w:color w:val="auto"/>
              </w:rPr>
              <w:t>option to purchase additional shares).</w:t>
            </w:r>
          </w:p>
        </w:tc>
      </w:tr>
      <w:tr>
        <w:trPr>
          <w:trHeight w:val="335"/>
        </w:trPr>
        <w:tc>
          <w:tcPr>
            <w:tcW w:w="3840" w:type="dxa"/>
            <w:vAlign w:val="bottom"/>
            <w:gridSpan w:val="2"/>
          </w:tcPr>
          <w:p>
            <w:pPr>
              <w:spacing w:after="0"/>
              <w:rPr>
                <w:sz w:val="20"/>
                <w:szCs w:val="20"/>
                <w:color w:val="auto"/>
              </w:rPr>
            </w:pPr>
            <w:r>
              <w:rPr>
                <w:rFonts w:ascii="Arial" w:cs="Arial" w:eastAsia="Arial" w:hAnsi="Arial"/>
                <w:sz w:val="18"/>
                <w:szCs w:val="18"/>
                <w:color w:val="auto"/>
              </w:rPr>
              <w:t>Use of proceeds</w:t>
            </w:r>
          </w:p>
        </w:tc>
        <w:tc>
          <w:tcPr>
            <w:tcW w:w="5520" w:type="dxa"/>
            <w:vAlign w:val="bottom"/>
            <w:gridSpan w:val="2"/>
          </w:tcPr>
          <w:p>
            <w:pPr>
              <w:ind w:left="440"/>
              <w:spacing w:after="0"/>
              <w:rPr>
                <w:sz w:val="20"/>
                <w:szCs w:val="20"/>
                <w:color w:val="auto"/>
              </w:rPr>
            </w:pPr>
            <w:r>
              <w:rPr>
                <w:rFonts w:ascii="Arial" w:cs="Arial" w:eastAsia="Arial" w:hAnsi="Arial"/>
                <w:sz w:val="18"/>
                <w:szCs w:val="18"/>
                <w:color w:val="auto"/>
                <w:w w:val="96"/>
              </w:rPr>
              <w:t>We intend to use the net proceeds from this offering to continue to</w:t>
            </w:r>
          </w:p>
        </w:tc>
      </w:tr>
      <w:tr>
        <w:trPr>
          <w:trHeight w:val="188"/>
        </w:trPr>
        <w:tc>
          <w:tcPr>
            <w:tcW w:w="12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520" w:type="dxa"/>
            <w:vAlign w:val="bottom"/>
            <w:gridSpan w:val="2"/>
          </w:tcPr>
          <w:p>
            <w:pPr>
              <w:ind w:left="440"/>
              <w:spacing w:after="0" w:line="189" w:lineRule="exact"/>
              <w:rPr>
                <w:sz w:val="20"/>
                <w:szCs w:val="20"/>
                <w:color w:val="auto"/>
              </w:rPr>
            </w:pPr>
            <w:r>
              <w:rPr>
                <w:rFonts w:ascii="Arial" w:cs="Arial" w:eastAsia="Arial" w:hAnsi="Arial"/>
                <w:sz w:val="18"/>
                <w:szCs w:val="18"/>
                <w:color w:val="auto"/>
              </w:rPr>
              <w:t>fund the ongoing clinical development of our late stage product</w:t>
            </w:r>
          </w:p>
        </w:tc>
      </w:tr>
      <w:tr>
        <w:trPr>
          <w:trHeight w:val="188"/>
        </w:trPr>
        <w:tc>
          <w:tcPr>
            <w:tcW w:w="12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520" w:type="dxa"/>
            <w:vAlign w:val="bottom"/>
            <w:gridSpan w:val="2"/>
          </w:tcPr>
          <w:p>
            <w:pPr>
              <w:ind w:left="440"/>
              <w:spacing w:after="0" w:line="189" w:lineRule="exact"/>
              <w:rPr>
                <w:sz w:val="20"/>
                <w:szCs w:val="20"/>
                <w:color w:val="auto"/>
              </w:rPr>
            </w:pPr>
            <w:r>
              <w:rPr>
                <w:rFonts w:ascii="Arial" w:cs="Arial" w:eastAsia="Arial" w:hAnsi="Arial"/>
                <w:sz w:val="18"/>
                <w:szCs w:val="18"/>
                <w:color w:val="auto"/>
                <w:w w:val="89"/>
              </w:rPr>
              <w:t>candidates and for other general corporate purposes, including funding</w:t>
            </w:r>
          </w:p>
        </w:tc>
      </w:tr>
      <w:tr>
        <w:trPr>
          <w:trHeight w:val="188"/>
        </w:trPr>
        <w:tc>
          <w:tcPr>
            <w:tcW w:w="12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520" w:type="dxa"/>
            <w:vAlign w:val="bottom"/>
            <w:gridSpan w:val="2"/>
          </w:tcPr>
          <w:p>
            <w:pPr>
              <w:ind w:left="440"/>
              <w:spacing w:after="0" w:line="189" w:lineRule="exact"/>
              <w:rPr>
                <w:sz w:val="20"/>
                <w:szCs w:val="20"/>
                <w:color w:val="auto"/>
              </w:rPr>
            </w:pPr>
            <w:r>
              <w:rPr>
                <w:rFonts w:ascii="Arial" w:cs="Arial" w:eastAsia="Arial" w:hAnsi="Arial"/>
                <w:sz w:val="18"/>
                <w:szCs w:val="18"/>
                <w:color w:val="auto"/>
                <w:w w:val="92"/>
              </w:rPr>
              <w:t>existing and potential new clinical programs and product candidates.</w:t>
            </w:r>
          </w:p>
        </w:tc>
      </w:tr>
      <w:tr>
        <w:trPr>
          <w:trHeight w:val="230"/>
        </w:trPr>
        <w:tc>
          <w:tcPr>
            <w:tcW w:w="12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520" w:type="dxa"/>
            <w:vAlign w:val="bottom"/>
            <w:gridSpan w:val="2"/>
          </w:tcPr>
          <w:p>
            <w:pPr>
              <w:ind w:left="440"/>
              <w:spacing w:after="0"/>
              <w:rPr>
                <w:sz w:val="20"/>
                <w:szCs w:val="20"/>
                <w:color w:val="auto"/>
              </w:rPr>
            </w:pPr>
            <w:r>
              <w:rPr>
                <w:rFonts w:ascii="Arial" w:cs="Arial" w:eastAsia="Arial" w:hAnsi="Arial"/>
                <w:sz w:val="18"/>
                <w:szCs w:val="18"/>
                <w:color w:val="auto"/>
              </w:rPr>
              <w:t>See “Use of Proceeds.”</w:t>
            </w:r>
          </w:p>
        </w:tc>
      </w:tr>
      <w:tr>
        <w:trPr>
          <w:trHeight w:val="335"/>
        </w:trPr>
        <w:tc>
          <w:tcPr>
            <w:tcW w:w="3840" w:type="dxa"/>
            <w:vAlign w:val="bottom"/>
            <w:gridSpan w:val="2"/>
          </w:tcPr>
          <w:p>
            <w:pPr>
              <w:spacing w:after="0"/>
              <w:rPr>
                <w:sz w:val="20"/>
                <w:szCs w:val="20"/>
                <w:color w:val="auto"/>
              </w:rPr>
            </w:pPr>
            <w:r>
              <w:rPr>
                <w:rFonts w:ascii="Arial" w:cs="Arial" w:eastAsia="Arial" w:hAnsi="Arial"/>
                <w:sz w:val="18"/>
                <w:szCs w:val="18"/>
                <w:color w:val="auto"/>
              </w:rPr>
              <w:t>Risk factors</w:t>
            </w:r>
          </w:p>
        </w:tc>
        <w:tc>
          <w:tcPr>
            <w:tcW w:w="5520" w:type="dxa"/>
            <w:vAlign w:val="bottom"/>
            <w:gridSpan w:val="2"/>
          </w:tcPr>
          <w:p>
            <w:pPr>
              <w:ind w:left="440"/>
              <w:spacing w:after="0"/>
              <w:rPr>
                <w:sz w:val="20"/>
                <w:szCs w:val="20"/>
                <w:color w:val="auto"/>
              </w:rPr>
            </w:pPr>
            <w:r>
              <w:rPr>
                <w:rFonts w:ascii="Arial" w:cs="Arial" w:eastAsia="Arial" w:hAnsi="Arial"/>
                <w:sz w:val="18"/>
                <w:szCs w:val="18"/>
                <w:color w:val="auto"/>
                <w:w w:val="96"/>
              </w:rPr>
              <w:t>Investing in our common stock involves a high degree of risk. You</w:t>
            </w:r>
          </w:p>
        </w:tc>
      </w:tr>
      <w:tr>
        <w:trPr>
          <w:trHeight w:val="188"/>
        </w:trPr>
        <w:tc>
          <w:tcPr>
            <w:tcW w:w="12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520" w:type="dxa"/>
            <w:vAlign w:val="bottom"/>
            <w:gridSpan w:val="2"/>
          </w:tcPr>
          <w:p>
            <w:pPr>
              <w:ind w:left="440"/>
              <w:spacing w:after="0" w:line="189" w:lineRule="exact"/>
              <w:rPr>
                <w:sz w:val="20"/>
                <w:szCs w:val="20"/>
                <w:color w:val="auto"/>
              </w:rPr>
            </w:pPr>
            <w:r>
              <w:rPr>
                <w:rFonts w:ascii="Arial" w:cs="Arial" w:eastAsia="Arial" w:hAnsi="Arial"/>
                <w:sz w:val="18"/>
                <w:szCs w:val="18"/>
                <w:color w:val="auto"/>
                <w:w w:val="92"/>
              </w:rPr>
              <w:t>should read the “Risk Factors” section of this prospectus supplement</w:t>
            </w:r>
          </w:p>
        </w:tc>
      </w:tr>
      <w:tr>
        <w:trPr>
          <w:trHeight w:val="188"/>
        </w:trPr>
        <w:tc>
          <w:tcPr>
            <w:tcW w:w="12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520" w:type="dxa"/>
            <w:vAlign w:val="bottom"/>
            <w:gridSpan w:val="2"/>
          </w:tcPr>
          <w:p>
            <w:pPr>
              <w:ind w:left="440"/>
              <w:spacing w:after="0" w:line="189" w:lineRule="exact"/>
              <w:rPr>
                <w:sz w:val="20"/>
                <w:szCs w:val="20"/>
                <w:color w:val="auto"/>
              </w:rPr>
            </w:pPr>
            <w:r>
              <w:rPr>
                <w:rFonts w:ascii="Arial" w:cs="Arial" w:eastAsia="Arial" w:hAnsi="Arial"/>
                <w:sz w:val="18"/>
                <w:szCs w:val="18"/>
                <w:color w:val="auto"/>
              </w:rPr>
              <w:t>beginning on page S-6 as well as those risk factors that are</w:t>
            </w:r>
          </w:p>
        </w:tc>
      </w:tr>
      <w:tr>
        <w:trPr>
          <w:trHeight w:val="188"/>
        </w:trPr>
        <w:tc>
          <w:tcPr>
            <w:tcW w:w="12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520" w:type="dxa"/>
            <w:vAlign w:val="bottom"/>
            <w:gridSpan w:val="2"/>
          </w:tcPr>
          <w:p>
            <w:pPr>
              <w:ind w:left="440"/>
              <w:spacing w:after="0" w:line="189" w:lineRule="exact"/>
              <w:rPr>
                <w:sz w:val="20"/>
                <w:szCs w:val="20"/>
                <w:color w:val="auto"/>
              </w:rPr>
            </w:pPr>
            <w:r>
              <w:rPr>
                <w:rFonts w:ascii="Arial" w:cs="Arial" w:eastAsia="Arial" w:hAnsi="Arial"/>
                <w:sz w:val="18"/>
                <w:szCs w:val="18"/>
                <w:color w:val="auto"/>
                <w:w w:val="98"/>
              </w:rPr>
              <w:t>incorporated by reference in this prospectus supplement and the</w:t>
            </w:r>
          </w:p>
        </w:tc>
      </w:tr>
      <w:tr>
        <w:trPr>
          <w:trHeight w:val="188"/>
        </w:trPr>
        <w:tc>
          <w:tcPr>
            <w:tcW w:w="12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520" w:type="dxa"/>
            <w:vAlign w:val="bottom"/>
            <w:gridSpan w:val="2"/>
          </w:tcPr>
          <w:p>
            <w:pPr>
              <w:ind w:left="440"/>
              <w:spacing w:after="0" w:line="189" w:lineRule="exact"/>
              <w:rPr>
                <w:sz w:val="20"/>
                <w:szCs w:val="20"/>
                <w:color w:val="auto"/>
              </w:rPr>
            </w:pPr>
            <w:r>
              <w:rPr>
                <w:rFonts w:ascii="Arial" w:cs="Arial" w:eastAsia="Arial" w:hAnsi="Arial"/>
                <w:sz w:val="18"/>
                <w:szCs w:val="18"/>
                <w:color w:val="auto"/>
                <w:w w:val="98"/>
              </w:rPr>
              <w:t>accompanying prospectus for a discussion of factors to consider</w:t>
            </w:r>
          </w:p>
        </w:tc>
      </w:tr>
      <w:tr>
        <w:trPr>
          <w:trHeight w:val="230"/>
        </w:trPr>
        <w:tc>
          <w:tcPr>
            <w:tcW w:w="12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520" w:type="dxa"/>
            <w:vAlign w:val="bottom"/>
            <w:gridSpan w:val="2"/>
          </w:tcPr>
          <w:p>
            <w:pPr>
              <w:ind w:left="440"/>
              <w:spacing w:after="0"/>
              <w:rPr>
                <w:sz w:val="20"/>
                <w:szCs w:val="20"/>
                <w:color w:val="auto"/>
              </w:rPr>
            </w:pPr>
            <w:r>
              <w:rPr>
                <w:rFonts w:ascii="Arial" w:cs="Arial" w:eastAsia="Arial" w:hAnsi="Arial"/>
                <w:sz w:val="18"/>
                <w:szCs w:val="18"/>
                <w:color w:val="auto"/>
                <w:w w:val="96"/>
              </w:rPr>
              <w:t>carefully before deciding to invest in shares of our common stock.</w:t>
            </w:r>
          </w:p>
        </w:tc>
      </w:tr>
      <w:tr>
        <w:trPr>
          <w:trHeight w:val="376"/>
        </w:trPr>
        <w:tc>
          <w:tcPr>
            <w:tcW w:w="3840" w:type="dxa"/>
            <w:vAlign w:val="bottom"/>
            <w:gridSpan w:val="2"/>
          </w:tcPr>
          <w:p>
            <w:pPr>
              <w:spacing w:after="0"/>
              <w:rPr>
                <w:sz w:val="20"/>
                <w:szCs w:val="20"/>
                <w:color w:val="auto"/>
              </w:rPr>
            </w:pPr>
            <w:r>
              <w:rPr>
                <w:rFonts w:ascii="Arial" w:cs="Arial" w:eastAsia="Arial" w:hAnsi="Arial"/>
                <w:sz w:val="18"/>
                <w:szCs w:val="18"/>
                <w:color w:val="auto"/>
              </w:rPr>
              <w:t>Nasdaq Global Market ticker symbol</w:t>
            </w:r>
          </w:p>
        </w:tc>
        <w:tc>
          <w:tcPr>
            <w:tcW w:w="1820" w:type="dxa"/>
            <w:vAlign w:val="bottom"/>
          </w:tcPr>
          <w:p>
            <w:pPr>
              <w:ind w:left="440"/>
              <w:spacing w:after="0"/>
              <w:rPr>
                <w:sz w:val="20"/>
                <w:szCs w:val="20"/>
                <w:color w:val="auto"/>
              </w:rPr>
            </w:pPr>
            <w:r>
              <w:rPr>
                <w:rFonts w:ascii="Arial" w:cs="Arial" w:eastAsia="Arial" w:hAnsi="Arial"/>
                <w:sz w:val="18"/>
                <w:szCs w:val="18"/>
                <w:color w:val="auto"/>
              </w:rPr>
              <w:t>“AXSM”</w:t>
            </w:r>
          </w:p>
        </w:tc>
        <w:tc>
          <w:tcPr>
            <w:tcW w:w="3700" w:type="dxa"/>
            <w:vAlign w:val="bottom"/>
          </w:tcPr>
          <w:p>
            <w:pPr>
              <w:spacing w:after="0"/>
              <w:rPr>
                <w:sz w:val="24"/>
                <w:szCs w:val="24"/>
                <w:color w:val="auto"/>
              </w:rPr>
            </w:pPr>
          </w:p>
        </w:tc>
      </w:tr>
    </w:tbl>
    <w:p>
      <w:pPr>
        <w:spacing w:after="0" w:line="348" w:lineRule="exact"/>
        <w:rPr>
          <w:sz w:val="20"/>
          <w:szCs w:val="20"/>
          <w:color w:val="auto"/>
        </w:rPr>
      </w:pPr>
    </w:p>
    <w:p>
      <w:pPr>
        <w:ind w:right="240"/>
        <w:spacing w:after="0" w:line="234" w:lineRule="auto"/>
        <w:rPr>
          <w:sz w:val="20"/>
          <w:szCs w:val="20"/>
          <w:color w:val="auto"/>
        </w:rPr>
      </w:pPr>
      <w:r>
        <w:rPr>
          <w:rFonts w:ascii="Arial" w:cs="Arial" w:eastAsia="Arial" w:hAnsi="Arial"/>
          <w:sz w:val="18"/>
          <w:szCs w:val="18"/>
          <w:color w:val="auto"/>
        </w:rPr>
        <w:t>The number of shares of our common stock that will be outstanding immediately after this offering as shown above is based on 34,496,846 shares of our common stock outstanding as of September 30, 2019, and excludes:</w:t>
      </w:r>
    </w:p>
    <w:p>
      <w:pPr>
        <w:spacing w:after="0" w:line="53" w:lineRule="exact"/>
        <w:rPr>
          <w:sz w:val="20"/>
          <w:szCs w:val="20"/>
          <w:color w:val="auto"/>
        </w:rPr>
      </w:pPr>
    </w:p>
    <w:p>
      <w:pPr>
        <w:ind w:left="1280" w:right="380" w:hanging="318"/>
        <w:spacing w:after="0" w:line="234" w:lineRule="auto"/>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3,184,842 shares of common stock issuable upon exercise of stock options outstanding as of September 30, 2019, at a weighted average exercise price of $9.01 per share;</w:t>
      </w:r>
    </w:p>
    <w:p>
      <w:pPr>
        <w:spacing w:after="0" w:line="120" w:lineRule="exact"/>
        <w:rPr>
          <w:rFonts w:ascii="Arial" w:cs="Arial" w:eastAsia="Arial" w:hAnsi="Arial"/>
          <w:sz w:val="18"/>
          <w:szCs w:val="18"/>
          <w:color w:val="auto"/>
        </w:rPr>
      </w:pPr>
    </w:p>
    <w:p>
      <w:pPr>
        <w:ind w:left="1280" w:hanging="318"/>
        <w:spacing w:after="0" w:line="239" w:lineRule="auto"/>
        <w:tabs>
          <w:tab w:leader="none" w:pos="1280" w:val="left"/>
        </w:tabs>
        <w:numPr>
          <w:ilvl w:val="0"/>
          <w:numId w:val="2"/>
        </w:numPr>
        <w:rPr>
          <w:rFonts w:ascii="Arial" w:cs="Arial" w:eastAsia="Arial" w:hAnsi="Arial"/>
          <w:sz w:val="16"/>
          <w:szCs w:val="16"/>
          <w:color w:val="auto"/>
        </w:rPr>
      </w:pPr>
      <w:r>
        <w:rPr>
          <w:rFonts w:ascii="Arial" w:cs="Arial" w:eastAsia="Arial" w:hAnsi="Arial"/>
          <w:sz w:val="16"/>
          <w:szCs w:val="16"/>
          <w:color w:val="auto"/>
        </w:rPr>
        <w:t>110,603 shares of common stock issuable upon the exercise of outstanding warrants as of September 30, 2019, consisting of 11,780 warrants with an exercise price of $5.94 per share, 32,614 warrants with an exercise price of $7.41 per share, 7,875 warrants with an exercise price of $3.06, 58,334 warrants with an exercise price of $8.10 per share, and 11,500 warrants with an exercise price of $25.71, which are not yet outstanding, but which will become outstanding if and when the additional $4.0 million tranche available to us under our term loan with Silicon Valley Bank and WestRiver Innovation Lending Fund VIII, L.P. is funded; and</w:t>
      </w:r>
    </w:p>
    <w:p>
      <w:pPr>
        <w:spacing w:after="0" w:line="123" w:lineRule="exact"/>
        <w:rPr>
          <w:rFonts w:ascii="Arial" w:cs="Arial" w:eastAsia="Arial" w:hAnsi="Arial"/>
          <w:sz w:val="16"/>
          <w:szCs w:val="16"/>
          <w:color w:val="auto"/>
        </w:rPr>
      </w:pPr>
    </w:p>
    <w:p>
      <w:pPr>
        <w:ind w:left="1280" w:right="120" w:hanging="318"/>
        <w:spacing w:after="0" w:line="234" w:lineRule="auto"/>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3,668,590 shares of common stock available for future grant under our 2015 Omnibus Incentive Compensation Plan as of September 30, 2019.</w:t>
      </w:r>
    </w:p>
    <w:p>
      <w:pPr>
        <w:spacing w:after="0" w:line="107" w:lineRule="exact"/>
        <w:rPr>
          <w:sz w:val="20"/>
          <w:szCs w:val="20"/>
          <w:color w:val="auto"/>
        </w:rPr>
      </w:pPr>
    </w:p>
    <w:p>
      <w:pPr>
        <w:ind w:right="260"/>
        <w:spacing w:after="0" w:line="223" w:lineRule="auto"/>
        <w:rPr>
          <w:sz w:val="20"/>
          <w:szCs w:val="20"/>
          <w:color w:val="auto"/>
        </w:rPr>
      </w:pPr>
      <w:r>
        <w:rPr>
          <w:rFonts w:ascii="Arial" w:cs="Arial" w:eastAsia="Arial" w:hAnsi="Arial"/>
          <w:sz w:val="18"/>
          <w:szCs w:val="18"/>
          <w:color w:val="auto"/>
        </w:rPr>
        <w:t>Except as otherwise indicated herein, all information in this prospectus supplement, including the number of shares that will be outstanding after this offering, does not assume or give effect to the exercise of the underwriter’s option to purchase additional shares in this offering.</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60"/>
          </w:cols>
          <w:pgMar w:left="1260" w:top="94" w:right="127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87" w:lineRule="exact"/>
        <w:rPr>
          <w:sz w:val="20"/>
          <w:szCs w:val="20"/>
          <w:color w:val="auto"/>
        </w:rPr>
      </w:pPr>
    </w:p>
    <w:p>
      <w:pPr>
        <w:ind w:right="20"/>
        <w:spacing w:after="0" w:line="222" w:lineRule="auto"/>
        <w:rPr>
          <w:sz w:val="20"/>
          <w:szCs w:val="20"/>
          <w:color w:val="auto"/>
        </w:rPr>
      </w:pPr>
      <w:r>
        <w:rPr>
          <w:rFonts w:ascii="Arial" w:cs="Arial" w:eastAsia="Arial" w:hAnsi="Arial"/>
          <w:sz w:val="17"/>
          <w:szCs w:val="17"/>
          <w:i w:val="1"/>
          <w:iCs w:val="1"/>
          <w:color w:val="auto"/>
        </w:rPr>
        <w:t>An investment in our common stock involves a high degree of risk. Before deciding whether to invest in our common stock, you should carefully consider the risks described below and those discussed under the caption entitled “Risk Factors” in our Annual Reports on Form 10-K and any subsequent Quarterly Reports on Form 10-Q, which are incorporated by reference in this prospectus supplement and the accompanying prospectus, together with other information in this prospectus supplement and the accompanying prospectus, the information and documents incorporated by reference herein, and in any free writing prospectus that we have authorized for use in connection with this offering. If any of these risks actually occurs, our business, financial condition, results of operations or cash flow could be seriously harmed. This could cause the trading price of our common stock to decline, resulting in a loss of all or part of your investment.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187" w:lineRule="exact"/>
        <w:rPr>
          <w:sz w:val="20"/>
          <w:szCs w:val="20"/>
          <w:color w:val="auto"/>
        </w:rPr>
      </w:pPr>
    </w:p>
    <w:p>
      <w:pPr>
        <w:ind w:right="160"/>
        <w:spacing w:after="0" w:line="237" w:lineRule="auto"/>
        <w:rPr>
          <w:sz w:val="20"/>
          <w:szCs w:val="20"/>
          <w:color w:val="auto"/>
        </w:rPr>
      </w:pPr>
      <w:r>
        <w:rPr>
          <w:rFonts w:ascii="Arial" w:cs="Arial" w:eastAsia="Arial" w:hAnsi="Arial"/>
          <w:sz w:val="17"/>
          <w:szCs w:val="17"/>
          <w:b w:val="1"/>
          <w:bCs w:val="1"/>
          <w:i w:val="1"/>
          <w:iCs w:val="1"/>
          <w:color w:val="auto"/>
        </w:rPr>
        <w:t>We have incurred significant losses since our inception, anticipate that we will incur substantial and increasing losses for the foreseeable future, and may never achieve or maintain profitability, which would depress the market price of our common stock, and could cause you to lose all or a part of your investment.</w:t>
      </w:r>
    </w:p>
    <w:p>
      <w:pPr>
        <w:spacing w:after="0" w:line="160"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We are a clinical stage biopharmaceutical company with a limited operating history. For the last several years, we have focused our efforts primarily on developing CNS product candidates, AXS-05, AXS-07, AXS-09 and AXS-12, as well as our Axsome PPC product candidates, AXS-02 and AXS-06, which we refer to herein as our product candidates, with the goal of achieving regulatory approval. Since inception, we have incurred significant operating losses. Our net losses were $43.5 million and $31.0 million for nine months ended September 30, 2019 and the year ended December 31, 2018, respectively. As of September 30, 2019, we had an accumulated deficit of $151.1 million. To date, we have not received regulatory approvals for any of our product candidates or generated any revenue from the sale of products, and we do not expect to generate any revenue in the foreseeable future. We expect to continue to incur substantial and increasing expenses and operating losses over the next several years, as we continue to develop our current and future product candidates. In addition, we expect to incur significant sales, marketing, and manufacturing expenses related to the commercialization of our current and future product candidates, if they are approved by the U.S. Food and Drug Administration, or FDA. As a result, we expect to continue to incur significant losses for the foreseeable future. We anticipate that our expenses will increase substantially as we:</w:t>
      </w:r>
    </w:p>
    <w:p>
      <w:pPr>
        <w:spacing w:after="0" w:line="152" w:lineRule="exact"/>
        <w:rPr>
          <w:sz w:val="20"/>
          <w:szCs w:val="20"/>
          <w:color w:val="auto"/>
        </w:rPr>
      </w:pPr>
    </w:p>
    <w:p>
      <w:pPr>
        <w:ind w:left="1280" w:hanging="318"/>
        <w:spacing w:after="0" w:line="207" w:lineRule="exact"/>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conduct our Phase 3 clinical trial with AXS</w:t>
      </w:r>
      <w:r>
        <w:rPr>
          <w:rFonts w:ascii="MS PGothic" w:cs="MS PGothic" w:eastAsia="MS PGothic" w:hAnsi="MS PGothic"/>
          <w:sz w:val="18"/>
          <w:szCs w:val="18"/>
          <w:color w:val="auto"/>
        </w:rPr>
        <w:t>‑</w:t>
      </w:r>
      <w:r>
        <w:rPr>
          <w:rFonts w:ascii="Arial" w:cs="Arial" w:eastAsia="Arial" w:hAnsi="Arial"/>
          <w:sz w:val="18"/>
          <w:szCs w:val="18"/>
          <w:color w:val="auto"/>
        </w:rPr>
        <w:t>05 for the treatment of depression;</w:t>
      </w:r>
    </w:p>
    <w:p>
      <w:pPr>
        <w:ind w:left="1280" w:hanging="318"/>
        <w:spacing w:after="0" w:line="202" w:lineRule="auto"/>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conduct our open-label safety extension trial for AXS-05;</w:t>
      </w:r>
    </w:p>
    <w:p>
      <w:pPr>
        <w:ind w:left="1280" w:right="360" w:hanging="318"/>
        <w:spacing w:after="0" w:line="175" w:lineRule="exact"/>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conduct our Phase 2/3 clinical trials with AXS</w:t>
      </w:r>
      <w:r>
        <w:rPr>
          <w:rFonts w:ascii="MS PGothic" w:cs="MS PGothic" w:eastAsia="MS PGothic" w:hAnsi="MS PGothic"/>
          <w:sz w:val="18"/>
          <w:szCs w:val="18"/>
          <w:color w:val="auto"/>
        </w:rPr>
        <w:t>‑</w:t>
      </w:r>
      <w:r>
        <w:rPr>
          <w:rFonts w:ascii="Arial" w:cs="Arial" w:eastAsia="Arial" w:hAnsi="Arial"/>
          <w:sz w:val="18"/>
          <w:szCs w:val="18"/>
          <w:color w:val="auto"/>
        </w:rPr>
        <w:t>05 for the treatment of agitation associated with Alzheimer’s disease, or AD agitation;</w:t>
      </w:r>
    </w:p>
    <w:p>
      <w:pPr>
        <w:spacing w:after="0" w:line="1" w:lineRule="exact"/>
        <w:rPr>
          <w:rFonts w:ascii="Arial" w:cs="Arial" w:eastAsia="Arial" w:hAnsi="Arial"/>
          <w:sz w:val="18"/>
          <w:szCs w:val="18"/>
          <w:color w:val="auto"/>
        </w:rPr>
      </w:pPr>
    </w:p>
    <w:p>
      <w:pPr>
        <w:ind w:left="1280" w:hanging="318"/>
        <w:spacing w:after="0" w:line="202" w:lineRule="auto"/>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conduct our two Phase 3 clinical trials with AXS-07 for the acute treatment of migraine;</w:t>
      </w:r>
    </w:p>
    <w:p>
      <w:pPr>
        <w:ind w:left="1280" w:hanging="318"/>
        <w:spacing w:after="0" w:line="202" w:lineRule="auto"/>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conduct our open-label safety extension trial for AXS-07;</w:t>
      </w:r>
    </w:p>
    <w:p>
      <w:pPr>
        <w:ind w:left="1280" w:hanging="318"/>
        <w:spacing w:after="0" w:line="202" w:lineRule="auto"/>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conduct our planned Phase 3 clinical trial with AXS-12 in narcolepsy;</w:t>
      </w:r>
    </w:p>
    <w:p>
      <w:pPr>
        <w:ind w:left="1280" w:right="20" w:hanging="318"/>
        <w:spacing w:after="0" w:line="202" w:lineRule="auto"/>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to evaluate, plan for, and conduct, clinical trials for AXS-05 for smoking cessation treatment and AXS-09 for the treatment of CNS disorders;</w:t>
      </w:r>
    </w:p>
    <w:p>
      <w:pPr>
        <w:spacing w:after="0" w:line="1" w:lineRule="exact"/>
        <w:rPr>
          <w:rFonts w:ascii="Arial" w:cs="Arial" w:eastAsia="Arial" w:hAnsi="Arial"/>
          <w:sz w:val="18"/>
          <w:szCs w:val="18"/>
          <w:color w:val="auto"/>
        </w:rPr>
      </w:pPr>
    </w:p>
    <w:p>
      <w:pPr>
        <w:ind w:left="1280" w:right="320" w:hanging="318"/>
        <w:spacing w:after="0" w:line="175" w:lineRule="exact"/>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continue to evaluate, plan for, and conduct, clinical trials for our Axsome PPC product candidates, including AXS</w:t>
      </w:r>
      <w:r>
        <w:rPr>
          <w:rFonts w:ascii="MS PGothic" w:cs="MS PGothic" w:eastAsia="MS PGothic" w:hAnsi="MS PGothic"/>
          <w:sz w:val="17"/>
          <w:szCs w:val="17"/>
          <w:color w:val="auto"/>
        </w:rPr>
        <w:t>‑</w:t>
      </w:r>
      <w:r>
        <w:rPr>
          <w:rFonts w:ascii="Arial" w:cs="Arial" w:eastAsia="Arial" w:hAnsi="Arial"/>
          <w:sz w:val="17"/>
          <w:szCs w:val="17"/>
          <w:color w:val="auto"/>
        </w:rPr>
        <w:t>02 for the treatment of pain associated with knee osteoarthritis, or OA, associated with bone marrow lesions, or BMLs and AXS-06 for the treatment of osteoarthritis and rheumatoid arthritis;</w:t>
      </w:r>
    </w:p>
    <w:p>
      <w:pPr>
        <w:spacing w:after="0" w:line="1" w:lineRule="exact"/>
        <w:rPr>
          <w:rFonts w:ascii="Arial" w:cs="Arial" w:eastAsia="Arial" w:hAnsi="Arial"/>
          <w:sz w:val="17"/>
          <w:szCs w:val="17"/>
          <w:color w:val="auto"/>
        </w:rPr>
      </w:pPr>
    </w:p>
    <w:p>
      <w:pPr>
        <w:ind w:left="1280" w:hanging="318"/>
        <w:spacing w:after="0" w:line="175" w:lineRule="exact"/>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 in</w:t>
      </w:r>
      <w:r>
        <w:rPr>
          <w:rFonts w:ascii="MS PGothic" w:cs="MS PGothic" w:eastAsia="MS PGothic" w:hAnsi="MS PGothic"/>
          <w:sz w:val="18"/>
          <w:szCs w:val="18"/>
          <w:color w:val="auto"/>
        </w:rPr>
        <w:t>‑</w:t>
      </w:r>
      <w:r>
        <w:rPr>
          <w:rFonts w:ascii="Arial" w:cs="Arial" w:eastAsia="Arial" w:hAnsi="Arial"/>
          <w:sz w:val="18"/>
          <w:szCs w:val="18"/>
          <w:color w:val="auto"/>
        </w:rPr>
        <w:t>license, or acquire additional product candidates;</w:t>
      </w:r>
    </w:p>
    <w:p>
      <w:pPr>
        <w:ind w:left="1280" w:hanging="318"/>
        <w:spacing w:after="0" w:line="175" w:lineRule="exact"/>
        <w:tabs>
          <w:tab w:leader="none" w:pos="12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conduct late</w:t>
      </w:r>
      <w:r>
        <w:rPr>
          <w:rFonts w:ascii="MS PGothic" w:cs="MS PGothic" w:eastAsia="MS PGothic" w:hAnsi="MS PGothic"/>
          <w:sz w:val="16"/>
          <w:szCs w:val="16"/>
          <w:color w:val="auto"/>
        </w:rPr>
        <w:t>‑</w:t>
      </w:r>
      <w:r>
        <w:rPr>
          <w:rFonts w:ascii="Arial" w:cs="Arial" w:eastAsia="Arial" w:hAnsi="Arial"/>
          <w:sz w:val="16"/>
          <w:szCs w:val="16"/>
          <w:color w:val="auto"/>
        </w:rPr>
        <w:t>stage clinical trials for any product candidates that successfully complete early</w:t>
      </w:r>
      <w:r>
        <w:rPr>
          <w:rFonts w:ascii="MS PGothic" w:cs="MS PGothic" w:eastAsia="MS PGothic" w:hAnsi="MS PGothic"/>
          <w:sz w:val="16"/>
          <w:szCs w:val="16"/>
          <w:color w:val="auto"/>
        </w:rPr>
        <w:t>‑</w:t>
      </w:r>
      <w:r>
        <w:rPr>
          <w:rFonts w:ascii="Arial" w:cs="Arial" w:eastAsia="Arial" w:hAnsi="Arial"/>
          <w:sz w:val="16"/>
          <w:szCs w:val="16"/>
          <w:color w:val="auto"/>
        </w:rPr>
        <w:t>stage clinical trials;</w:t>
      </w:r>
    </w:p>
    <w:p>
      <w:pPr>
        <w:ind w:left="1280" w:hanging="318"/>
        <w:spacing w:after="0" w:line="175" w:lineRule="exact"/>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seek regulatory approval for any product candidates that successfully complete late</w:t>
      </w:r>
      <w:r>
        <w:rPr>
          <w:rFonts w:ascii="MS PGothic" w:cs="MS PGothic" w:eastAsia="MS PGothic" w:hAnsi="MS PGothic"/>
          <w:sz w:val="17"/>
          <w:szCs w:val="17"/>
          <w:color w:val="auto"/>
        </w:rPr>
        <w:t>‑</w:t>
      </w:r>
      <w:r>
        <w:rPr>
          <w:rFonts w:ascii="Arial" w:cs="Arial" w:eastAsia="Arial" w:hAnsi="Arial"/>
          <w:sz w:val="17"/>
          <w:szCs w:val="17"/>
          <w:color w:val="auto"/>
        </w:rPr>
        <w:t>stage clinical trials;</w:t>
      </w:r>
    </w:p>
    <w:p>
      <w:pPr>
        <w:ind w:left="1280" w:hanging="318"/>
        <w:spacing w:after="0" w:line="175" w:lineRule="exact"/>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conduct additional non</w:t>
      </w:r>
      <w:r>
        <w:rPr>
          <w:rFonts w:ascii="MS PGothic" w:cs="MS PGothic" w:eastAsia="MS PGothic" w:hAnsi="MS PGothic"/>
          <w:sz w:val="18"/>
          <w:szCs w:val="18"/>
          <w:color w:val="auto"/>
        </w:rPr>
        <w:t>‑</w:t>
      </w:r>
      <w:r>
        <w:rPr>
          <w:rFonts w:ascii="Arial" w:cs="Arial" w:eastAsia="Arial" w:hAnsi="Arial"/>
          <w:sz w:val="18"/>
          <w:szCs w:val="18"/>
          <w:color w:val="auto"/>
        </w:rPr>
        <w:t>clinical studies with any product candidates;</w:t>
      </w:r>
    </w:p>
    <w:p>
      <w:pPr>
        <w:ind w:left="1280" w:hanging="318"/>
        <w:spacing w:after="0" w:line="202" w:lineRule="auto"/>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conduct clinical studies with any additional product candidates;</w:t>
      </w:r>
    </w:p>
    <w:p>
      <w:pPr>
        <w:ind w:left="1280" w:right="500" w:hanging="318"/>
        <w:spacing w:after="0" w:line="202" w:lineRule="auto"/>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 manufacturing batch sizes of our product candidates to satisfy FDA requirements for a marketing application submission;</w:t>
      </w:r>
    </w:p>
    <w:p>
      <w:pPr>
        <w:spacing w:after="0" w:line="1" w:lineRule="exact"/>
        <w:rPr>
          <w:rFonts w:ascii="Arial" w:cs="Arial" w:eastAsia="Arial" w:hAnsi="Arial"/>
          <w:sz w:val="18"/>
          <w:szCs w:val="18"/>
          <w:color w:val="auto"/>
        </w:rPr>
      </w:pPr>
    </w:p>
    <w:p>
      <w:pPr>
        <w:ind w:left="1280" w:right="60" w:hanging="318"/>
        <w:spacing w:after="0" w:line="202" w:lineRule="auto"/>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and scale up external manufacturing capabilities to commercialize any products for which we may obtain regulatory approval and that we choose not to license to a third party;</w:t>
      </w:r>
    </w:p>
    <w:p>
      <w:pPr>
        <w:spacing w:after="0" w:line="1" w:lineRule="exact"/>
        <w:rPr>
          <w:rFonts w:ascii="Arial" w:cs="Arial" w:eastAsia="Arial" w:hAnsi="Arial"/>
          <w:sz w:val="18"/>
          <w:szCs w:val="18"/>
          <w:color w:val="auto"/>
        </w:rPr>
      </w:pPr>
    </w:p>
    <w:p>
      <w:pPr>
        <w:ind w:left="1280" w:hanging="318"/>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require larger quantities of product;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80"/>
          </w:cols>
          <w:pgMar w:left="1260" w:top="114" w:right="125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87" w:lineRule="exact"/>
        <w:rPr>
          <w:sz w:val="20"/>
          <w:szCs w:val="20"/>
          <w:color w:val="auto"/>
        </w:rPr>
      </w:pPr>
    </w:p>
    <w:p>
      <w:pPr>
        <w:ind w:left="1280" w:hanging="31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ind w:left="1280" w:hanging="318"/>
        <w:spacing w:after="0" w:line="202" w:lineRule="auto"/>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 and</w:t>
      </w:r>
    </w:p>
    <w:p>
      <w:pPr>
        <w:ind w:left="1280" w:right="120" w:hanging="318"/>
        <w:spacing w:after="0" w:line="238"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including personnel to support our product candidate development and planned future commercialization efforts.</w:t>
      </w:r>
    </w:p>
    <w:p>
      <w:pPr>
        <w:spacing w:after="0" w:line="121" w:lineRule="exact"/>
        <w:rPr>
          <w:sz w:val="20"/>
          <w:szCs w:val="20"/>
          <w:color w:val="auto"/>
        </w:rPr>
      </w:pPr>
    </w:p>
    <w:p>
      <w:pPr>
        <w:spacing w:after="0" w:line="181" w:lineRule="exact"/>
        <w:rPr>
          <w:sz w:val="20"/>
          <w:szCs w:val="20"/>
          <w:color w:val="auto"/>
        </w:rPr>
      </w:pPr>
      <w:r>
        <w:rPr>
          <w:rFonts w:ascii="Arial" w:cs="Arial" w:eastAsia="Arial" w:hAnsi="Arial"/>
          <w:sz w:val="16"/>
          <w:szCs w:val="16"/>
          <w:color w:val="auto"/>
        </w:rPr>
        <w:t>To become and remain profitable, we must succeed in developing and eventually commercializing products that generate significant revenue. We do not expect to generate significant revenue unless and until we are able to obtain marketing approval for and successfully commercialize one or more of our product candidates. This will require us to be successful in a range of challenging activities, including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w:t>
      </w:r>
      <w:r>
        <w:rPr>
          <w:rFonts w:ascii="MS PGothic" w:cs="MS PGothic" w:eastAsia="MS PGothic" w:hAnsi="MS PGothic"/>
          <w:sz w:val="16"/>
          <w:szCs w:val="16"/>
          <w:color w:val="auto"/>
        </w:rPr>
        <w:t>‑</w:t>
      </w:r>
      <w:r>
        <w:rPr>
          <w:rFonts w:ascii="Arial" w:cs="Arial" w:eastAsia="Arial" w:hAnsi="Arial"/>
          <w:sz w:val="16"/>
          <w:szCs w:val="16"/>
          <w:color w:val="auto"/>
        </w:rPr>
        <w:t>marketing requirements, maintaining appropriate distribution, setting prices, and obtaining reimbursement for our products from private insurance or government payors. We are only in the preliminary stages of some of these activities. We may never succeed in these activities and, even if we do, may never achieve profitability.</w:t>
      </w:r>
    </w:p>
    <w:p>
      <w:pPr>
        <w:spacing w:after="0" w:line="167" w:lineRule="exact"/>
        <w:rPr>
          <w:sz w:val="20"/>
          <w:szCs w:val="20"/>
          <w:color w:val="auto"/>
        </w:rPr>
      </w:pPr>
    </w:p>
    <w:p>
      <w:pPr>
        <w:ind w:right="20"/>
        <w:spacing w:after="0" w:line="215"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spacing w:after="0" w:line="162" w:lineRule="exact"/>
        <w:rPr>
          <w:sz w:val="20"/>
          <w:szCs w:val="20"/>
          <w:color w:val="auto"/>
        </w:rPr>
      </w:pPr>
    </w:p>
    <w:p>
      <w:pPr>
        <w:ind w:right="400"/>
        <w:spacing w:after="0" w:line="247" w:lineRule="auto"/>
        <w:rPr>
          <w:sz w:val="20"/>
          <w:szCs w:val="20"/>
          <w:color w:val="auto"/>
        </w:rPr>
      </w:pPr>
      <w:r>
        <w:rPr>
          <w:rFonts w:ascii="Arial" w:cs="Arial" w:eastAsia="Arial" w:hAnsi="Arial"/>
          <w:sz w:val="16"/>
          <w:szCs w:val="16"/>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157" w:lineRule="exact"/>
        <w:rPr>
          <w:sz w:val="20"/>
          <w:szCs w:val="20"/>
          <w:color w:val="auto"/>
        </w:rPr>
      </w:pPr>
    </w:p>
    <w:p>
      <w:pPr>
        <w:jc w:val="both"/>
        <w:ind w:right="240"/>
        <w:spacing w:after="0" w:line="223" w:lineRule="auto"/>
        <w:rPr>
          <w:sz w:val="20"/>
          <w:szCs w:val="20"/>
          <w:color w:val="auto"/>
        </w:rPr>
      </w:pPr>
      <w:r>
        <w:rPr>
          <w:rFonts w:ascii="Arial" w:cs="Arial" w:eastAsia="Arial" w:hAnsi="Arial"/>
          <w:sz w:val="18"/>
          <w:szCs w:val="18"/>
          <w:b w:val="1"/>
          <w:bCs w:val="1"/>
          <w:i w:val="1"/>
          <w:iCs w:val="1"/>
          <w:color w:val="auto"/>
        </w:rPr>
        <w:t>We will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62" w:lineRule="exact"/>
        <w:rPr>
          <w:sz w:val="20"/>
          <w:szCs w:val="20"/>
          <w:color w:val="auto"/>
        </w:rPr>
      </w:pPr>
    </w:p>
    <w:p>
      <w:pPr>
        <w:ind w:right="220"/>
        <w:spacing w:after="0" w:line="193" w:lineRule="exact"/>
        <w:rPr>
          <w:sz w:val="20"/>
          <w:szCs w:val="20"/>
          <w:color w:val="auto"/>
        </w:rPr>
      </w:pPr>
      <w:r>
        <w:rPr>
          <w:rFonts w:ascii="Arial" w:cs="Arial" w:eastAsia="Arial" w:hAnsi="Arial"/>
          <w:sz w:val="18"/>
          <w:szCs w:val="18"/>
          <w:color w:val="auto"/>
        </w:rPr>
        <w:t>Conducting clinical trials, pursuing regulatory approvals, establishing outsourced manufacturing relationships, and successfully manufacturing and commercializing our product candidates is, and will be, a very time</w:t>
      </w:r>
      <w:r>
        <w:rPr>
          <w:rFonts w:ascii="MS PGothic" w:cs="MS PGothic" w:eastAsia="MS PGothic" w:hAnsi="MS PGothic"/>
          <w:sz w:val="18"/>
          <w:szCs w:val="18"/>
          <w:color w:val="auto"/>
        </w:rPr>
        <w:t>‑</w:t>
      </w:r>
      <w:r>
        <w:rPr>
          <w:rFonts w:ascii="Arial" w:cs="Arial" w:eastAsia="Arial" w:hAnsi="Arial"/>
          <w:sz w:val="18"/>
          <w:szCs w:val="18"/>
          <w:color w:val="auto"/>
        </w:rPr>
        <w:t>consuming, expensive, and uncertain process that takes years to complete. We will need to raise additional capital to:</w:t>
      </w:r>
    </w:p>
    <w:p>
      <w:pPr>
        <w:spacing w:after="0" w:line="162" w:lineRule="exact"/>
        <w:rPr>
          <w:sz w:val="20"/>
          <w:szCs w:val="20"/>
          <w:color w:val="auto"/>
        </w:rPr>
      </w:pPr>
    </w:p>
    <w:p>
      <w:pPr>
        <w:ind w:left="960" w:right="60"/>
        <w:spacing w:after="0" w:line="211" w:lineRule="auto"/>
        <w:rPr>
          <w:sz w:val="20"/>
          <w:szCs w:val="20"/>
          <w:color w:val="auto"/>
        </w:rPr>
      </w:pPr>
      <w:r>
        <w:rPr>
          <w:rFonts w:ascii="Arial" w:cs="Arial" w:eastAsia="Arial" w:hAnsi="Arial"/>
          <w:sz w:val="18"/>
          <w:szCs w:val="18"/>
          <w:color w:val="auto"/>
        </w:rPr>
        <w:t>fund our future clinical trials for our current product candidates, especially if we encounter any unforeseen delays or difficulties in our planned development activities;</w:t>
      </w:r>
    </w:p>
    <w:p>
      <w:pPr>
        <w:spacing w:after="0" w:line="2" w:lineRule="exact"/>
        <w:rPr>
          <w:sz w:val="20"/>
          <w:szCs w:val="20"/>
          <w:color w:val="auto"/>
        </w:rPr>
      </w:pPr>
    </w:p>
    <w:p>
      <w:pPr>
        <w:jc w:val="both"/>
        <w:ind w:left="960" w:right="300"/>
        <w:spacing w:after="0" w:line="202" w:lineRule="auto"/>
        <w:rPr>
          <w:sz w:val="20"/>
          <w:szCs w:val="20"/>
          <w:color w:val="auto"/>
        </w:rPr>
      </w:pPr>
      <w:r>
        <w:rPr>
          <w:rFonts w:ascii="Arial" w:cs="Arial" w:eastAsia="Arial" w:hAnsi="Arial"/>
          <w:sz w:val="18"/>
          <w:szCs w:val="18"/>
          <w:color w:val="auto"/>
        </w:rPr>
        <w:t>fund our operations and continue our efforts to hire additional personnel and build a commercial infrastructure to prepare for the commercialization of our current and future product candidates, if approved by the FDA or other comparable foreign regulatory authorities;</w:t>
      </w:r>
    </w:p>
    <w:p>
      <w:pPr>
        <w:spacing w:after="0" w:line="2" w:lineRule="exact"/>
        <w:rPr>
          <w:sz w:val="20"/>
          <w:szCs w:val="20"/>
          <w:color w:val="auto"/>
        </w:rPr>
      </w:pPr>
    </w:p>
    <w:p>
      <w:pPr>
        <w:ind w:left="960" w:right="540"/>
        <w:spacing w:after="0" w:line="202" w:lineRule="auto"/>
        <w:rPr>
          <w:sz w:val="20"/>
          <w:szCs w:val="20"/>
          <w:color w:val="auto"/>
        </w:rPr>
      </w:pPr>
      <w:r>
        <w:rPr>
          <w:rFonts w:ascii="Arial" w:cs="Arial" w:eastAsia="Arial" w:hAnsi="Arial"/>
          <w:sz w:val="18"/>
          <w:szCs w:val="18"/>
          <w:color w:val="auto"/>
        </w:rPr>
        <w:t>qualify and outsource the commercial-scale manufacturing of our products under current good manufacturing practices;</w:t>
      </w:r>
    </w:p>
    <w:p>
      <w:pPr>
        <w:ind w:left="960"/>
        <w:spacing w:after="0" w:line="203" w:lineRule="auto"/>
        <w:rPr>
          <w:sz w:val="20"/>
          <w:szCs w:val="20"/>
          <w:color w:val="auto"/>
        </w:rPr>
      </w:pPr>
      <w:r>
        <w:rPr>
          <w:rFonts w:ascii="Arial" w:cs="Arial" w:eastAsia="Arial" w:hAnsi="Arial"/>
          <w:sz w:val="18"/>
          <w:szCs w:val="18"/>
          <w:color w:val="auto"/>
        </w:rPr>
        <w:t>develop additional product candidates; and</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in-license other product candidates.</w:t>
      </w:r>
    </w:p>
    <w:p>
      <w:pPr>
        <w:spacing w:after="0" w:line="167" w:lineRule="exact"/>
        <w:rPr>
          <w:sz w:val="20"/>
          <w:szCs w:val="20"/>
          <w:color w:val="auto"/>
        </w:rPr>
      </w:pPr>
    </w:p>
    <w:p>
      <w:pPr>
        <w:ind w:left="80" w:right="140"/>
        <w:spacing w:after="0" w:line="218" w:lineRule="auto"/>
        <w:rPr>
          <w:sz w:val="20"/>
          <w:szCs w:val="20"/>
          <w:color w:val="auto"/>
        </w:rPr>
      </w:pPr>
      <w:r>
        <w:rPr>
          <w:rFonts w:ascii="Arial" w:cs="Arial" w:eastAsia="Arial" w:hAnsi="Arial"/>
          <w:sz w:val="18"/>
          <w:szCs w:val="18"/>
          <w:color w:val="auto"/>
        </w:rPr>
        <w:t>We may not have sufficient financial resources to meet all of our objectives if any of our product candidates is approved by regulatory authorities, which could require us to postpone, scale back or eliminate some or all of these objectives, including our potential launch activities relating to our product candidates. Our future funding requirements will depend on many factors, including, but not limited to:</w:t>
      </w:r>
    </w:p>
    <w:p>
      <w:pPr>
        <w:spacing w:after="0" w:line="14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rate of progress and costs related to the development of our product candidates;</w:t>
      </w:r>
    </w:p>
    <w:p>
      <w:pPr>
        <w:ind w:left="960"/>
        <w:spacing w:after="0" w:line="202" w:lineRule="auto"/>
        <w:rPr>
          <w:sz w:val="20"/>
          <w:szCs w:val="20"/>
          <w:color w:val="auto"/>
        </w:rPr>
      </w:pPr>
      <w:r>
        <w:rPr>
          <w:rFonts w:ascii="Arial" w:cs="Arial" w:eastAsia="Arial" w:hAnsi="Arial"/>
          <w:sz w:val="18"/>
          <w:szCs w:val="18"/>
          <w:color w:val="auto"/>
        </w:rPr>
        <w:t>the costs associated with conducting additional non-clinical studies with any of our product candidates;</w:t>
      </w:r>
    </w:p>
    <w:p>
      <w:pPr>
        <w:spacing w:after="0" w:line="1" w:lineRule="exact"/>
        <w:rPr>
          <w:sz w:val="20"/>
          <w:szCs w:val="20"/>
          <w:color w:val="auto"/>
        </w:rPr>
      </w:pPr>
    </w:p>
    <w:p>
      <w:pPr>
        <w:ind w:left="960"/>
        <w:spacing w:after="0" w:line="202" w:lineRule="auto"/>
        <w:rPr>
          <w:sz w:val="20"/>
          <w:szCs w:val="20"/>
          <w:color w:val="auto"/>
        </w:rPr>
      </w:pPr>
      <w:r>
        <w:rPr>
          <w:rFonts w:ascii="Arial" w:cs="Arial" w:eastAsia="Arial" w:hAnsi="Arial"/>
          <w:sz w:val="18"/>
          <w:szCs w:val="18"/>
          <w:color w:val="auto"/>
        </w:rPr>
        <w:t>the potential for delays in our efforts to seek regulatory approval for our product candidates, and any costs associated with such delays;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costs of establishing a commercial organization to sell, market and distribute our product candidates;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60"/>
          </w:cols>
          <w:pgMar w:left="1260" w:top="114" w:right="127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4" w:lineRule="exact"/>
        <w:rPr>
          <w:sz w:val="20"/>
          <w:szCs w:val="20"/>
          <w:color w:val="auto"/>
        </w:rPr>
      </w:pPr>
    </w:p>
    <w:p>
      <w:pPr>
        <w:jc w:val="both"/>
        <w:ind w:left="960" w:right="160"/>
        <w:spacing w:after="0" w:line="208" w:lineRule="auto"/>
        <w:rPr>
          <w:sz w:val="20"/>
          <w:szCs w:val="20"/>
          <w:color w:val="auto"/>
        </w:rPr>
      </w:pPr>
      <w:r>
        <w:rPr>
          <w:rFonts w:ascii="Arial" w:cs="Arial" w:eastAsia="Arial" w:hAnsi="Arial"/>
          <w:sz w:val="18"/>
          <w:szCs w:val="18"/>
          <w:color w:val="auto"/>
        </w:rPr>
        <w:t>the rate of progress and costs of our efforts to prepare for the submission of a new drug application for any product candidates that we may in-license or acquire in the future, and the potential that we may need to conduct additional clinical or preclinical trials to support applications for regulatory approval;</w:t>
      </w:r>
    </w:p>
    <w:p>
      <w:pPr>
        <w:spacing w:after="0" w:line="2" w:lineRule="exact"/>
        <w:rPr>
          <w:sz w:val="20"/>
          <w:szCs w:val="20"/>
          <w:color w:val="auto"/>
        </w:rPr>
      </w:pPr>
    </w:p>
    <w:p>
      <w:pPr>
        <w:ind w:left="960" w:right="440"/>
        <w:spacing w:after="0" w:line="202" w:lineRule="auto"/>
        <w:rPr>
          <w:sz w:val="20"/>
          <w:szCs w:val="20"/>
          <w:color w:val="auto"/>
        </w:rPr>
      </w:pPr>
      <w:r>
        <w:rPr>
          <w:rFonts w:ascii="Arial" w:cs="Arial" w:eastAsia="Arial" w:hAnsi="Arial"/>
          <w:sz w:val="18"/>
          <w:szCs w:val="18"/>
          <w:color w:val="auto"/>
        </w:rPr>
        <w:t>the costs of filing, prosecuting, defending and enforcing any patent claims and other intellectual property rights associated with our product candidates;</w:t>
      </w:r>
    </w:p>
    <w:p>
      <w:pPr>
        <w:spacing w:after="0" w:line="1" w:lineRule="exact"/>
        <w:rPr>
          <w:sz w:val="20"/>
          <w:szCs w:val="20"/>
          <w:color w:val="auto"/>
        </w:rPr>
      </w:pPr>
    </w:p>
    <w:p>
      <w:pPr>
        <w:ind w:left="960" w:right="1240"/>
        <w:spacing w:after="0" w:line="202" w:lineRule="auto"/>
        <w:rPr>
          <w:sz w:val="20"/>
          <w:szCs w:val="20"/>
          <w:color w:val="auto"/>
        </w:rPr>
      </w:pPr>
      <w:r>
        <w:rPr>
          <w:rFonts w:ascii="Arial" w:cs="Arial" w:eastAsia="Arial" w:hAnsi="Arial"/>
          <w:sz w:val="18"/>
          <w:szCs w:val="18"/>
          <w:color w:val="auto"/>
        </w:rPr>
        <w:t>the cost and timing of manufacturing sufficient supplies of our product candidates in preparation for commercialization;</w:t>
      </w:r>
    </w:p>
    <w:p>
      <w:pPr>
        <w:ind w:left="960"/>
        <w:spacing w:after="0" w:line="203" w:lineRule="auto"/>
        <w:rPr>
          <w:sz w:val="20"/>
          <w:szCs w:val="20"/>
          <w:color w:val="auto"/>
        </w:rPr>
      </w:pPr>
      <w:r>
        <w:rPr>
          <w:rFonts w:ascii="Arial" w:cs="Arial" w:eastAsia="Arial" w:hAnsi="Arial"/>
          <w:sz w:val="18"/>
          <w:szCs w:val="18"/>
          <w:color w:val="auto"/>
        </w:rPr>
        <w:t>the effect of competing technological and market developments;</w:t>
      </w:r>
    </w:p>
    <w:p>
      <w:pPr>
        <w:spacing w:after="0" w:line="1" w:lineRule="exact"/>
        <w:rPr>
          <w:sz w:val="20"/>
          <w:szCs w:val="20"/>
          <w:color w:val="auto"/>
        </w:rPr>
      </w:pPr>
    </w:p>
    <w:p>
      <w:pPr>
        <w:ind w:left="960" w:right="560"/>
        <w:spacing w:after="0" w:line="202" w:lineRule="auto"/>
        <w:rPr>
          <w:sz w:val="20"/>
          <w:szCs w:val="20"/>
          <w:color w:val="auto"/>
        </w:rPr>
      </w:pPr>
      <w:r>
        <w:rPr>
          <w:rFonts w:ascii="Arial" w:cs="Arial" w:eastAsia="Arial" w:hAnsi="Arial"/>
          <w:sz w:val="18"/>
          <w:szCs w:val="18"/>
          <w:color w:val="auto"/>
        </w:rPr>
        <w:t>revenue, if any, received from commercial sales of our product candidates, subject to the receipt of regulatory approval;</w:t>
      </w:r>
    </w:p>
    <w:p>
      <w:pPr>
        <w:spacing w:after="0" w:line="1" w:lineRule="exact"/>
        <w:rPr>
          <w:sz w:val="20"/>
          <w:szCs w:val="20"/>
          <w:color w:val="auto"/>
        </w:rPr>
      </w:pPr>
    </w:p>
    <w:p>
      <w:pPr>
        <w:ind w:left="960" w:right="100"/>
        <w:spacing w:after="0" w:line="225" w:lineRule="auto"/>
        <w:rPr>
          <w:sz w:val="20"/>
          <w:szCs w:val="20"/>
          <w:color w:val="auto"/>
        </w:rPr>
      </w:pPr>
      <w:r>
        <w:rPr>
          <w:rFonts w:ascii="Arial" w:cs="Arial" w:eastAsia="Arial" w:hAnsi="Arial"/>
          <w:sz w:val="18"/>
          <w:szCs w:val="18"/>
          <w:color w:val="auto"/>
        </w:rPr>
        <w:t>the terms and timing of any collaborative, licensing, co-promotion or other arrangements that we may establish; and the success of the commercialization of any of our current or future product candidates.</w:t>
      </w:r>
    </w:p>
    <w:p>
      <w:pPr>
        <w:spacing w:after="0" w:line="161" w:lineRule="exact"/>
        <w:rPr>
          <w:sz w:val="20"/>
          <w:szCs w:val="20"/>
          <w:color w:val="auto"/>
        </w:rPr>
      </w:pPr>
    </w:p>
    <w:p>
      <w:pPr>
        <w:spacing w:after="0" w:line="225" w:lineRule="auto"/>
        <w:rPr>
          <w:sz w:val="20"/>
          <w:szCs w:val="20"/>
          <w:color w:val="auto"/>
        </w:rPr>
      </w:pPr>
      <w:r>
        <w:rPr>
          <w:rFonts w:ascii="Arial" w:cs="Arial" w:eastAsia="Arial" w:hAnsi="Arial"/>
          <w:sz w:val="17"/>
          <w:szCs w:val="17"/>
          <w:color w:val="auto"/>
        </w:rPr>
        <w:t>Future capital requirements will also depend on the extent to which we acquire or invest in additional businesses, products, and technologies. Until we can generate a sufficient amount of product revenue, if ever, we expect to finance future cash needs through public or private equity offerings, debt financings, royalties, and corporate collaboration and licensing arrangements, as well as through interest income earned on cash and investment balances. 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spacing w:after="0" w:line="164" w:lineRule="exact"/>
        <w:rPr>
          <w:sz w:val="20"/>
          <w:szCs w:val="20"/>
          <w:color w:val="auto"/>
        </w:rPr>
      </w:pPr>
    </w:p>
    <w:p>
      <w:pPr>
        <w:ind w:right="440"/>
        <w:spacing w:after="0" w:line="234" w:lineRule="auto"/>
        <w:rPr>
          <w:sz w:val="20"/>
          <w:szCs w:val="20"/>
          <w:color w:val="auto"/>
        </w:rPr>
      </w:pPr>
      <w:r>
        <w:rPr>
          <w:rFonts w:ascii="Arial" w:cs="Arial" w:eastAsia="Arial" w:hAnsi="Arial"/>
          <w:sz w:val="18"/>
          <w:szCs w:val="18"/>
          <w:b w:val="1"/>
          <w:bCs w:val="1"/>
          <w:i w:val="1"/>
          <w:iCs w:val="1"/>
          <w:color w:val="auto"/>
        </w:rPr>
        <w:t>Management will have broad discretion as to the use of any proceeds from this offering, and we may not use the proceeds effectively.</w:t>
      </w:r>
    </w:p>
    <w:p>
      <w:pPr>
        <w:spacing w:after="0" w:line="161" w:lineRule="exact"/>
        <w:rPr>
          <w:sz w:val="20"/>
          <w:szCs w:val="20"/>
          <w:color w:val="auto"/>
        </w:rPr>
      </w:pPr>
    </w:p>
    <w:p>
      <w:pPr>
        <w:ind w:right="20"/>
        <w:spacing w:after="0" w:line="225" w:lineRule="auto"/>
        <w:rPr>
          <w:sz w:val="20"/>
          <w:szCs w:val="20"/>
          <w:color w:val="auto"/>
        </w:rPr>
      </w:pPr>
      <w:r>
        <w:rPr>
          <w:rFonts w:ascii="Arial" w:cs="Arial" w:eastAsia="Arial" w:hAnsi="Arial"/>
          <w:sz w:val="17"/>
          <w:szCs w:val="17"/>
          <w:color w:val="auto"/>
        </w:rPr>
        <w:t>Our management will have broad discretion with respect to the use of any proceeds of this offering, including for any of the purposes described in “Use of Proceeds.” You will be relying on the judgment of our management regarding the application of any proceeds of this offering. The results and effectiveness of the use of proceeds are uncertain, and we could spend the proceeds in ways that you do not agree with or that do not improve our results of operations or enhance the value of our common stock. Our failure to apply these funds effectively could have a material adverse effect on our business, delay the development of our product candidates and cause the price of our common stock to decline.</w:t>
      </w:r>
    </w:p>
    <w:p>
      <w:pPr>
        <w:spacing w:after="0" w:line="164"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b w:val="1"/>
          <w:bCs w:val="1"/>
          <w:i w:val="1"/>
          <w:iCs w:val="1"/>
          <w:color w:val="auto"/>
        </w:rPr>
        <w:t>If you purchase our common stock in this offering, you may incur immediate and substantial dilution in the book value of your shares.</w:t>
      </w:r>
    </w:p>
    <w:p>
      <w:pPr>
        <w:spacing w:after="0" w:line="161" w:lineRule="exact"/>
        <w:rPr>
          <w:sz w:val="20"/>
          <w:szCs w:val="20"/>
          <w:color w:val="auto"/>
        </w:rPr>
      </w:pPr>
    </w:p>
    <w:p>
      <w:pPr>
        <w:ind w:right="200"/>
        <w:spacing w:after="0" w:line="238" w:lineRule="auto"/>
        <w:rPr>
          <w:sz w:val="20"/>
          <w:szCs w:val="20"/>
          <w:color w:val="auto"/>
        </w:rPr>
      </w:pPr>
      <w:r>
        <w:rPr>
          <w:rFonts w:ascii="Arial" w:cs="Arial" w:eastAsia="Arial" w:hAnsi="Arial"/>
          <w:sz w:val="16"/>
          <w:szCs w:val="16"/>
          <w:color w:val="auto"/>
        </w:rPr>
        <w:t>Since the price per share of our common stock being offered is substantially higher than the net tangible book value per share of our common stock, you will suffer substantial dilution in the net tangible book value of the common stock you purchase in this</w:t>
      </w:r>
    </w:p>
    <w:p>
      <w:pPr>
        <w:spacing w:after="0" w:line="1" w:lineRule="exact"/>
        <w:rPr>
          <w:sz w:val="20"/>
          <w:szCs w:val="20"/>
          <w:color w:val="auto"/>
        </w:rPr>
      </w:pPr>
    </w:p>
    <w:p>
      <w:pPr>
        <w:ind w:right="20"/>
        <w:spacing w:after="0" w:line="227" w:lineRule="auto"/>
        <w:rPr>
          <w:sz w:val="20"/>
          <w:szCs w:val="20"/>
          <w:color w:val="auto"/>
        </w:rPr>
      </w:pPr>
      <w:r>
        <w:rPr>
          <w:rFonts w:ascii="Arial" w:cs="Arial" w:eastAsia="Arial" w:hAnsi="Arial"/>
          <w:sz w:val="16"/>
          <w:szCs w:val="16"/>
          <w:color w:val="auto"/>
        </w:rPr>
        <w:t>offering. Based on the public offering price of $ per share, and after deducting underwriting discounts and commissions and estimated offering expenses payable by us, and based on a net tangible book value of our common stock of $0.20 per share as of September 30, 2019, if you purchase shares of common stock in this offering, you will suffer immediate and substantial dilution</w:t>
      </w:r>
    </w:p>
    <w:p>
      <w:pPr>
        <w:spacing w:after="0" w:line="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of  $</w:t>
      </w:r>
      <w:r>
        <w:rPr>
          <w:sz w:val="20"/>
          <w:szCs w:val="20"/>
          <w:color w:val="auto"/>
        </w:rPr>
        <w:tab/>
      </w:r>
      <w:r>
        <w:rPr>
          <w:rFonts w:ascii="Arial" w:cs="Arial" w:eastAsia="Arial" w:hAnsi="Arial"/>
          <w:sz w:val="16"/>
          <w:szCs w:val="16"/>
          <w:color w:val="auto"/>
        </w:rPr>
        <w:t>per share in the net tangible book value of common stock.</w:t>
      </w:r>
    </w:p>
    <w:p>
      <w:pPr>
        <w:spacing w:after="0" w:line="167" w:lineRule="exact"/>
        <w:rPr>
          <w:sz w:val="20"/>
          <w:szCs w:val="20"/>
          <w:color w:val="auto"/>
        </w:rPr>
      </w:pPr>
    </w:p>
    <w:p>
      <w:pPr>
        <w:ind w:right="60"/>
        <w:spacing w:after="0" w:line="228" w:lineRule="auto"/>
        <w:rPr>
          <w:sz w:val="20"/>
          <w:szCs w:val="20"/>
          <w:color w:val="auto"/>
        </w:rPr>
      </w:pPr>
      <w:r>
        <w:rPr>
          <w:rFonts w:ascii="Arial" w:cs="Arial" w:eastAsia="Arial" w:hAnsi="Arial"/>
          <w:sz w:val="17"/>
          <w:szCs w:val="17"/>
          <w:color w:val="auto"/>
        </w:rPr>
        <w:t>To the extent outstanding options or warrants are exercised, you will experience further dilution. See the section titled “Dilution” below for a more detailed illustration of the dilution you would incur if you participate in this offering. Because the sales of the shares offered hereby will be made directly into the market, the prices at which we sell these shares will vary and these variations may be significant. Purchasers of the shares we sell, as well as our existing shareholders, will experience significant dilution if we sell shares at prices significantly below the price at which they invested.</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80"/>
          </w:cols>
          <w:pgMar w:left="1260" w:top="114" w:right="125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4" w:lineRule="exact"/>
        <w:rPr>
          <w:sz w:val="20"/>
          <w:szCs w:val="20"/>
          <w:color w:val="auto"/>
        </w:rPr>
      </w:pPr>
    </w:p>
    <w:p>
      <w:pPr>
        <w:ind w:right="360"/>
        <w:spacing w:after="0" w:line="223"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common stock pursuant to our equity compensation plans could result in additional dilution of the percentage ownership of our stockholders and could cause the price of our common stock to decline.</w:t>
      </w:r>
    </w:p>
    <w:p>
      <w:pPr>
        <w:spacing w:after="0" w:line="162"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We will need additional capital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or if we issue common stock pursuant to our equity compensation plans, investors may be materially diluted by subsequent sales or issuances. These sales or issuances may also result in material dilution to our existing stockholders, and new investors could gain rights superior to our existing stockholders.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400"/>
          </w:cols>
          <w:pgMar w:left="1260" w:top="114" w:right="1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563C1"/>
            </w:tcBorders>
          </w:tcPr>
          <w:p>
            <w:pPr>
              <w:spacing w:after="0"/>
              <w:rPr>
                <w:rFonts w:ascii="Arial" w:cs="Arial" w:eastAsia="Arial" w:hAnsi="Arial"/>
                <w:sz w:val="18"/>
                <w:szCs w:val="18"/>
                <w:color w:val="0563C1"/>
                <w:w w:val="87"/>
              </w:rPr>
            </w:pPr>
            <w:hyperlink w:anchor="page2">
              <w:r>
                <w:rPr>
                  <w:rFonts w:ascii="Arial" w:cs="Arial" w:eastAsia="Arial" w:hAnsi="Arial"/>
                  <w:sz w:val="18"/>
                  <w:szCs w:val="18"/>
                  <w:color w:val="0563C1"/>
                  <w:w w:val="87"/>
                </w:rPr>
                <w:t>Table of Contents</w:t>
              </w:r>
            </w:hyperlink>
          </w:p>
        </w:tc>
        <w:tc>
          <w:tcPr>
            <w:tcW w:w="2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340" w:type="dxa"/>
            <w:vAlign w:val="bottom"/>
          </w:tcPr>
          <w:p>
            <w:pPr>
              <w:spacing w:after="0"/>
              <w:rPr>
                <w:sz w:val="17"/>
                <w:szCs w:val="17"/>
                <w:color w:val="auto"/>
              </w:rPr>
            </w:pPr>
          </w:p>
        </w:tc>
      </w:tr>
      <w:tr>
        <w:trPr>
          <w:trHeight w:val="733"/>
        </w:trPr>
        <w:tc>
          <w:tcPr>
            <w:tcW w:w="12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b w:val="1"/>
                <w:bCs w:val="1"/>
                <w:color w:val="auto"/>
              </w:rPr>
              <w:t>USE OF PROCEEDS</w:t>
            </w:r>
          </w:p>
        </w:tc>
      </w:tr>
      <w:tr>
        <w:trPr>
          <w:trHeight w:val="336"/>
        </w:trPr>
        <w:tc>
          <w:tcPr>
            <w:tcW w:w="4960" w:type="dxa"/>
            <w:vAlign w:val="bottom"/>
            <w:gridSpan w:val="3"/>
          </w:tcPr>
          <w:p>
            <w:pPr>
              <w:spacing w:after="0"/>
              <w:rPr>
                <w:sz w:val="20"/>
                <w:szCs w:val="20"/>
                <w:color w:val="auto"/>
              </w:rPr>
            </w:pPr>
            <w:r>
              <w:rPr>
                <w:rFonts w:ascii="Arial" w:cs="Arial" w:eastAsia="Arial" w:hAnsi="Arial"/>
                <w:sz w:val="18"/>
                <w:szCs w:val="18"/>
                <w:color w:val="auto"/>
                <w:w w:val="92"/>
              </w:rPr>
              <w:t>We estimate that the net proceeds from our issuance and sale of  $</w:t>
            </w:r>
          </w:p>
        </w:tc>
        <w:tc>
          <w:tcPr>
            <w:tcW w:w="4340" w:type="dxa"/>
            <w:vAlign w:val="bottom"/>
          </w:tcPr>
          <w:p>
            <w:pPr>
              <w:ind w:left="200"/>
              <w:spacing w:after="0"/>
              <w:rPr>
                <w:sz w:val="20"/>
                <w:szCs w:val="20"/>
                <w:color w:val="auto"/>
              </w:rPr>
            </w:pPr>
            <w:r>
              <w:rPr>
                <w:rFonts w:ascii="Arial" w:cs="Arial" w:eastAsia="Arial" w:hAnsi="Arial"/>
                <w:sz w:val="18"/>
                <w:szCs w:val="18"/>
                <w:color w:val="auto"/>
                <w:w w:val="92"/>
              </w:rPr>
              <w:t>million of shares of common stock in this offering will be</w:t>
            </w:r>
          </w:p>
        </w:tc>
      </w:tr>
      <w:tr>
        <w:trPr>
          <w:trHeight w:val="190"/>
        </w:trPr>
        <w:tc>
          <w:tcPr>
            <w:tcW w:w="1260" w:type="dxa"/>
            <w:vAlign w:val="bottom"/>
          </w:tcPr>
          <w:p>
            <w:pPr>
              <w:spacing w:after="0" w:line="190" w:lineRule="exact"/>
              <w:rPr>
                <w:sz w:val="20"/>
                <w:szCs w:val="20"/>
                <w:color w:val="auto"/>
              </w:rPr>
            </w:pPr>
            <w:r>
              <w:rPr>
                <w:rFonts w:ascii="Arial" w:cs="Arial" w:eastAsia="Arial" w:hAnsi="Arial"/>
                <w:sz w:val="18"/>
                <w:szCs w:val="18"/>
                <w:color w:val="auto"/>
                <w:w w:val="97"/>
              </w:rPr>
              <w:t>approximately $</w:t>
            </w:r>
          </w:p>
        </w:tc>
        <w:tc>
          <w:tcPr>
            <w:tcW w:w="2440" w:type="dxa"/>
            <w:vAlign w:val="bottom"/>
          </w:tcPr>
          <w:p>
            <w:pPr>
              <w:ind w:left="300"/>
              <w:spacing w:after="0" w:line="190" w:lineRule="exact"/>
              <w:rPr>
                <w:sz w:val="20"/>
                <w:szCs w:val="20"/>
                <w:color w:val="auto"/>
              </w:rPr>
            </w:pPr>
            <w:r>
              <w:rPr>
                <w:rFonts w:ascii="Arial" w:cs="Arial" w:eastAsia="Arial" w:hAnsi="Arial"/>
                <w:sz w:val="18"/>
                <w:szCs w:val="18"/>
                <w:color w:val="auto"/>
              </w:rPr>
              <w:t>million, or approximately $</w:t>
            </w:r>
          </w:p>
        </w:tc>
        <w:tc>
          <w:tcPr>
            <w:tcW w:w="5600" w:type="dxa"/>
            <w:vAlign w:val="bottom"/>
            <w:gridSpan w:val="2"/>
          </w:tcPr>
          <w:p>
            <w:pPr>
              <w:ind w:left="240"/>
              <w:spacing w:after="0" w:line="190" w:lineRule="exact"/>
              <w:rPr>
                <w:sz w:val="20"/>
                <w:szCs w:val="20"/>
                <w:color w:val="auto"/>
              </w:rPr>
            </w:pPr>
            <w:r>
              <w:rPr>
                <w:rFonts w:ascii="Arial" w:cs="Arial" w:eastAsia="Arial" w:hAnsi="Arial"/>
                <w:sz w:val="18"/>
                <w:szCs w:val="18"/>
                <w:color w:val="auto"/>
                <w:w w:val="97"/>
              </w:rPr>
              <w:t>million if the underwriters exercise their option to purchase additional</w:t>
            </w:r>
          </w:p>
        </w:tc>
      </w:tr>
    </w:tbl>
    <w:p>
      <w:pPr>
        <w:spacing w:after="0"/>
        <w:rPr>
          <w:sz w:val="20"/>
          <w:szCs w:val="20"/>
          <w:color w:val="auto"/>
        </w:rPr>
      </w:pPr>
      <w:r>
        <w:rPr>
          <w:rFonts w:ascii="Arial" w:cs="Arial" w:eastAsia="Arial" w:hAnsi="Arial"/>
          <w:sz w:val="17"/>
          <w:szCs w:val="17"/>
          <w:color w:val="auto"/>
        </w:rPr>
        <w:t>shares in full, after deducting the underwriting discounts and commissions and estimated offering expenses payable by us.</w:t>
      </w:r>
    </w:p>
    <w:p>
      <w:pPr>
        <w:spacing w:after="0" w:line="178"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We intend to use the net proceeds from this offering to continue to fund the ongoing clinical development of our late stage product candidates and for other general corporate purposes, including funding existing and potential new clinical programs and product candidates.</w:t>
      </w:r>
    </w:p>
    <w:p>
      <w:pPr>
        <w:spacing w:after="0" w:line="162" w:lineRule="exact"/>
        <w:rPr>
          <w:sz w:val="20"/>
          <w:szCs w:val="20"/>
          <w:color w:val="auto"/>
        </w:rPr>
      </w:pPr>
    </w:p>
    <w:p>
      <w:pPr>
        <w:ind w:right="20"/>
        <w:spacing w:after="0" w:line="215" w:lineRule="auto"/>
        <w:rPr>
          <w:sz w:val="20"/>
          <w:szCs w:val="20"/>
          <w:color w:val="auto"/>
        </w:rPr>
      </w:pPr>
      <w:r>
        <w:rPr>
          <w:rFonts w:ascii="Arial" w:cs="Arial" w:eastAsia="Arial" w:hAnsi="Arial"/>
          <w:sz w:val="18"/>
          <w:szCs w:val="18"/>
          <w:color w:val="auto"/>
        </w:rPr>
        <w:t>Our expected use of the net proceeds to us from this offering represents our current intentions based upon our present plans and business condition. The amounts and timing of our actual expenditures will depend on numerous factors, including the progress of our research and development efforts, the status of and results from our current or future clinical trials, the timing of regulatory submissions and any unforeseen cash needs. Accordingly, our management will have broad discretion in the application of any net proceeds from this offering.</w:t>
      </w:r>
    </w:p>
    <w:p>
      <w:pPr>
        <w:spacing w:after="0" w:line="162"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Until we use the net proceeds of this offering for the purposes described above, we intend to invest any funds we receive in short-term, investment-grade, interest-bearing instruments and U.S. government securities. We cannot predict whether these investments will yield a favorable return.</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60"/>
          </w:cols>
          <w:pgMar w:left="1260" w:top="94" w:right="127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79" w:lineRule="exact"/>
        <w:rPr>
          <w:sz w:val="20"/>
          <w:szCs w:val="20"/>
          <w:color w:val="auto"/>
        </w:rPr>
      </w:pPr>
    </w:p>
    <w:p>
      <w:pPr>
        <w:ind w:right="20"/>
        <w:spacing w:after="0" w:line="218" w:lineRule="auto"/>
        <w:rPr>
          <w:sz w:val="20"/>
          <w:szCs w:val="20"/>
          <w:color w:val="auto"/>
        </w:rPr>
      </w:pPr>
      <w:r>
        <w:rPr>
          <w:rFonts w:ascii="Arial" w:cs="Arial" w:eastAsia="Arial" w:hAnsi="Arial"/>
          <w:sz w:val="18"/>
          <w:szCs w:val="18"/>
          <w:color w:val="auto"/>
        </w:rPr>
        <w:t>If you invest in our common stock in this offering, your interest will be diluted immediately to the extent of the difference between the price per share you pay in this offering and the as adjusted net tangible book value per share of our common stock after giving effect to this offering. Net tangible book value per share represents our total assets, less total liabilities, divided by the number of shares of our common stock outstanding.</w:t>
      </w:r>
    </w:p>
    <w:p>
      <w:pPr>
        <w:spacing w:after="0" w:line="55" w:lineRule="exact"/>
        <w:rPr>
          <w:sz w:val="20"/>
          <w:szCs w:val="20"/>
          <w:color w:val="auto"/>
        </w:rPr>
      </w:pPr>
    </w:p>
    <w:p>
      <w:pPr>
        <w:ind w:right="20"/>
        <w:spacing w:after="0" w:line="224" w:lineRule="auto"/>
        <w:rPr>
          <w:sz w:val="20"/>
          <w:szCs w:val="20"/>
          <w:color w:val="auto"/>
        </w:rPr>
      </w:pPr>
      <w:r>
        <w:rPr>
          <w:rFonts w:ascii="Arial" w:cs="Arial" w:eastAsia="Arial" w:hAnsi="Arial"/>
          <w:sz w:val="17"/>
          <w:szCs w:val="17"/>
          <w:color w:val="auto"/>
        </w:rPr>
        <w:t>At September 30, 2019, our net tangible book value was approximately $6.8 million or $0.20 per share of common stock, based on 34,496,846 shares of common stock then outstanding. After giving effect to the sale by us of an aggregate of shares of our common stock at the public offering price of $ per share, for aggregate gross proceeds of approximately $ million, and after deducting underwriting discounts and commissions, and estimated offering expenses payable by us, our net tangible book value at September 30, 2019 would have been $ or $ per share of common stock. This represents an immediate increase in net tangible book value to existing stockholders of $ per share and an immediate dilution of $ per share to new investors purchasing common stock at the public offering price of $ per share in this offering.</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illustrates this per share dilution to the new investors purchasing shares of common stock in this offering:</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Public offering price per share</w:t>
            </w:r>
          </w:p>
        </w:tc>
        <w:tc>
          <w:tcPr>
            <w:tcW w:w="27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80" w:type="dxa"/>
            <w:vAlign w:val="bottom"/>
            <w:gridSpan w:val="3"/>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r>
      <w:tr>
        <w:trPr>
          <w:trHeight w:val="175"/>
        </w:trPr>
        <w:tc>
          <w:tcPr>
            <w:tcW w:w="4300" w:type="dxa"/>
            <w:vAlign w:val="bottom"/>
          </w:tcPr>
          <w:p>
            <w:pPr>
              <w:ind w:left="240"/>
              <w:spacing w:after="0" w:line="175" w:lineRule="exact"/>
              <w:rPr>
                <w:sz w:val="20"/>
                <w:szCs w:val="20"/>
                <w:color w:val="auto"/>
              </w:rPr>
            </w:pPr>
            <w:r>
              <w:rPr>
                <w:rFonts w:ascii="Arial" w:cs="Arial" w:eastAsia="Arial" w:hAnsi="Arial"/>
                <w:sz w:val="16"/>
                <w:szCs w:val="16"/>
                <w:color w:val="auto"/>
                <w:w w:val="99"/>
              </w:rPr>
              <w:t>Net tangible book value per share at September 30, 2019</w:t>
            </w:r>
          </w:p>
        </w:tc>
        <w:tc>
          <w:tcPr>
            <w:tcW w:w="3220" w:type="dxa"/>
            <w:vAlign w:val="bottom"/>
            <w:gridSpan w:val="2"/>
          </w:tcPr>
          <w:p>
            <w:pPr>
              <w:jc w:val="right"/>
              <w:ind w:right="240"/>
              <w:spacing w:after="0" w:line="175" w:lineRule="exact"/>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340"/>
              <w:spacing w:after="0" w:line="175" w:lineRule="exact"/>
              <w:rPr>
                <w:sz w:val="20"/>
                <w:szCs w:val="20"/>
                <w:color w:val="auto"/>
              </w:rPr>
            </w:pPr>
            <w:r>
              <w:rPr>
                <w:rFonts w:ascii="Arial" w:cs="Arial" w:eastAsia="Arial" w:hAnsi="Arial"/>
                <w:sz w:val="16"/>
                <w:szCs w:val="16"/>
                <w:color w:val="auto"/>
              </w:rPr>
              <w:t>0.20</w:t>
            </w:r>
          </w:p>
        </w:tc>
        <w:tc>
          <w:tcPr>
            <w:tcW w:w="1020" w:type="dxa"/>
            <w:vAlign w:val="bottom"/>
          </w:tcPr>
          <w:p>
            <w:pPr>
              <w:spacing w:after="0"/>
              <w:rPr>
                <w:sz w:val="15"/>
                <w:szCs w:val="15"/>
                <w:color w:val="auto"/>
              </w:rPr>
            </w:pPr>
          </w:p>
        </w:tc>
      </w:tr>
      <w:tr>
        <w:trPr>
          <w:trHeight w:val="138"/>
        </w:trPr>
        <w:tc>
          <w:tcPr>
            <w:tcW w:w="7520" w:type="dxa"/>
            <w:vAlign w:val="bottom"/>
            <w:gridSpan w:val="3"/>
            <w:shd w:val="clear" w:color="auto" w:fill="CCEEFF"/>
          </w:tcPr>
          <w:p>
            <w:pPr>
              <w:ind w:left="240"/>
              <w:spacing w:after="0" w:line="138" w:lineRule="exact"/>
              <w:rPr>
                <w:sz w:val="20"/>
                <w:szCs w:val="20"/>
                <w:color w:val="auto"/>
              </w:rPr>
            </w:pPr>
            <w:r>
              <w:rPr>
                <w:rFonts w:ascii="Arial" w:cs="Arial" w:eastAsia="Arial" w:hAnsi="Arial"/>
                <w:sz w:val="16"/>
                <w:szCs w:val="16"/>
                <w:color w:val="auto"/>
              </w:rPr>
              <w:t>Increase in net tangible book value per share attributable to new investors purchasing shares in this</w:t>
            </w: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85"/>
        </w:trPr>
        <w:tc>
          <w:tcPr>
            <w:tcW w:w="43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offering</w:t>
            </w:r>
          </w:p>
        </w:tc>
        <w:tc>
          <w:tcPr>
            <w:tcW w:w="278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55"/>
        </w:trPr>
        <w:tc>
          <w:tcPr>
            <w:tcW w:w="43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38"/>
        </w:trPr>
        <w:tc>
          <w:tcPr>
            <w:tcW w:w="7520" w:type="dxa"/>
            <w:vAlign w:val="bottom"/>
            <w:gridSpan w:val="3"/>
            <w:shd w:val="clear" w:color="auto" w:fill="CCEEFF"/>
          </w:tcPr>
          <w:p>
            <w:pPr>
              <w:ind w:left="120"/>
              <w:spacing w:after="0" w:line="138" w:lineRule="exact"/>
              <w:rPr>
                <w:sz w:val="20"/>
                <w:szCs w:val="20"/>
                <w:color w:val="auto"/>
              </w:rPr>
            </w:pPr>
            <w:r>
              <w:rPr>
                <w:rFonts w:ascii="Arial" w:cs="Arial" w:eastAsia="Arial" w:hAnsi="Arial"/>
                <w:sz w:val="16"/>
                <w:szCs w:val="16"/>
                <w:color w:val="auto"/>
              </w:rPr>
              <w:t>As adjusted net tangible book value per share at September 30, 2019, after giving effect to this</w:t>
            </w: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85"/>
        </w:trPr>
        <w:tc>
          <w:tcPr>
            <w:tcW w:w="4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offering</w:t>
            </w:r>
          </w:p>
        </w:tc>
        <w:tc>
          <w:tcPr>
            <w:tcW w:w="27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61"/>
        </w:trPr>
        <w:tc>
          <w:tcPr>
            <w:tcW w:w="4300" w:type="dxa"/>
            <w:vAlign w:val="bottom"/>
            <w:tcBorders>
              <w:bottom w:val="single" w:sz="8" w:color="CCEEFF"/>
            </w:tcBorders>
          </w:tcPr>
          <w:p>
            <w:pPr>
              <w:spacing w:after="0"/>
              <w:rPr>
                <w:sz w:val="14"/>
                <w:szCs w:val="14"/>
                <w:color w:val="auto"/>
              </w:rPr>
            </w:pPr>
          </w:p>
        </w:tc>
        <w:tc>
          <w:tcPr>
            <w:tcW w:w="278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62"/>
        </w:trPr>
        <w:tc>
          <w:tcPr>
            <w:tcW w:w="4300" w:type="dxa"/>
            <w:vAlign w:val="bottom"/>
            <w:tcBorders>
              <w:bottom w:val="single" w:sz="8" w:color="CCEEFF"/>
            </w:tcBorders>
            <w:shd w:val="clear" w:color="auto" w:fill="CCEEFF"/>
          </w:tcPr>
          <w:p>
            <w:pPr>
              <w:ind w:left="120"/>
              <w:spacing w:after="0" w:line="155" w:lineRule="exact"/>
              <w:rPr>
                <w:sz w:val="20"/>
                <w:szCs w:val="20"/>
                <w:color w:val="auto"/>
              </w:rPr>
            </w:pPr>
            <w:r>
              <w:rPr>
                <w:rFonts w:ascii="Arial" w:cs="Arial" w:eastAsia="Arial" w:hAnsi="Arial"/>
                <w:sz w:val="16"/>
                <w:szCs w:val="16"/>
                <w:color w:val="auto"/>
              </w:rPr>
              <w:t>Dilution per share to new investors in this offering</w:t>
            </w:r>
          </w:p>
        </w:tc>
        <w:tc>
          <w:tcPr>
            <w:tcW w:w="27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759"/>
              <w:spacing w:after="0" w:line="155" w:lineRule="exact"/>
              <w:rPr>
                <w:sz w:val="20"/>
                <w:szCs w:val="20"/>
                <w:color w:val="auto"/>
              </w:rPr>
            </w:pPr>
            <w:r>
              <w:rPr>
                <w:rFonts w:ascii="Arial" w:cs="Arial" w:eastAsia="Arial" w:hAnsi="Arial"/>
                <w:sz w:val="16"/>
                <w:szCs w:val="16"/>
                <w:color w:val="auto"/>
              </w:rPr>
              <w:t>$</w:t>
            </w:r>
          </w:p>
        </w:tc>
      </w:tr>
      <w:tr>
        <w:trPr>
          <w:trHeight w:val="378"/>
        </w:trPr>
        <w:tc>
          <w:tcPr>
            <w:tcW w:w="4300" w:type="dxa"/>
            <w:vAlign w:val="bottom"/>
          </w:tcPr>
          <w:p>
            <w:pPr>
              <w:spacing w:after="0"/>
              <w:rPr>
                <w:sz w:val="20"/>
                <w:szCs w:val="20"/>
                <w:color w:val="auto"/>
              </w:rPr>
            </w:pPr>
            <w:r>
              <w:rPr>
                <w:rFonts w:ascii="Arial" w:cs="Arial" w:eastAsia="Arial" w:hAnsi="Arial"/>
                <w:sz w:val="18"/>
                <w:szCs w:val="18"/>
                <w:color w:val="auto"/>
                <w:w w:val="93"/>
              </w:rPr>
              <w:t>If the underwriters exercise in full their option to purchase</w:t>
            </w:r>
          </w:p>
        </w:tc>
        <w:tc>
          <w:tcPr>
            <w:tcW w:w="5100" w:type="dxa"/>
            <w:vAlign w:val="bottom"/>
            <w:gridSpan w:val="5"/>
          </w:tcPr>
          <w:p>
            <w:pPr>
              <w:jc w:val="right"/>
              <w:ind w:right="279"/>
              <w:spacing w:after="0"/>
              <w:rPr>
                <w:sz w:val="20"/>
                <w:szCs w:val="20"/>
                <w:color w:val="auto"/>
              </w:rPr>
            </w:pPr>
            <w:r>
              <w:rPr>
                <w:rFonts w:ascii="Arial" w:cs="Arial" w:eastAsia="Arial" w:hAnsi="Arial"/>
                <w:sz w:val="18"/>
                <w:szCs w:val="18"/>
                <w:color w:val="auto"/>
                <w:w w:val="92"/>
              </w:rPr>
              <w:t>additional shares of common stock at the public offering price of</w:t>
            </w:r>
          </w:p>
        </w:tc>
      </w:tr>
    </w:tbl>
    <w:p>
      <w:pPr>
        <w:ind w:right="180"/>
        <w:spacing w:after="0" w:line="217" w:lineRule="auto"/>
        <w:rPr>
          <w:sz w:val="20"/>
          <w:szCs w:val="20"/>
          <w:color w:val="auto"/>
        </w:rPr>
      </w:pPr>
      <w:r>
        <w:rPr>
          <w:rFonts w:ascii="Arial" w:cs="Arial" w:eastAsia="Arial" w:hAnsi="Arial"/>
          <w:sz w:val="18"/>
          <w:szCs w:val="18"/>
          <w:color w:val="auto"/>
        </w:rPr>
        <w:t>$ per share, the as adjusted net tangible book value after this offering would be $ per share, representing an increase in net tangible book value of per share to existing stockholders and immediate dilution in net tangible book value of $ per share to investors in this offering at the public offering price.</w:t>
      </w:r>
    </w:p>
    <w:p>
      <w:pPr>
        <w:spacing w:after="0" w:line="162"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The foregoing table and calculations are based on 34,496,846 shares of our common stock outstanding as of September 30, 2019, and excludes:</w:t>
      </w:r>
    </w:p>
    <w:p>
      <w:pPr>
        <w:spacing w:after="0" w:line="53" w:lineRule="exact"/>
        <w:rPr>
          <w:sz w:val="20"/>
          <w:szCs w:val="20"/>
          <w:color w:val="auto"/>
        </w:rPr>
      </w:pPr>
    </w:p>
    <w:p>
      <w:pPr>
        <w:ind w:left="960" w:right="120"/>
        <w:spacing w:after="0" w:line="211" w:lineRule="auto"/>
        <w:rPr>
          <w:sz w:val="20"/>
          <w:szCs w:val="20"/>
          <w:color w:val="auto"/>
        </w:rPr>
      </w:pPr>
      <w:r>
        <w:rPr>
          <w:rFonts w:ascii="Arial" w:cs="Arial" w:eastAsia="Arial" w:hAnsi="Arial"/>
          <w:sz w:val="18"/>
          <w:szCs w:val="18"/>
          <w:color w:val="auto"/>
        </w:rPr>
        <w:t>3,184,842 shares of common stock issuable upon exercise of stock options outstanding as of September 30, 2019, at a weighted average exercise price of $9.01 per share;</w:t>
      </w:r>
    </w:p>
    <w:p>
      <w:pPr>
        <w:spacing w:after="0" w:line="2" w:lineRule="exact"/>
        <w:rPr>
          <w:sz w:val="20"/>
          <w:szCs w:val="20"/>
          <w:color w:val="auto"/>
        </w:rPr>
      </w:pPr>
    </w:p>
    <w:p>
      <w:pPr>
        <w:ind w:left="960" w:right="160"/>
        <w:spacing w:after="0" w:line="214" w:lineRule="auto"/>
        <w:rPr>
          <w:sz w:val="20"/>
          <w:szCs w:val="20"/>
          <w:color w:val="auto"/>
        </w:rPr>
      </w:pPr>
      <w:r>
        <w:rPr>
          <w:rFonts w:ascii="Arial" w:cs="Arial" w:eastAsia="Arial" w:hAnsi="Arial"/>
          <w:sz w:val="17"/>
          <w:szCs w:val="17"/>
          <w:color w:val="auto"/>
        </w:rPr>
        <w:t>110,603 shares of common stock issuable upon the exercise of outstanding warrants as of September 30, 2019, consisting of 11,780 warrants with an exercise price of $5.94 per share, 32,614 warrants with an exercise price of $7.41 per share, 7,875 warrants with an exercise price of $3.06, 58,334 warrants with an exercise price of $8.10 per share, and 11,500 warrants with an exercise price of $25.71, which are not yet outstanding, but which will become outstanding if and when the additional $4.0 million tranche available to us under our term loan with Silicon Valley Bank and WestRiver Innovation Lending Fund VIII, L.P. is funded; and</w:t>
      </w:r>
    </w:p>
    <w:p>
      <w:pPr>
        <w:spacing w:after="0" w:line="3" w:lineRule="exact"/>
        <w:rPr>
          <w:sz w:val="20"/>
          <w:szCs w:val="20"/>
          <w:color w:val="auto"/>
        </w:rPr>
      </w:pPr>
    </w:p>
    <w:p>
      <w:pPr>
        <w:ind w:left="960" w:right="120"/>
        <w:spacing w:after="0" w:line="225" w:lineRule="auto"/>
        <w:rPr>
          <w:sz w:val="20"/>
          <w:szCs w:val="20"/>
          <w:color w:val="auto"/>
        </w:rPr>
      </w:pPr>
      <w:r>
        <w:rPr>
          <w:rFonts w:ascii="Arial" w:cs="Arial" w:eastAsia="Arial" w:hAnsi="Arial"/>
          <w:sz w:val="18"/>
          <w:szCs w:val="18"/>
          <w:color w:val="auto"/>
        </w:rPr>
        <w:t>3,668,590 shares of common stock available for future grant under our 2015 Omnibus Incentive Compensation Plan as of September 30, 2019.</w:t>
      </w:r>
    </w:p>
    <w:p>
      <w:pPr>
        <w:spacing w:after="0" w:line="120" w:lineRule="exact"/>
        <w:rPr>
          <w:sz w:val="20"/>
          <w:szCs w:val="20"/>
          <w:color w:val="auto"/>
        </w:rPr>
      </w:pPr>
    </w:p>
    <w:p>
      <w:pPr>
        <w:ind w:right="20"/>
        <w:spacing w:after="0" w:line="215" w:lineRule="auto"/>
        <w:rPr>
          <w:sz w:val="20"/>
          <w:szCs w:val="20"/>
          <w:color w:val="auto"/>
        </w:rPr>
      </w:pPr>
      <w:r>
        <w:rPr>
          <w:rFonts w:ascii="Arial" w:cs="Arial" w:eastAsia="Arial" w:hAnsi="Arial"/>
          <w:sz w:val="18"/>
          <w:szCs w:val="18"/>
          <w:color w:val="auto"/>
        </w:rPr>
        <w:t>The above table does not assume or give effect to the exercise of the underwriter’s option to purchase additional shares in this offering. Furthermore, to the extent outstanding options or warrants are exercised, you will experience further dilution. In addition, we may choose to raise additional capital due to market conditions or strategic considerations even if we believe we have sufficient funds for our current or future operating plans. If we raise additional capital through the sale of equity or convertible debt securities, you will experience further dilution.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400"/>
          </w:cols>
          <w:pgMar w:left="1260" w:top="114" w:right="123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87" w:lineRule="exact"/>
        <w:rPr>
          <w:sz w:val="20"/>
          <w:szCs w:val="20"/>
          <w:color w:val="auto"/>
        </w:rPr>
      </w:pPr>
    </w:p>
    <w:p>
      <w:pPr>
        <w:ind w:right="180"/>
        <w:spacing w:after="0" w:line="218" w:lineRule="auto"/>
        <w:rPr>
          <w:sz w:val="20"/>
          <w:szCs w:val="20"/>
          <w:color w:val="auto"/>
        </w:rPr>
      </w:pPr>
      <w:r>
        <w:rPr>
          <w:rFonts w:ascii="Arial" w:cs="Arial" w:eastAsia="Arial" w:hAnsi="Arial"/>
          <w:sz w:val="18"/>
          <w:szCs w:val="18"/>
          <w:color w:val="auto"/>
        </w:rPr>
        <w:t>SVB Leerink LLC is acting as representative of each of the underwriters named below and as sole bookrunning manager for this offering. Subject to the terms and conditions set forth in the underwriting agreement among us and the underwriters, we have agreed to sell to the underwriters, and each of the underwriters has agreed, severally and not jointly, to purchase from us, the number of shares of common stock set forth opposite its name below.</w:t>
      </w:r>
    </w:p>
    <w:p>
      <w:pPr>
        <w:spacing w:after="0" w:line="171"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3560" w:type="dxa"/>
            <w:vAlign w:val="bottom"/>
            <w:vMerge w:val="restart"/>
          </w:tcPr>
          <w:p>
            <w:pPr>
              <w:spacing w:after="0"/>
              <w:rPr>
                <w:sz w:val="20"/>
                <w:szCs w:val="20"/>
                <w:color w:val="auto"/>
              </w:rPr>
            </w:pPr>
            <w:r>
              <w:rPr>
                <w:rFonts w:ascii="Arial" w:cs="Arial" w:eastAsia="Arial" w:hAnsi="Arial"/>
                <w:sz w:val="18"/>
                <w:szCs w:val="18"/>
                <w:b w:val="1"/>
                <w:bCs w:val="1"/>
                <w:color w:val="auto"/>
              </w:rPr>
              <w:t>Underwriter</w:t>
            </w:r>
          </w:p>
        </w:tc>
        <w:tc>
          <w:tcPr>
            <w:tcW w:w="3420" w:type="dxa"/>
            <w:vAlign w:val="bottom"/>
          </w:tcPr>
          <w:p>
            <w:pPr>
              <w:jc w:val="center"/>
              <w:ind w:left="2510"/>
              <w:spacing w:after="0"/>
              <w:rPr>
                <w:sz w:val="20"/>
                <w:szCs w:val="20"/>
                <w:color w:val="auto"/>
              </w:rPr>
            </w:pPr>
            <w:r>
              <w:rPr>
                <w:rFonts w:ascii="Arial" w:cs="Arial" w:eastAsia="Arial" w:hAnsi="Arial"/>
                <w:sz w:val="18"/>
                <w:szCs w:val="18"/>
                <w:b w:val="1"/>
                <w:bCs w:val="1"/>
                <w:color w:val="auto"/>
                <w:w w:val="91"/>
              </w:rPr>
              <w:t>Number of</w:t>
            </w:r>
          </w:p>
        </w:tc>
        <w:tc>
          <w:tcPr>
            <w:tcW w:w="0" w:type="dxa"/>
            <w:vAlign w:val="bottom"/>
          </w:tcPr>
          <w:p>
            <w:pPr>
              <w:spacing w:after="0"/>
              <w:rPr>
                <w:sz w:val="1"/>
                <w:szCs w:val="1"/>
                <w:color w:val="auto"/>
              </w:rPr>
            </w:pPr>
          </w:p>
        </w:tc>
      </w:tr>
      <w:tr>
        <w:trPr>
          <w:trHeight w:val="203"/>
        </w:trPr>
        <w:tc>
          <w:tcPr>
            <w:tcW w:w="3560" w:type="dxa"/>
            <w:vAlign w:val="bottom"/>
            <w:vMerge w:val="continue"/>
          </w:tcPr>
          <w:p>
            <w:pPr>
              <w:spacing w:after="0"/>
              <w:rPr>
                <w:sz w:val="17"/>
                <w:szCs w:val="17"/>
                <w:color w:val="auto"/>
              </w:rPr>
            </w:pPr>
          </w:p>
        </w:tc>
        <w:tc>
          <w:tcPr>
            <w:tcW w:w="3420" w:type="dxa"/>
            <w:vAlign w:val="bottom"/>
          </w:tcPr>
          <w:p>
            <w:pPr>
              <w:jc w:val="center"/>
              <w:ind w:left="2510"/>
              <w:spacing w:after="0" w:line="203" w:lineRule="exact"/>
              <w:rPr>
                <w:sz w:val="20"/>
                <w:szCs w:val="20"/>
                <w:color w:val="auto"/>
              </w:rPr>
            </w:pPr>
            <w:r>
              <w:rPr>
                <w:rFonts w:ascii="Arial" w:cs="Arial" w:eastAsia="Arial" w:hAnsi="Arial"/>
                <w:sz w:val="18"/>
                <w:szCs w:val="18"/>
                <w:b w:val="1"/>
                <w:bCs w:val="1"/>
                <w:color w:val="auto"/>
                <w:w w:val="83"/>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4478655</wp:posOffset>
            </wp:positionH>
            <wp:positionV relativeFrom="paragraph">
              <wp:posOffset>-635</wp:posOffset>
            </wp:positionV>
            <wp:extent cx="7937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93750" cy="8255"/>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-635</wp:posOffset>
            </wp:positionV>
            <wp:extent cx="13315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1100"/>
        <w:spacing w:after="0" w:line="202" w:lineRule="auto"/>
        <w:rPr>
          <w:sz w:val="20"/>
          <w:szCs w:val="20"/>
          <w:color w:val="auto"/>
        </w:rPr>
      </w:pPr>
      <w:r>
        <w:rPr>
          <w:rFonts w:ascii="Arial" w:cs="Arial" w:eastAsia="Arial" w:hAnsi="Arial"/>
          <w:sz w:val="18"/>
          <w:szCs w:val="18"/>
          <w:color w:val="auto"/>
        </w:rPr>
        <w:t>SVB Leerink LLC</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4478655</wp:posOffset>
            </wp:positionH>
            <wp:positionV relativeFrom="paragraph">
              <wp:posOffset>-12065</wp:posOffset>
            </wp:positionV>
            <wp:extent cx="7937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93750" cy="17145"/>
                    </a:xfrm>
                    <a:prstGeom prst="rect">
                      <a:avLst/>
                    </a:prstGeom>
                    <a:noFill/>
                  </pic:spPr>
                </pic:pic>
              </a:graphicData>
            </a:graphic>
          </wp:anchor>
        </w:drawing>
      </w:r>
    </w:p>
    <w:p>
      <w:pPr>
        <w:spacing w:after="0" w:line="133" w:lineRule="exact"/>
        <w:rPr>
          <w:sz w:val="20"/>
          <w:szCs w:val="20"/>
          <w:color w:val="auto"/>
        </w:rPr>
      </w:pPr>
    </w:p>
    <w:p>
      <w:pPr>
        <w:spacing w:after="0" w:line="218" w:lineRule="auto"/>
        <w:rPr>
          <w:sz w:val="20"/>
          <w:szCs w:val="20"/>
          <w:color w:val="auto"/>
        </w:rPr>
      </w:pPr>
      <w:r>
        <w:rPr>
          <w:rFonts w:ascii="Arial" w:cs="Arial" w:eastAsia="Arial" w:hAnsi="Arial"/>
          <w:sz w:val="18"/>
          <w:szCs w:val="18"/>
          <w:color w:val="auto"/>
        </w:rPr>
        <w:t>Subject to the terms and conditions set forth in the underwriting agreement, the underwriters have agreed, severally and not jointly, to purchase all of the shares sold under the underwriting agreement if any of the shares are purchased. If an underwriter defaults, the underwriting agreement provides that the purchase commitments of the non-defaulting underwriters may be increased or the underwriting agreement may be terminated.</w:t>
      </w:r>
    </w:p>
    <w:p>
      <w:pPr>
        <w:spacing w:after="0" w:line="162" w:lineRule="exact"/>
        <w:rPr>
          <w:sz w:val="20"/>
          <w:szCs w:val="20"/>
          <w:color w:val="auto"/>
        </w:rPr>
      </w:pPr>
    </w:p>
    <w:p>
      <w:pPr>
        <w:ind w:right="600"/>
        <w:spacing w:after="0" w:line="256" w:lineRule="auto"/>
        <w:rPr>
          <w:sz w:val="20"/>
          <w:szCs w:val="20"/>
          <w:color w:val="auto"/>
        </w:rPr>
      </w:pPr>
      <w:r>
        <w:rPr>
          <w:rFonts w:ascii="Arial" w:cs="Arial" w:eastAsia="Arial" w:hAnsi="Arial"/>
          <w:sz w:val="17"/>
          <w:szCs w:val="17"/>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48" w:lineRule="exact"/>
        <w:rPr>
          <w:sz w:val="20"/>
          <w:szCs w:val="20"/>
          <w:color w:val="auto"/>
        </w:rPr>
      </w:pPr>
    </w:p>
    <w:p>
      <w:pPr>
        <w:jc w:val="both"/>
        <w:ind w:right="60"/>
        <w:spacing w:after="0" w:line="231" w:lineRule="auto"/>
        <w:rPr>
          <w:sz w:val="20"/>
          <w:szCs w:val="20"/>
          <w:color w:val="auto"/>
        </w:rPr>
      </w:pPr>
      <w:r>
        <w:rPr>
          <w:rFonts w:ascii="Arial" w:cs="Arial" w:eastAsia="Arial" w:hAnsi="Arial"/>
          <w:sz w:val="17"/>
          <w:szCs w:val="17"/>
          <w:color w:val="auto"/>
        </w:rPr>
        <w:t>The underwriters are offering the shares, subject to prior sale, when, as and if issued to and accepted by them, subject to approval of legal matters by their counsel, including the validity of the shares, and subject to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Discounts and Commissions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representative has advised us that the underwriters propose initially to offer the shares to the public at the public offering price</w:t>
      </w:r>
    </w:p>
    <w:p>
      <w:pPr>
        <w:spacing w:after="0" w:line="7" w:lineRule="exact"/>
        <w:rPr>
          <w:sz w:val="20"/>
          <w:szCs w:val="20"/>
          <w:color w:val="auto"/>
        </w:rPr>
      </w:pPr>
    </w:p>
    <w:p>
      <w:pPr>
        <w:ind w:right="80"/>
        <w:spacing w:after="0" w:line="217" w:lineRule="auto"/>
        <w:rPr>
          <w:sz w:val="20"/>
          <w:szCs w:val="20"/>
          <w:color w:val="auto"/>
        </w:rPr>
      </w:pPr>
      <w:r>
        <w:rPr>
          <w:rFonts w:ascii="Arial" w:cs="Arial" w:eastAsia="Arial" w:hAnsi="Arial"/>
          <w:sz w:val="18"/>
          <w:szCs w:val="18"/>
          <w:color w:val="auto"/>
        </w:rPr>
        <w:t>set forth on the cover page of this prospectus supplement and to dealers at that price less a concession not in excess of $ per share. After the offering of the shares, the public offering price, concession or any other term of this offering may be changed by the representative.</w:t>
      </w:r>
    </w:p>
    <w:p>
      <w:pPr>
        <w:spacing w:after="0" w:line="162"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The following table shows the public offering price, underwriting discounts and commissions and proceeds, before expenses, to us. The information assumes either no exercise or full exercise by the underwriters of their option to purchase additional shares of our common stock.</w:t>
      </w:r>
    </w:p>
    <w:p>
      <w:pPr>
        <w:spacing w:after="0" w:line="22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Per</w:t>
            </w:r>
          </w:p>
        </w:tc>
        <w:tc>
          <w:tcPr>
            <w:tcW w:w="7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3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Without</w:t>
            </w:r>
          </w:p>
        </w:tc>
        <w:tc>
          <w:tcPr>
            <w:tcW w:w="740" w:type="dxa"/>
            <w:vAlign w:val="bottom"/>
          </w:tcPr>
          <w:p>
            <w:pPr>
              <w:spacing w:after="0"/>
              <w:rPr>
                <w:sz w:val="10"/>
                <w:szCs w:val="10"/>
                <w:color w:val="auto"/>
              </w:rPr>
            </w:pPr>
          </w:p>
        </w:tc>
        <w:tc>
          <w:tcPr>
            <w:tcW w:w="66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With</w:t>
            </w:r>
          </w:p>
        </w:tc>
        <w:tc>
          <w:tcPr>
            <w:tcW w:w="0" w:type="dxa"/>
            <w:vAlign w:val="bottom"/>
          </w:tcPr>
          <w:p>
            <w:pPr>
              <w:spacing w:after="0"/>
              <w:rPr>
                <w:sz w:val="1"/>
                <w:szCs w:val="1"/>
                <w:color w:val="auto"/>
              </w:rPr>
            </w:pPr>
          </w:p>
        </w:tc>
      </w:tr>
      <w:tr>
        <w:trPr>
          <w:trHeight w:val="171"/>
        </w:trPr>
        <w:tc>
          <w:tcPr>
            <w:tcW w:w="392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Share</w:t>
            </w:r>
          </w:p>
        </w:tc>
        <w:tc>
          <w:tcPr>
            <w:tcW w:w="7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Option</w:t>
            </w:r>
          </w:p>
        </w:tc>
        <w:tc>
          <w:tcPr>
            <w:tcW w:w="74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Option</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380" w:type="dxa"/>
            <w:vAlign w:val="bottom"/>
            <w:gridSpan w:val="2"/>
            <w:vMerge w:val="restart"/>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shd w:val="clear" w:color="auto" w:fill="CCEEFF"/>
          </w:tcPr>
          <w:p>
            <w:pPr>
              <w:jc w:val="right"/>
              <w:ind w:right="411"/>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67"/>
        </w:trPr>
        <w:tc>
          <w:tcPr>
            <w:tcW w:w="3920" w:type="dxa"/>
            <w:vAlign w:val="bottom"/>
            <w:shd w:val="clear" w:color="auto" w:fill="CCEEFF"/>
          </w:tcPr>
          <w:p>
            <w:pPr>
              <w:spacing w:after="0"/>
              <w:rPr>
                <w:sz w:val="5"/>
                <w:szCs w:val="5"/>
                <w:color w:val="auto"/>
              </w:rPr>
            </w:pPr>
          </w:p>
        </w:tc>
        <w:tc>
          <w:tcPr>
            <w:tcW w:w="1380" w:type="dxa"/>
            <w:vAlign w:val="bottom"/>
            <w:gridSpan w:val="2"/>
            <w:vMerge w:val="continue"/>
            <w:shd w:val="clear" w:color="auto" w:fill="CCEEFF"/>
          </w:tcPr>
          <w:p>
            <w:pPr>
              <w:spacing w:after="0"/>
              <w:rPr>
                <w:sz w:val="5"/>
                <w:szCs w:val="5"/>
                <w:color w:val="auto"/>
              </w:rPr>
            </w:pPr>
          </w:p>
        </w:tc>
        <w:tc>
          <w:tcPr>
            <w:tcW w:w="1300" w:type="dxa"/>
            <w:vAlign w:val="bottom"/>
            <w:gridSpan w:val="2"/>
            <w:vMerge w:val="continue"/>
            <w:shd w:val="clear" w:color="auto" w:fill="CCEEFF"/>
          </w:tcPr>
          <w:p>
            <w:pPr>
              <w:spacing w:after="0"/>
              <w:rPr>
                <w:sz w:val="5"/>
                <w:szCs w:val="5"/>
                <w:color w:val="auto"/>
              </w:rPr>
            </w:pPr>
          </w:p>
        </w:tc>
        <w:tc>
          <w:tcPr>
            <w:tcW w:w="126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392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1380" w:type="dxa"/>
            <w:vAlign w:val="bottom"/>
            <w:gridSpan w:val="2"/>
            <w:vMerge w:val="restart"/>
          </w:tcPr>
          <w:p>
            <w:pPr>
              <w:jc w:val="right"/>
              <w:ind w:right="268"/>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tcPr>
          <w:p>
            <w:pPr>
              <w:jc w:val="right"/>
              <w:ind w:right="411"/>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tcPr>
          <w:p>
            <w:pPr>
              <w:jc w:val="right"/>
              <w:ind w:right="35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392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380" w:type="dxa"/>
            <w:vAlign w:val="bottom"/>
            <w:gridSpan w:val="2"/>
            <w:vMerge w:val="restart"/>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shd w:val="clear" w:color="auto" w:fill="CCEEFF"/>
          </w:tcPr>
          <w:p>
            <w:pPr>
              <w:jc w:val="right"/>
              <w:ind w:right="411"/>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3920" w:type="dxa"/>
            <w:vAlign w:val="bottom"/>
            <w:shd w:val="clear" w:color="auto" w:fill="CCEEFF"/>
          </w:tcPr>
          <w:p>
            <w:pPr>
              <w:spacing w:after="0"/>
              <w:rPr>
                <w:sz w:val="5"/>
                <w:szCs w:val="5"/>
                <w:color w:val="auto"/>
              </w:rPr>
            </w:pPr>
          </w:p>
        </w:tc>
        <w:tc>
          <w:tcPr>
            <w:tcW w:w="1380" w:type="dxa"/>
            <w:vAlign w:val="bottom"/>
            <w:gridSpan w:val="2"/>
            <w:vMerge w:val="continue"/>
            <w:shd w:val="clear" w:color="auto" w:fill="CCEEFF"/>
          </w:tcPr>
          <w:p>
            <w:pPr>
              <w:spacing w:after="0"/>
              <w:rPr>
                <w:sz w:val="5"/>
                <w:szCs w:val="5"/>
                <w:color w:val="auto"/>
              </w:rPr>
            </w:pPr>
          </w:p>
        </w:tc>
        <w:tc>
          <w:tcPr>
            <w:tcW w:w="1300" w:type="dxa"/>
            <w:vAlign w:val="bottom"/>
            <w:gridSpan w:val="2"/>
            <w:vMerge w:val="continue"/>
            <w:shd w:val="clear" w:color="auto" w:fill="CCEEFF"/>
          </w:tcPr>
          <w:p>
            <w:pPr>
              <w:spacing w:after="0"/>
              <w:rPr>
                <w:sz w:val="5"/>
                <w:szCs w:val="5"/>
                <w:color w:val="auto"/>
              </w:rPr>
            </w:pPr>
          </w:p>
        </w:tc>
        <w:tc>
          <w:tcPr>
            <w:tcW w:w="126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We estimate expenses payable by us in connection with this offering, other than the underwriting discounts and commissions</w:t>
      </w:r>
    </w:p>
    <w:p>
      <w:pPr>
        <w:spacing w:after="0" w:line="7" w:lineRule="exact"/>
        <w:rPr>
          <w:sz w:val="20"/>
          <w:szCs w:val="20"/>
          <w:color w:val="auto"/>
        </w:rPr>
      </w:pPr>
    </w:p>
    <w:p>
      <w:pPr>
        <w:ind w:right="240"/>
        <w:spacing w:after="0" w:line="217" w:lineRule="auto"/>
        <w:rPr>
          <w:sz w:val="20"/>
          <w:szCs w:val="20"/>
          <w:color w:val="auto"/>
        </w:rPr>
      </w:pPr>
      <w:r>
        <w:rPr>
          <w:rFonts w:ascii="Arial" w:cs="Arial" w:eastAsia="Arial" w:hAnsi="Arial"/>
          <w:sz w:val="18"/>
          <w:szCs w:val="18"/>
          <w:color w:val="auto"/>
        </w:rPr>
        <w:t>referred to above, will be approximately $ . We also have agreed to reimburse the underwriters for up to $15,000 for their FINRA counsel fee. In accordance with FINRA Rule 5110, this reimbursed fee is deemed underwriting compensation for this offering.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We have granted an option to the underwriters, exercisable for 30 days after the date of this prospectus supplement, to purchase up</w:t>
      </w:r>
    </w:p>
    <w:p>
      <w:pPr>
        <w:spacing w:after="0" w:line="7" w:lineRule="exact"/>
        <w:rPr>
          <w:sz w:val="20"/>
          <w:szCs w:val="20"/>
          <w:color w:val="auto"/>
        </w:rPr>
      </w:pPr>
    </w:p>
    <w:p>
      <w:pPr>
        <w:jc w:val="both"/>
        <w:ind w:right="200"/>
        <w:spacing w:after="0" w:line="230" w:lineRule="auto"/>
        <w:rPr>
          <w:sz w:val="20"/>
          <w:szCs w:val="20"/>
          <w:color w:val="auto"/>
        </w:rPr>
      </w:pPr>
      <w:r>
        <w:rPr>
          <w:rFonts w:ascii="Arial" w:cs="Arial" w:eastAsia="Arial" w:hAnsi="Arial"/>
          <w:sz w:val="17"/>
          <w:szCs w:val="17"/>
          <w:color w:val="auto"/>
        </w:rPr>
        <w:t>to additional shares at the public offering price, less underwriting discounts and commissions. If the underwriters exercise this option, each underwriter will be obligated, subject to the conditions contained in the underwriting agreement, to purchase a number of additional shares proportionate to that underwriter’s initial amount reflected in the above table.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80"/>
          </w:cols>
          <w:pgMar w:left="1260" w:top="114" w:right="125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187" w:lineRule="exact"/>
        <w:rPr>
          <w:sz w:val="20"/>
          <w:szCs w:val="20"/>
          <w:color w:val="auto"/>
        </w:rPr>
      </w:pPr>
    </w:p>
    <w:p>
      <w:pPr>
        <w:ind w:right="40"/>
        <w:spacing w:after="0" w:line="218" w:lineRule="auto"/>
        <w:rPr>
          <w:sz w:val="20"/>
          <w:szCs w:val="20"/>
          <w:color w:val="auto"/>
        </w:rPr>
      </w:pPr>
      <w:r>
        <w:rPr>
          <w:rFonts w:ascii="Arial" w:cs="Arial" w:eastAsia="Arial" w:hAnsi="Arial"/>
          <w:sz w:val="18"/>
          <w:szCs w:val="18"/>
          <w:color w:val="auto"/>
        </w:rPr>
        <w:t>We and our executive officers and directors have agreed not to sell or transfer any common stock or securities convertible into or exchangeable or exercisable for common stock, for 90 days after the date of this prospectus supplement without first obtaining the written consent of SVB Leerink LLC on behalf of the underwriters. Specifically, we and these other persons have agreed, with certain limited exceptions, not to directly or indirectly:</w:t>
      </w:r>
    </w:p>
    <w:p>
      <w:pPr>
        <w:spacing w:after="0" w:line="162" w:lineRule="exact"/>
        <w:rPr>
          <w:sz w:val="20"/>
          <w:szCs w:val="20"/>
          <w:color w:val="auto"/>
        </w:rPr>
      </w:pPr>
    </w:p>
    <w:p>
      <w:pPr>
        <w:ind w:left="940" w:hanging="31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182" w:lineRule="exact"/>
        <w:rPr>
          <w:rFonts w:ascii="Arial" w:cs="Arial" w:eastAsia="Arial" w:hAnsi="Arial"/>
          <w:sz w:val="18"/>
          <w:szCs w:val="18"/>
          <w:color w:val="auto"/>
        </w:rPr>
      </w:pPr>
    </w:p>
    <w:p>
      <w:pPr>
        <w:ind w:left="940" w:hanging="31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182" w:lineRule="exact"/>
        <w:rPr>
          <w:rFonts w:ascii="Arial" w:cs="Arial" w:eastAsia="Arial" w:hAnsi="Arial"/>
          <w:sz w:val="18"/>
          <w:szCs w:val="18"/>
          <w:color w:val="auto"/>
        </w:rPr>
      </w:pPr>
    </w:p>
    <w:p>
      <w:pPr>
        <w:ind w:left="940" w:hanging="31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182" w:lineRule="exact"/>
        <w:rPr>
          <w:rFonts w:ascii="Arial" w:cs="Arial" w:eastAsia="Arial" w:hAnsi="Arial"/>
          <w:sz w:val="18"/>
          <w:szCs w:val="18"/>
          <w:color w:val="auto"/>
        </w:rPr>
      </w:pPr>
    </w:p>
    <w:p>
      <w:pPr>
        <w:ind w:left="940" w:hanging="31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182" w:lineRule="exact"/>
        <w:rPr>
          <w:rFonts w:ascii="Arial" w:cs="Arial" w:eastAsia="Arial" w:hAnsi="Arial"/>
          <w:sz w:val="18"/>
          <w:szCs w:val="18"/>
          <w:color w:val="auto"/>
        </w:rPr>
      </w:pPr>
    </w:p>
    <w:p>
      <w:pPr>
        <w:ind w:left="940" w:hanging="31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otherwise dispose of or transfer any common stock;</w:t>
      </w:r>
    </w:p>
    <w:p>
      <w:pPr>
        <w:spacing w:after="0" w:line="182" w:lineRule="exact"/>
        <w:rPr>
          <w:rFonts w:ascii="Arial" w:cs="Arial" w:eastAsia="Arial" w:hAnsi="Arial"/>
          <w:sz w:val="18"/>
          <w:szCs w:val="18"/>
          <w:color w:val="auto"/>
        </w:rPr>
      </w:pPr>
    </w:p>
    <w:p>
      <w:pPr>
        <w:ind w:left="940" w:hanging="31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request or demand that we file a registration statement related to the common stock; or</w:t>
      </w:r>
    </w:p>
    <w:p>
      <w:pPr>
        <w:spacing w:after="0" w:line="182" w:lineRule="exact"/>
        <w:rPr>
          <w:rFonts w:ascii="Arial" w:cs="Arial" w:eastAsia="Arial" w:hAnsi="Arial"/>
          <w:sz w:val="18"/>
          <w:szCs w:val="18"/>
          <w:color w:val="auto"/>
        </w:rPr>
      </w:pPr>
    </w:p>
    <w:p>
      <w:pPr>
        <w:ind w:left="940" w:hanging="314"/>
        <w:spacing w:after="0" w:line="223" w:lineRule="auto"/>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enter into any swap or other agreement or any transaction that transfers, in whole or in part, the economic consequence of ownership of any common stock, whether any such swap, agreement or transaction is to be settled by delivery of shares or other securities, in cash or otherwise.</w:t>
      </w:r>
    </w:p>
    <w:p>
      <w:pPr>
        <w:spacing w:after="0" w:line="162"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The lock-up provisions apply to common stock and to securities convertible into or exchangeable or exercisable for common stock. They also apply to common stock owned now or acquired later by the person executing the lock-up agreement or for which the person executing the lock-up agreement later acquires the power of disposition.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 Listing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Market under the symbol “AXSM.”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87"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representative may engage in transactions that stabilize the price of the common stock, such as bids or purchases to peg, fix or maintain that price.</w:t>
      </w:r>
    </w:p>
    <w:p>
      <w:pPr>
        <w:spacing w:after="0" w:line="162"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In connection with this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this offering.</w:t>
      </w:r>
    </w:p>
    <w:p>
      <w:pPr>
        <w:spacing w:after="0" w:line="2" w:lineRule="exact"/>
        <w:rPr>
          <w:sz w:val="20"/>
          <w:szCs w:val="20"/>
          <w:color w:val="auto"/>
        </w:rPr>
      </w:pPr>
    </w:p>
    <w:p>
      <w:pPr>
        <w:ind w:right="120"/>
        <w:spacing w:after="0" w:line="233" w:lineRule="auto"/>
        <w:rPr>
          <w:sz w:val="20"/>
          <w:szCs w:val="20"/>
          <w:color w:val="auto"/>
        </w:rPr>
      </w:pPr>
      <w:r>
        <w:rPr>
          <w:rFonts w:ascii="Arial" w:cs="Arial" w:eastAsia="Arial" w:hAnsi="Arial"/>
          <w:sz w:val="16"/>
          <w:szCs w:val="16"/>
          <w:color w:val="auto"/>
        </w:rPr>
        <w:t>“Covered”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 granted to them under the underwriting agreement described above.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this offering. Stabilizing transactions consist of various bids for or purchases of shares of common stock made by the underwriters in the open market prior to the closing of this offering.</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60"/>
          </w:cols>
          <w:pgMar w:left="1260" w:top="114" w:right="127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4"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 has repurchased shares sold by or for the account of such underwriter in stabilizing or short covering transactions.</w:t>
      </w:r>
    </w:p>
    <w:p>
      <w:pPr>
        <w:spacing w:after="0" w:line="162"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Market, in the over-the-counter market or otherwise.</w:t>
      </w:r>
    </w:p>
    <w:p>
      <w:pPr>
        <w:spacing w:after="0" w:line="157"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 will engage in these transactions or that these transactions, once commenced, will not be discontinued without notice.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187"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In connection with this offering, certain of the underwriters or securities dealers may distribute prospectuses by electronic means, such as e-mail.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87" w:lineRule="exact"/>
        <w:rPr>
          <w:sz w:val="20"/>
          <w:szCs w:val="20"/>
          <w:color w:val="auto"/>
        </w:rPr>
      </w:pPr>
    </w:p>
    <w:p>
      <w:pPr>
        <w:ind w:right="100"/>
        <w:spacing w:after="0" w:line="239" w:lineRule="auto"/>
        <w:rPr>
          <w:sz w:val="20"/>
          <w:szCs w:val="20"/>
          <w:color w:val="auto"/>
        </w:rPr>
      </w:pPr>
      <w:r>
        <w:rPr>
          <w:rFonts w:ascii="Arial" w:cs="Arial" w:eastAsia="Arial" w:hAnsi="Arial"/>
          <w:sz w:val="16"/>
          <w:szCs w:val="16"/>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 For example, Silicon Valley Bank, one of the lenders under our growth capital term loan facility is an affiliate of SVB Leerink LLC.</w:t>
      </w:r>
    </w:p>
    <w:p>
      <w:pPr>
        <w:spacing w:after="0" w:line="164" w:lineRule="exact"/>
        <w:rPr>
          <w:sz w:val="20"/>
          <w:szCs w:val="20"/>
          <w:color w:val="auto"/>
        </w:rPr>
      </w:pPr>
    </w:p>
    <w:p>
      <w:pPr>
        <w:ind w:right="120"/>
        <w:spacing w:after="0" w:line="239"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83" w:lineRule="exact"/>
        <w:rPr>
          <w:sz w:val="20"/>
          <w:szCs w:val="20"/>
          <w:color w:val="auto"/>
        </w:rPr>
      </w:pPr>
    </w:p>
    <w:p>
      <w:pPr>
        <w:jc w:val="both"/>
        <w:ind w:right="460"/>
        <w:spacing w:after="0" w:line="257"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(each, a “Relevant Member State”), with effect from and including the date on which the Prospectus Directive is implemented in that Relevant Member State, no offer of shares may be made to the public in that Relevant Member State other than:</w:t>
      </w:r>
    </w:p>
    <w:p>
      <w:pPr>
        <w:spacing w:after="0" w:line="148" w:lineRule="exact"/>
        <w:rPr>
          <w:sz w:val="20"/>
          <w:szCs w:val="20"/>
          <w:color w:val="auto"/>
        </w:rPr>
      </w:pPr>
    </w:p>
    <w:p>
      <w:pPr>
        <w:ind w:left="1020" w:hanging="380"/>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82" w:lineRule="exact"/>
        <w:rPr>
          <w:rFonts w:ascii="Arial" w:cs="Arial" w:eastAsia="Arial" w:hAnsi="Arial"/>
          <w:sz w:val="18"/>
          <w:szCs w:val="18"/>
          <w:color w:val="auto"/>
        </w:rPr>
      </w:pPr>
    </w:p>
    <w:p>
      <w:pPr>
        <w:ind w:left="960" w:right="140" w:hanging="320"/>
        <w:spacing w:after="0" w:line="287" w:lineRule="auto"/>
        <w:tabs>
          <w:tab w:leader="none" w:pos="1017"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fewer than 150 natural or legal persons (other than qualified investors as defined in the Prospectus Directive), as permitted under the Prospectus Directive, subject to obtaining the prior consent of the representative; or</w:t>
      </w:r>
    </w:p>
    <w:p>
      <w:pPr>
        <w:spacing w:after="0" w:line="124" w:lineRule="exact"/>
        <w:rPr>
          <w:rFonts w:ascii="Arial" w:cs="Arial" w:eastAsia="Arial" w:hAnsi="Arial"/>
          <w:sz w:val="16"/>
          <w:szCs w:val="16"/>
          <w:color w:val="auto"/>
        </w:rPr>
      </w:pPr>
    </w:p>
    <w:p>
      <w:pPr>
        <w:ind w:left="1020" w:hanging="380"/>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400"/>
          </w:cols>
          <w:pgMar w:left="1260" w:top="114" w:right="123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4"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provided that no such offer of shares shall require the Company or the representative to publish a prospectus pursuant to Article 3 of the Prospectus Directive or supplement a prospectus pursuant to Article 16 of the Prospectus Directive.</w:t>
      </w:r>
    </w:p>
    <w:p>
      <w:pPr>
        <w:spacing w:after="0" w:line="148" w:lineRule="exact"/>
        <w:rPr>
          <w:sz w:val="20"/>
          <w:szCs w:val="20"/>
          <w:color w:val="auto"/>
        </w:rPr>
      </w:pPr>
    </w:p>
    <w:p>
      <w:pPr>
        <w:ind w:right="100"/>
        <w:spacing w:after="0" w:line="209" w:lineRule="auto"/>
        <w:rPr>
          <w:sz w:val="20"/>
          <w:szCs w:val="20"/>
          <w:color w:val="auto"/>
        </w:rPr>
      </w:pPr>
      <w:r>
        <w:rPr>
          <w:rFonts w:ascii="Arial" w:cs="Arial" w:eastAsia="Arial" w:hAnsi="Arial"/>
          <w:sz w:val="18"/>
          <w:szCs w:val="18"/>
          <w:color w:val="auto"/>
        </w:rPr>
        <w:t>Each person in a Relevant Member State who initially acquires any shares or to whom any offer is made will be deemed to have represented, acknowledged and agreed that it is a “qualified investor” within the meaning of the law in that Relevant Member State implementing Article 2(1)(e) of the Prospectus Directive. 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representative has been obtained to each such proposed offer or resale.</w:t>
      </w:r>
    </w:p>
    <w:p>
      <w:pPr>
        <w:spacing w:after="0" w:line="166" w:lineRule="exact"/>
        <w:rPr>
          <w:sz w:val="20"/>
          <w:szCs w:val="20"/>
          <w:color w:val="auto"/>
        </w:rPr>
      </w:pPr>
    </w:p>
    <w:p>
      <w:pPr>
        <w:ind w:right="340"/>
        <w:spacing w:after="0" w:line="234" w:lineRule="auto"/>
        <w:rPr>
          <w:sz w:val="20"/>
          <w:szCs w:val="20"/>
          <w:color w:val="auto"/>
        </w:rPr>
      </w:pPr>
      <w:r>
        <w:rPr>
          <w:rFonts w:ascii="Arial" w:cs="Arial" w:eastAsia="Arial" w:hAnsi="Arial"/>
          <w:sz w:val="18"/>
          <w:szCs w:val="18"/>
          <w:color w:val="auto"/>
        </w:rPr>
        <w:t>We, the representative and each of our and the representative’s affiliates will rely upon the truth and accuracy of the foregoing representations, acknowledgements and agreements.</w:t>
      </w:r>
    </w:p>
    <w:p>
      <w:pPr>
        <w:spacing w:after="0" w:line="161" w:lineRule="exact"/>
        <w:rPr>
          <w:sz w:val="20"/>
          <w:szCs w:val="20"/>
          <w:color w:val="auto"/>
        </w:rPr>
      </w:pPr>
    </w:p>
    <w:p>
      <w:pPr>
        <w:ind w:right="140"/>
        <w:spacing w:after="0" w:line="238" w:lineRule="auto"/>
        <w:rPr>
          <w:sz w:val="20"/>
          <w:szCs w:val="20"/>
          <w:color w:val="auto"/>
        </w:rPr>
      </w:pPr>
      <w:r>
        <w:rPr>
          <w:rFonts w:ascii="Arial" w:cs="Arial" w:eastAsia="Arial" w:hAnsi="Arial"/>
          <w:sz w:val="16"/>
          <w:szCs w:val="16"/>
          <w:color w:val="auto"/>
        </w:rPr>
        <w:t>This prospectus supplement has been prepared on the basis that any offer of shares in any Relevant Member State will be made pursuant to an exemption under the Prospectus Directive from the requirement to publish a prospectus for offers of shares. Accordingly, any person making or intending to make an offer in that Relevant Member State of shares which are the subject of the offering contemplated in this prospectus supplement may only do so in circumstances in which no obligation arises for the company or any of the underwriters to publish a prospectus pursuant to Article 3 of the Prospectus Directive in relation to such offer. Neither we nor the underwriters have authorized, nor do they authorize, the making of any offer of shares in circumstances in which an obligation arises for the company or the underwriters to publish a prospectus for such offer.</w:t>
      </w:r>
    </w:p>
    <w:p>
      <w:pPr>
        <w:spacing w:after="0" w:line="161" w:lineRule="exact"/>
        <w:rPr>
          <w:sz w:val="20"/>
          <w:szCs w:val="20"/>
          <w:color w:val="auto"/>
        </w:rPr>
      </w:pPr>
    </w:p>
    <w:p>
      <w:pPr>
        <w:ind w:right="40"/>
        <w:spacing w:after="0" w:line="224" w:lineRule="auto"/>
        <w:rPr>
          <w:sz w:val="20"/>
          <w:szCs w:val="20"/>
          <w:color w:val="auto"/>
        </w:rPr>
      </w:pPr>
      <w:r>
        <w:rPr>
          <w:rFonts w:ascii="Arial" w:cs="Arial" w:eastAsia="Arial" w:hAnsi="Arial"/>
          <w:sz w:val="17"/>
          <w:szCs w:val="17"/>
          <w:color w:val="auto"/>
        </w:rPr>
        <w:t>For the purpose of the above provisions, the expression “an offer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the Relevant Member State by any measure implementing the Prospectus Directive in the Relevant Member State and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MiFID II Product Governance</w:t>
      </w:r>
    </w:p>
    <w:p>
      <w:pPr>
        <w:spacing w:after="0" w:line="183" w:lineRule="exact"/>
        <w:rPr>
          <w:sz w:val="20"/>
          <w:szCs w:val="20"/>
          <w:color w:val="auto"/>
        </w:rPr>
      </w:pPr>
    </w:p>
    <w:p>
      <w:pPr>
        <w:ind w:right="40"/>
        <w:spacing w:after="0" w:line="218" w:lineRule="auto"/>
        <w:rPr>
          <w:sz w:val="20"/>
          <w:szCs w:val="20"/>
          <w:color w:val="auto"/>
        </w:rPr>
      </w:pPr>
      <w:r>
        <w:rPr>
          <w:rFonts w:ascii="Arial" w:cs="Arial" w:eastAsia="Arial" w:hAnsi="Arial"/>
          <w:sz w:val="18"/>
          <w:szCs w:val="18"/>
          <w:color w:val="auto"/>
        </w:rPr>
        <w:t>Any person offering, selling or recommending the shares (a “distributor”) should take into consideration the manufacturers’ target market assessment; however, a distributor subject to MiFID II is responsible for undertaking its own target market assessment in respect of the shares (by either adopting or refining the manufacturers’ target market assessment) and determining appropriate distribution channels.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83"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161"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60"/>
          </w:cols>
          <w:pgMar w:left="1260" w:top="114" w:right="127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83" w:lineRule="exact"/>
        <w:rPr>
          <w:sz w:val="20"/>
          <w:szCs w:val="20"/>
          <w:color w:val="auto"/>
        </w:rPr>
      </w:pPr>
    </w:p>
    <w:p>
      <w:pPr>
        <w:ind w:right="100"/>
        <w:spacing w:after="0" w:line="228" w:lineRule="auto"/>
        <w:rPr>
          <w:sz w:val="20"/>
          <w:szCs w:val="20"/>
          <w:color w:val="auto"/>
        </w:rPr>
      </w:pPr>
      <w:r>
        <w:rPr>
          <w:rFonts w:ascii="Arial" w:cs="Arial" w:eastAsia="Arial" w:hAnsi="Arial"/>
          <w:sz w:val="17"/>
          <w:szCs w:val="17"/>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60" w:lineRule="exact"/>
        <w:rPr>
          <w:sz w:val="20"/>
          <w:szCs w:val="20"/>
          <w:color w:val="auto"/>
        </w:rPr>
      </w:pPr>
    </w:p>
    <w:p>
      <w:pPr>
        <w:ind w:right="60"/>
        <w:spacing w:after="0" w:line="228"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280"/>
          </w:cols>
          <w:pgMar w:left="1260" w:top="114" w:right="135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87" w:lineRule="exact"/>
        <w:rPr>
          <w:sz w:val="20"/>
          <w:szCs w:val="20"/>
          <w:color w:val="auto"/>
        </w:rPr>
      </w:pPr>
    </w:p>
    <w:p>
      <w:pPr>
        <w:ind w:right="300"/>
        <w:spacing w:after="0" w:line="223" w:lineRule="auto"/>
        <w:rPr>
          <w:sz w:val="20"/>
          <w:szCs w:val="20"/>
          <w:color w:val="auto"/>
        </w:rPr>
      </w:pPr>
      <w:r>
        <w:rPr>
          <w:rFonts w:ascii="Arial" w:cs="Arial" w:eastAsia="Arial" w:hAnsi="Arial"/>
          <w:sz w:val="18"/>
          <w:szCs w:val="18"/>
          <w:color w:val="auto"/>
        </w:rPr>
        <w:t>The validity of the common stock being offered by this prospectus supplement has been passed upon for us by DLA Piper LLP (US), Short Hills, New Jersey. Covington &amp; Burling LLP, New York, New York, is acting as counsel to the underwriters in connection with this offering.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87" w:lineRule="exact"/>
        <w:rPr>
          <w:sz w:val="20"/>
          <w:szCs w:val="20"/>
          <w:color w:val="auto"/>
        </w:rPr>
      </w:pPr>
    </w:p>
    <w:p>
      <w:pPr>
        <w:ind w:right="140"/>
        <w:spacing w:after="0" w:line="239" w:lineRule="auto"/>
        <w:rPr>
          <w:rFonts w:ascii="Arial" w:cs="Arial" w:eastAsia="Arial" w:hAnsi="Arial"/>
          <w:sz w:val="16"/>
          <w:szCs w:val="16"/>
          <w:color w:val="auto"/>
        </w:rPr>
      </w:pPr>
      <w:r>
        <w:rPr>
          <w:rFonts w:ascii="Arial" w:cs="Arial" w:eastAsia="Arial" w:hAnsi="Arial"/>
          <w:sz w:val="16"/>
          <w:szCs w:val="16"/>
          <w:color w:val="auto"/>
        </w:rPr>
        <w:t xml:space="preserve">Ernst &amp; Young LLP, independent registered public accounting firm, has audited our consolidated financial statements included in our </w:t>
      </w:r>
      <w:hyperlink r:id="rId35">
        <w:r>
          <w:rPr>
            <w:rFonts w:ascii="Arial" w:cs="Arial" w:eastAsia="Arial" w:hAnsi="Arial"/>
            <w:sz w:val="16"/>
            <w:szCs w:val="16"/>
            <w:u w:val="single" w:color="auto"/>
            <w:color w:val="0000EE"/>
          </w:rPr>
          <w:t>Annual Report on Form 10-K for the year ended December 31, 2018</w:t>
        </w:r>
      </w:hyperlink>
      <w:r>
        <w:rPr>
          <w:rFonts w:ascii="Arial" w:cs="Arial" w:eastAsia="Arial" w:hAnsi="Arial"/>
          <w:sz w:val="16"/>
          <w:szCs w:val="16"/>
          <w:color w:val="auto"/>
        </w:rPr>
        <w:t>, as set forth in their report, which is incorporated by reference in this prospectus supplement and elsewhere in the registration statement of which this prospectus forms a part. Our financial statements are, and audited financial statements to be included in subsequently filed documents will be, incorporated by reference in reliance on Ernst &amp; Young LLP's reports pertaining to such financial statements (to the extent covered by consents filed with the Securities and Exchange Commission), given on the authority as experts in accounting and auditing.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87"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This prospectus supplement and the accompanying prospectus form part of the automatic “shelf” registration statement on Form S-3ASR (File No. 333-235372) that we filed with the SEC as a “well-known seasoned issuer” as defined in Rule 405 under the Securities Act. This prospectus supplement and the accompanying prospectus does not contain all of the information set forth in the registration statement and the exhibits to the registration statement or the documents incorporated by reference herein and therein. For further information with respect to us and the securities that we are offering under this prospectus, we refer you to the registration statement and the exhibits and schedules filed as a part of the registration statement and the documents incorporated by reference herein and therein. You should rely only on the information contained in this prospectus supplement or the accompanying prospectus or incorporated by reference herein. We have not authorized anyone else to provide you with different information. We are not making an offer of these securities in any state where the offer is not permitted. You should not assume that the information in this prospectus supplement is accurate as of any date other than the date on the front page of this prospectus supplement, regardless of the time of delivery of this prospectus supplement or any sale of the securities offered hereby.</w:t>
      </w:r>
    </w:p>
    <w:p>
      <w:pPr>
        <w:spacing w:after="0" w:line="164" w:lineRule="exact"/>
        <w:rPr>
          <w:sz w:val="20"/>
          <w:szCs w:val="20"/>
          <w:color w:val="auto"/>
        </w:rPr>
      </w:pPr>
    </w:p>
    <w:p>
      <w:pPr>
        <w:ind w:right="20"/>
        <w:spacing w:after="0" w:line="225" w:lineRule="auto"/>
        <w:rPr>
          <w:sz w:val="20"/>
          <w:szCs w:val="20"/>
          <w:color w:val="auto"/>
        </w:rPr>
      </w:pPr>
      <w:r>
        <w:rPr>
          <w:rFonts w:ascii="Arial" w:cs="Arial" w:eastAsia="Arial" w:hAnsi="Arial"/>
          <w:sz w:val="17"/>
          <w:szCs w:val="17"/>
          <w:color w:val="auto"/>
        </w:rPr>
        <w:t xml:space="preserve">We file annual, quarterly and other reports, proxy and information statements and other information with the Securities and Exchange Commission. The SEC maintains a website that contains reports, proxy statements and other information regarding us. The address of the SEC website is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We maintain a website at </w:t>
      </w:r>
      <w:r>
        <w:rPr>
          <w:rFonts w:ascii="Arial" w:cs="Arial" w:eastAsia="Arial" w:hAnsi="Arial"/>
          <w:sz w:val="17"/>
          <w:szCs w:val="17"/>
          <w:i w:val="1"/>
          <w:iCs w:val="1"/>
          <w:color w:val="auto"/>
        </w:rPr>
        <w:t>www.axsome.com</w:t>
      </w:r>
      <w:r>
        <w:rPr>
          <w:rFonts w:ascii="Arial" w:cs="Arial" w:eastAsia="Arial" w:hAnsi="Arial"/>
          <w:sz w:val="17"/>
          <w:szCs w:val="17"/>
          <w:color w:val="auto"/>
        </w:rPr>
        <w:t>. The information contained on, or that can be accessed through, our website is not a part of this prospectus supplement. Investors should not rely on any such information in deciding whether to purchase our common stock. We have included our website address in this prospectus supplement solely as an inactive textual reference.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400"/>
          </w:cols>
          <w:pgMar w:left="1260" w:top="114" w:right="123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187" w:lineRule="exact"/>
        <w:rPr>
          <w:sz w:val="20"/>
          <w:szCs w:val="20"/>
          <w:color w:val="auto"/>
        </w:rPr>
      </w:pPr>
    </w:p>
    <w:p>
      <w:pPr>
        <w:ind w:right="160"/>
        <w:spacing w:after="0" w:line="215" w:lineRule="auto"/>
        <w:rPr>
          <w:sz w:val="20"/>
          <w:szCs w:val="20"/>
          <w:color w:val="auto"/>
        </w:rPr>
      </w:pPr>
      <w:r>
        <w:rPr>
          <w:rFonts w:ascii="Arial" w:cs="Arial" w:eastAsia="Arial" w:hAnsi="Arial"/>
          <w:sz w:val="18"/>
          <w:szCs w:val="18"/>
          <w:color w:val="auto"/>
        </w:rPr>
        <w:t>The SEC allows us to incorporate by reference into this prospectus supplement and the accompanying prospectus certain information we file with it, which means that we can disclose important information by referring you to those documents. The information incorporated by reference is considered to be a part of this prospectus supplement and the accompanying prospectus and information that we file later with the SEC will automatically update and supersede information contained in this prospectus supplement and the accompanying prospectus.</w:t>
      </w:r>
    </w:p>
    <w:p>
      <w:pPr>
        <w:spacing w:after="0" w:line="162"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The following documents are incorporated by reference into this document (other than the portions of these documents deemed to be “furnished” or not deemed to be “filed,” including the portions of these documents that are furnished under Item 2.02 or Item 7.01 of a Current Report on Form 8-K, including any exhibits included with such Items):</w:t>
      </w:r>
    </w:p>
    <w:p>
      <w:pPr>
        <w:spacing w:after="0" w:line="160" w:lineRule="exact"/>
        <w:rPr>
          <w:sz w:val="20"/>
          <w:szCs w:val="20"/>
          <w:color w:val="auto"/>
        </w:rPr>
      </w:pPr>
    </w:p>
    <w:p>
      <w:pPr>
        <w:ind w:left="960" w:hanging="320"/>
        <w:spacing w:after="0" w:line="184" w:lineRule="exact"/>
        <w:tabs>
          <w:tab w:leader="none" w:pos="960" w:val="left"/>
        </w:tabs>
        <w:numPr>
          <w:ilvl w:val="0"/>
          <w:numId w:val="7"/>
        </w:numPr>
        <w:rPr>
          <w:rFonts w:ascii="Arial" w:cs="Arial" w:eastAsia="Arial" w:hAnsi="Arial"/>
          <w:sz w:val="16"/>
          <w:szCs w:val="16"/>
          <w:color w:val="0000EE"/>
        </w:rPr>
      </w:pPr>
      <w:hyperlink r:id="rId35">
        <w:r>
          <w:rPr>
            <w:rFonts w:ascii="Arial" w:cs="Arial" w:eastAsia="Arial" w:hAnsi="Arial"/>
            <w:sz w:val="16"/>
            <w:szCs w:val="16"/>
            <w:u w:val="single" w:color="auto"/>
            <w:color w:val="0000EE"/>
          </w:rPr>
          <w:t>our annual report on Form 10</w:t>
        </w:r>
        <w:r>
          <w:rPr>
            <w:rFonts w:ascii="MS PGothic" w:cs="MS PGothic" w:eastAsia="MS PGothic" w:hAnsi="MS PGothic"/>
            <w:sz w:val="16"/>
            <w:szCs w:val="16"/>
            <w:u w:val="single" w:color="auto"/>
            <w:color w:val="0000EE"/>
          </w:rPr>
          <w:t>‑</w:t>
        </w:r>
        <w:r>
          <w:rPr>
            <w:rFonts w:ascii="Arial" w:cs="Arial" w:eastAsia="Arial" w:hAnsi="Arial"/>
            <w:sz w:val="16"/>
            <w:szCs w:val="16"/>
            <w:u w:val="single" w:color="auto"/>
            <w:color w:val="0000EE"/>
          </w:rPr>
          <w:t>K for the fiscal year ended December 31, 2018 filed with the SEC on March 15, 2019</w:t>
        </w:r>
      </w:hyperlink>
      <w:r>
        <w:rPr>
          <w:rFonts w:ascii="Arial" w:cs="Arial" w:eastAsia="Arial" w:hAnsi="Arial"/>
          <w:sz w:val="16"/>
          <w:szCs w:val="16"/>
          <w:color w:val="000000"/>
        </w:rPr>
        <w:t>;</w:t>
      </w:r>
    </w:p>
    <w:p>
      <w:pPr>
        <w:spacing w:after="0" w:line="6" w:lineRule="exact"/>
        <w:rPr>
          <w:rFonts w:ascii="Arial" w:cs="Arial" w:eastAsia="Arial" w:hAnsi="Arial"/>
          <w:sz w:val="16"/>
          <w:szCs w:val="16"/>
          <w:color w:val="0000EE"/>
        </w:rPr>
      </w:pPr>
    </w:p>
    <w:p>
      <w:pPr>
        <w:ind w:left="960" w:hanging="320"/>
        <w:spacing w:after="0" w:line="202" w:lineRule="auto"/>
        <w:tabs>
          <w:tab w:leader="none" w:pos="960" w:val="left"/>
        </w:tabs>
        <w:numPr>
          <w:ilvl w:val="0"/>
          <w:numId w:val="7"/>
        </w:numPr>
        <w:rPr>
          <w:rFonts w:ascii="Arial" w:cs="Arial" w:eastAsia="Arial" w:hAnsi="Arial"/>
          <w:sz w:val="18"/>
          <w:szCs w:val="18"/>
          <w:color w:val="0000EE"/>
        </w:rPr>
      </w:pPr>
      <w:hyperlink r:id="rId37">
        <w:r>
          <w:rPr>
            <w:rFonts w:ascii="Arial" w:cs="Arial" w:eastAsia="Arial" w:hAnsi="Arial"/>
            <w:sz w:val="18"/>
            <w:szCs w:val="18"/>
            <w:u w:val="single" w:color="auto"/>
            <w:color w:val="0000EE"/>
          </w:rPr>
          <w:t>the information contained in our definitive proxy statement on Schedule 14A for our 2019 Annual Meeting of</w:t>
        </w:r>
      </w:hyperlink>
      <w:r>
        <w:rPr>
          <w:rFonts w:ascii="Arial" w:cs="Arial" w:eastAsia="Arial" w:hAnsi="Arial"/>
          <w:sz w:val="18"/>
          <w:szCs w:val="18"/>
          <w:u w:val="single" w:color="auto"/>
          <w:color w:val="0000EE"/>
        </w:rPr>
        <w:t xml:space="preserve"> </w:t>
      </w:r>
      <w:hyperlink r:id="rId37">
        <w:r>
          <w:rPr>
            <w:rFonts w:ascii="Arial" w:cs="Arial" w:eastAsia="Arial" w:hAnsi="Arial"/>
            <w:sz w:val="18"/>
            <w:szCs w:val="18"/>
            <w:u w:val="single" w:color="auto"/>
            <w:color w:val="0000EE"/>
          </w:rPr>
          <w:t>Stockholders, filed with the SEC on April 26, 2019, to the extent incorporated by reference in Part III of the Form 10</w:t>
        </w:r>
      </w:hyperlink>
      <w:r>
        <w:rPr>
          <w:rFonts w:ascii="Arial" w:cs="Arial" w:eastAsia="Arial" w:hAnsi="Arial"/>
          <w:sz w:val="18"/>
          <w:szCs w:val="18"/>
          <w:u w:val="single" w:color="auto"/>
          <w:color w:val="0000EE"/>
        </w:rPr>
        <w:t xml:space="preserve"> </w:t>
      </w:r>
      <w:hyperlink r:id="rId37">
        <w:r>
          <w:rPr>
            <w:rFonts w:ascii="Arial" w:cs="Arial" w:eastAsia="Arial" w:hAnsi="Arial"/>
            <w:sz w:val="18"/>
            <w:szCs w:val="18"/>
            <w:u w:val="single" w:color="auto"/>
            <w:color w:val="0000EE"/>
          </w:rPr>
          <w:t>K for the fiscal year ended December 31, 2018</w:t>
        </w:r>
        <w:r>
          <w:rPr>
            <w:rFonts w:ascii="Arial" w:cs="Arial" w:eastAsia="Arial" w:hAnsi="Arial"/>
            <w:sz w:val="18"/>
            <w:szCs w:val="18"/>
            <w:color w:val="000000"/>
          </w:rPr>
          <w:t>;</w:t>
        </w:r>
      </w:hyperlink>
    </w:p>
    <w:p>
      <w:pPr>
        <w:spacing w:after="0" w:line="1" w:lineRule="exact"/>
        <w:rPr>
          <w:rFonts w:ascii="Arial" w:cs="Arial" w:eastAsia="Arial" w:hAnsi="Arial"/>
          <w:sz w:val="18"/>
          <w:szCs w:val="18"/>
          <w:color w:val="0000EE"/>
        </w:rPr>
      </w:pPr>
    </w:p>
    <w:p>
      <w:pPr>
        <w:ind w:left="960" w:hanging="320"/>
        <w:spacing w:after="0" w:line="227" w:lineRule="auto"/>
        <w:tabs>
          <w:tab w:leader="none" w:pos="960" w:val="left"/>
        </w:tabs>
        <w:numPr>
          <w:ilvl w:val="0"/>
          <w:numId w:val="7"/>
        </w:numPr>
        <w:rPr>
          <w:rFonts w:ascii="Arial" w:cs="Arial" w:eastAsia="Arial" w:hAnsi="Arial"/>
          <w:sz w:val="16"/>
          <w:szCs w:val="16"/>
          <w:color w:val="0000EE"/>
        </w:rPr>
      </w:pPr>
      <w:hyperlink r:id="rId38">
        <w:r>
          <w:rPr>
            <w:rFonts w:ascii="Arial" w:cs="Arial" w:eastAsia="Arial" w:hAnsi="Arial"/>
            <w:sz w:val="16"/>
            <w:szCs w:val="16"/>
            <w:u w:val="single" w:color="auto"/>
            <w:color w:val="0000EE"/>
          </w:rPr>
          <w:t>our quarterly report on Form 10-Q for the three months ended March 31, 2019 filed with the SEC on May 9, 2019</w:t>
        </w:r>
      </w:hyperlink>
      <w:r>
        <w:rPr>
          <w:rFonts w:ascii="Arial" w:cs="Arial" w:eastAsia="Arial" w:hAnsi="Arial"/>
          <w:sz w:val="16"/>
          <w:szCs w:val="16"/>
          <w:color w:val="000000"/>
        </w:rPr>
        <w:t>;</w:t>
      </w:r>
    </w:p>
    <w:p>
      <w:pPr>
        <w:ind w:left="960" w:hanging="320"/>
        <w:spacing w:after="0" w:line="227" w:lineRule="auto"/>
        <w:tabs>
          <w:tab w:leader="none" w:pos="960" w:val="left"/>
        </w:tabs>
        <w:numPr>
          <w:ilvl w:val="0"/>
          <w:numId w:val="7"/>
        </w:numPr>
        <w:rPr>
          <w:rFonts w:ascii="Arial" w:cs="Arial" w:eastAsia="Arial" w:hAnsi="Arial"/>
          <w:sz w:val="16"/>
          <w:szCs w:val="16"/>
          <w:color w:val="0000EE"/>
        </w:rPr>
      </w:pPr>
      <w:hyperlink r:id="rId39">
        <w:r>
          <w:rPr>
            <w:rFonts w:ascii="Arial" w:cs="Arial" w:eastAsia="Arial" w:hAnsi="Arial"/>
            <w:sz w:val="16"/>
            <w:szCs w:val="16"/>
            <w:u w:val="single" w:color="auto"/>
            <w:color w:val="0000EE"/>
          </w:rPr>
          <w:t>our quarterly report on Form 10-Q for the three months ended June 30, 2019 filed with the SEC on August 8, 2019</w:t>
        </w:r>
      </w:hyperlink>
      <w:r>
        <w:rPr>
          <w:rFonts w:ascii="Arial" w:cs="Arial" w:eastAsia="Arial" w:hAnsi="Arial"/>
          <w:sz w:val="16"/>
          <w:szCs w:val="16"/>
          <w:color w:val="000000"/>
        </w:rPr>
        <w:t>;</w:t>
      </w:r>
    </w:p>
    <w:p>
      <w:pPr>
        <w:ind w:left="960" w:right="80" w:hanging="320"/>
        <w:spacing w:after="0" w:line="202" w:lineRule="auto"/>
        <w:tabs>
          <w:tab w:leader="none" w:pos="960" w:val="left"/>
        </w:tabs>
        <w:numPr>
          <w:ilvl w:val="0"/>
          <w:numId w:val="7"/>
        </w:numPr>
        <w:rPr>
          <w:rFonts w:ascii="Arial" w:cs="Arial" w:eastAsia="Arial" w:hAnsi="Arial"/>
          <w:sz w:val="18"/>
          <w:szCs w:val="18"/>
          <w:color w:val="0000EE"/>
        </w:rPr>
      </w:pPr>
      <w:hyperlink r:id="rId40">
        <w:r>
          <w:rPr>
            <w:rFonts w:ascii="Arial" w:cs="Arial" w:eastAsia="Arial" w:hAnsi="Arial"/>
            <w:sz w:val="18"/>
            <w:szCs w:val="18"/>
            <w:u w:val="single" w:color="auto"/>
            <w:color w:val="0000EE"/>
          </w:rPr>
          <w:t>our quarterly report on Form 10-Q for the three months ended September 30, 2019 filed with the SEC on November</w:t>
        </w:r>
      </w:hyperlink>
      <w:r>
        <w:rPr>
          <w:rFonts w:ascii="Arial" w:cs="Arial" w:eastAsia="Arial" w:hAnsi="Arial"/>
          <w:sz w:val="18"/>
          <w:szCs w:val="18"/>
          <w:u w:val="single" w:color="auto"/>
          <w:color w:val="0000EE"/>
        </w:rPr>
        <w:t xml:space="preserve"> </w:t>
      </w:r>
      <w:hyperlink r:id="rId40">
        <w:r>
          <w:rPr>
            <w:rFonts w:ascii="Arial" w:cs="Arial" w:eastAsia="Arial" w:hAnsi="Arial"/>
            <w:sz w:val="18"/>
            <w:szCs w:val="18"/>
            <w:u w:val="single" w:color="auto"/>
            <w:color w:val="0000EE"/>
          </w:rPr>
          <w:t>7, 2019</w:t>
        </w:r>
        <w:r>
          <w:rPr>
            <w:rFonts w:ascii="Arial" w:cs="Arial" w:eastAsia="Arial" w:hAnsi="Arial"/>
            <w:sz w:val="18"/>
            <w:szCs w:val="18"/>
            <w:color w:val="000000"/>
          </w:rPr>
          <w:t>;</w:t>
        </w:r>
      </w:hyperlink>
    </w:p>
    <w:p>
      <w:pPr>
        <w:spacing w:after="0" w:line="1" w:lineRule="exact"/>
        <w:rPr>
          <w:rFonts w:ascii="Arial" w:cs="Arial" w:eastAsia="Arial" w:hAnsi="Arial"/>
          <w:sz w:val="18"/>
          <w:szCs w:val="18"/>
          <w:color w:val="0000EE"/>
        </w:rPr>
      </w:pPr>
    </w:p>
    <w:p>
      <w:pPr>
        <w:ind w:left="960" w:right="80" w:hanging="320"/>
        <w:spacing w:after="0" w:line="227" w:lineRule="auto"/>
        <w:tabs>
          <w:tab w:leader="none" w:pos="960" w:val="left"/>
        </w:tabs>
        <w:numPr>
          <w:ilvl w:val="0"/>
          <w:numId w:val="7"/>
        </w:numPr>
        <w:rPr>
          <w:rFonts w:ascii="Arial" w:cs="Arial" w:eastAsia="Arial" w:hAnsi="Arial"/>
          <w:sz w:val="16"/>
          <w:szCs w:val="16"/>
          <w:color w:val="0000EE"/>
        </w:rPr>
      </w:pPr>
      <w:hyperlink r:id="rId41">
        <w:r>
          <w:rPr>
            <w:rFonts w:ascii="Arial" w:cs="Arial" w:eastAsia="Arial" w:hAnsi="Arial"/>
            <w:sz w:val="16"/>
            <w:szCs w:val="16"/>
            <w:color w:val="auto"/>
          </w:rPr>
          <w:t xml:space="preserve">our current reports on Form 8-K filed with the SEC on </w:t>
        </w:r>
        <w:r>
          <w:rPr>
            <w:rFonts w:ascii="Arial" w:cs="Arial" w:eastAsia="Arial" w:hAnsi="Arial"/>
            <w:sz w:val="16"/>
            <w:szCs w:val="16"/>
            <w:u w:val="single" w:color="auto"/>
            <w:color w:val="0000EE"/>
          </w:rPr>
          <w:t>January 7, 2019 (two filings)</w:t>
        </w:r>
        <w:r>
          <w:rPr>
            <w:rFonts w:ascii="Arial" w:cs="Arial" w:eastAsia="Arial" w:hAnsi="Arial"/>
            <w:sz w:val="16"/>
            <w:szCs w:val="16"/>
            <w:color w:val="auto"/>
          </w:rPr>
          <w:t xml:space="preserve">; </w:t>
        </w:r>
        <w:r>
          <w:rPr>
            <w:rFonts w:ascii="Arial" w:cs="Arial" w:eastAsia="Arial" w:hAnsi="Arial"/>
            <w:sz w:val="16"/>
            <w:szCs w:val="16"/>
            <w:u w:val="single" w:color="auto"/>
            <w:color w:val="0000EE"/>
          </w:rPr>
          <w:t>January 8, 2019</w:t>
        </w:r>
        <w:r>
          <w:rPr>
            <w:rFonts w:ascii="Arial" w:cs="Arial" w:eastAsia="Arial" w:hAnsi="Arial"/>
            <w:sz w:val="16"/>
            <w:szCs w:val="16"/>
            <w:color w:val="auto"/>
          </w:rPr>
          <w:t xml:space="preserve">; </w:t>
        </w:r>
        <w:r>
          <w:rPr>
            <w:rFonts w:ascii="Arial" w:cs="Arial" w:eastAsia="Arial" w:hAnsi="Arial"/>
            <w:sz w:val="16"/>
            <w:szCs w:val="16"/>
            <w:u w:val="single" w:color="auto"/>
            <w:color w:val="0000EE"/>
          </w:rPr>
          <w:t>January 30,</w:t>
        </w:r>
      </w:hyperlink>
      <w:r>
        <w:rPr>
          <w:rFonts w:ascii="Arial" w:cs="Arial" w:eastAsia="Arial" w:hAnsi="Arial"/>
          <w:sz w:val="16"/>
          <w:szCs w:val="16"/>
          <w:color w:val="auto"/>
        </w:rPr>
        <w:t xml:space="preserve"> </w:t>
      </w:r>
      <w:hyperlink r:id="rId42">
        <w:r>
          <w:rPr>
            <w:rFonts w:ascii="Arial" w:cs="Arial" w:eastAsia="Arial" w:hAnsi="Arial"/>
            <w:sz w:val="16"/>
            <w:szCs w:val="16"/>
            <w:u w:val="single" w:color="auto"/>
            <w:color w:val="0000EE"/>
          </w:rPr>
          <w:t>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February 6, 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March 4, 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March 6, 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March 14, 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March 27, 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April 15, 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May</w:t>
        </w:r>
      </w:hyperlink>
      <w:r>
        <w:rPr>
          <w:rFonts w:ascii="Arial" w:cs="Arial" w:eastAsia="Arial" w:hAnsi="Arial"/>
          <w:sz w:val="16"/>
          <w:szCs w:val="16"/>
          <w:color w:val="0000EE"/>
        </w:rPr>
        <w:t xml:space="preserve"> </w:t>
      </w:r>
      <w:hyperlink r:id="rId42">
        <w:r>
          <w:rPr>
            <w:rFonts w:ascii="Arial" w:cs="Arial" w:eastAsia="Arial" w:hAnsi="Arial"/>
            <w:sz w:val="16"/>
            <w:szCs w:val="16"/>
            <w:u w:val="single" w:color="auto"/>
            <w:color w:val="0000EE"/>
          </w:rPr>
          <w:t>6, 2019</w:t>
        </w:r>
        <w:r>
          <w:rPr>
            <w:rFonts w:ascii="Arial" w:cs="Arial" w:eastAsia="Arial" w:hAnsi="Arial"/>
            <w:sz w:val="16"/>
            <w:szCs w:val="16"/>
            <w:color w:val="000000"/>
          </w:rPr>
          <w:t>;</w:t>
        </w:r>
        <w:r>
          <w:rPr>
            <w:rFonts w:ascii="Arial" w:cs="Arial" w:eastAsia="Arial" w:hAnsi="Arial"/>
            <w:sz w:val="16"/>
            <w:szCs w:val="16"/>
            <w:color w:val="0000EE"/>
          </w:rPr>
          <w:t xml:space="preserve"> </w:t>
        </w:r>
      </w:hyperlink>
      <w:hyperlink r:id="rId43">
        <w:r>
          <w:rPr>
            <w:rFonts w:ascii="Arial" w:cs="Arial" w:eastAsia="Arial" w:hAnsi="Arial"/>
            <w:sz w:val="16"/>
            <w:szCs w:val="16"/>
            <w:u w:val="single" w:color="auto"/>
            <w:color w:val="0000EE"/>
          </w:rPr>
          <w:t xml:space="preserve">May 9, 2019 </w:t>
        </w:r>
      </w:hyperlink>
      <w:hyperlink r:id="rId44">
        <w:r>
          <w:rPr>
            <w:rFonts w:ascii="Arial" w:cs="Arial" w:eastAsia="Arial" w:hAnsi="Arial"/>
            <w:sz w:val="16"/>
            <w:szCs w:val="16"/>
            <w:u w:val="single" w:color="auto"/>
            <w:color w:val="0000EE"/>
          </w:rPr>
          <w:t>(two filings)</w:t>
        </w:r>
      </w:hyperlink>
      <w:hyperlink r:id="rId42">
        <w:r>
          <w:rPr>
            <w:rFonts w:ascii="Arial" w:cs="Arial" w:eastAsia="Arial" w:hAnsi="Arial"/>
            <w:sz w:val="16"/>
            <w:szCs w:val="16"/>
            <w:color w:val="000000"/>
          </w:rPr>
          <w:t>;</w:t>
        </w:r>
        <w:r>
          <w:rPr>
            <w:rFonts w:ascii="Arial" w:cs="Arial" w:eastAsia="Arial" w:hAnsi="Arial"/>
            <w:sz w:val="16"/>
            <w:szCs w:val="16"/>
            <w:color w:val="0000EE"/>
          </w:rPr>
          <w:t xml:space="preserve"> </w:t>
        </w:r>
      </w:hyperlink>
      <w:hyperlink r:id="rId45">
        <w:r>
          <w:rPr>
            <w:rFonts w:ascii="Arial" w:cs="Arial" w:eastAsia="Arial" w:hAnsi="Arial"/>
            <w:sz w:val="16"/>
            <w:szCs w:val="16"/>
            <w:u w:val="single" w:color="auto"/>
            <w:color w:val="0000EE"/>
          </w:rPr>
          <w:t>June 7, 2019</w:t>
        </w:r>
      </w:hyperlink>
      <w:hyperlink r:id="rId42">
        <w:r>
          <w:rPr>
            <w:rFonts w:ascii="Arial" w:cs="Arial" w:eastAsia="Arial" w:hAnsi="Arial"/>
            <w:sz w:val="16"/>
            <w:szCs w:val="16"/>
            <w:color w:val="000000"/>
          </w:rPr>
          <w:t>;</w:t>
        </w:r>
        <w:r>
          <w:rPr>
            <w:rFonts w:ascii="Arial" w:cs="Arial" w:eastAsia="Arial" w:hAnsi="Arial"/>
            <w:sz w:val="16"/>
            <w:szCs w:val="16"/>
            <w:color w:val="0000EE"/>
          </w:rPr>
          <w:t xml:space="preserve"> </w:t>
        </w:r>
      </w:hyperlink>
      <w:hyperlink r:id="rId46">
        <w:r>
          <w:rPr>
            <w:rFonts w:ascii="Arial" w:cs="Arial" w:eastAsia="Arial" w:hAnsi="Arial"/>
            <w:sz w:val="16"/>
            <w:szCs w:val="16"/>
            <w:u w:val="single" w:color="auto"/>
            <w:color w:val="0000EE"/>
          </w:rPr>
          <w:t>June 24, 2019</w:t>
        </w:r>
      </w:hyperlink>
      <w:hyperlink r:id="rId42">
        <w:r>
          <w:rPr>
            <w:rFonts w:ascii="Arial" w:cs="Arial" w:eastAsia="Arial" w:hAnsi="Arial"/>
            <w:sz w:val="16"/>
            <w:szCs w:val="16"/>
            <w:color w:val="000000"/>
          </w:rPr>
          <w:t>;</w:t>
        </w:r>
        <w:r>
          <w:rPr>
            <w:rFonts w:ascii="Arial" w:cs="Arial" w:eastAsia="Arial" w:hAnsi="Arial"/>
            <w:sz w:val="16"/>
            <w:szCs w:val="16"/>
            <w:color w:val="0000EE"/>
          </w:rPr>
          <w:t xml:space="preserve"> </w:t>
        </w:r>
      </w:hyperlink>
      <w:hyperlink r:id="rId47">
        <w:r>
          <w:rPr>
            <w:rFonts w:ascii="Arial" w:cs="Arial" w:eastAsia="Arial" w:hAnsi="Arial"/>
            <w:sz w:val="16"/>
            <w:szCs w:val="16"/>
            <w:u w:val="single" w:color="auto"/>
            <w:color w:val="0000EE"/>
          </w:rPr>
          <w:t>July 11, 2019</w:t>
        </w:r>
      </w:hyperlink>
      <w:hyperlink r:id="rId42">
        <w:r>
          <w:rPr>
            <w:rFonts w:ascii="Arial" w:cs="Arial" w:eastAsia="Arial" w:hAnsi="Arial"/>
            <w:sz w:val="16"/>
            <w:szCs w:val="16"/>
            <w:color w:val="000000"/>
          </w:rPr>
          <w:t>;</w:t>
        </w:r>
        <w:r>
          <w:rPr>
            <w:rFonts w:ascii="Arial" w:cs="Arial" w:eastAsia="Arial" w:hAnsi="Arial"/>
            <w:sz w:val="16"/>
            <w:szCs w:val="16"/>
            <w:color w:val="0000EE"/>
          </w:rPr>
          <w:t xml:space="preserve"> </w:t>
        </w:r>
      </w:hyperlink>
      <w:hyperlink r:id="rId48">
        <w:r>
          <w:rPr>
            <w:rFonts w:ascii="Arial" w:cs="Arial" w:eastAsia="Arial" w:hAnsi="Arial"/>
            <w:sz w:val="16"/>
            <w:szCs w:val="16"/>
            <w:u w:val="single" w:color="auto"/>
            <w:color w:val="0000EE"/>
          </w:rPr>
          <w:t>July 29, 2019</w:t>
        </w:r>
      </w:hyperlink>
      <w:hyperlink r:id="rId42">
        <w:r>
          <w:rPr>
            <w:rFonts w:ascii="Arial" w:cs="Arial" w:eastAsia="Arial" w:hAnsi="Arial"/>
            <w:sz w:val="16"/>
            <w:szCs w:val="16"/>
            <w:color w:val="000000"/>
          </w:rPr>
          <w:t>;</w:t>
        </w:r>
        <w:r>
          <w:rPr>
            <w:rFonts w:ascii="Arial" w:cs="Arial" w:eastAsia="Arial" w:hAnsi="Arial"/>
            <w:sz w:val="16"/>
            <w:szCs w:val="16"/>
            <w:color w:val="0000EE"/>
          </w:rPr>
          <w:t xml:space="preserve"> </w:t>
        </w:r>
      </w:hyperlink>
      <w:hyperlink r:id="rId49">
        <w:r>
          <w:rPr>
            <w:rFonts w:ascii="Arial" w:cs="Arial" w:eastAsia="Arial" w:hAnsi="Arial"/>
            <w:sz w:val="16"/>
            <w:szCs w:val="16"/>
            <w:u w:val="single" w:color="auto"/>
            <w:color w:val="0000EE"/>
          </w:rPr>
          <w:t>August 8, 2019</w:t>
        </w:r>
      </w:hyperlink>
      <w:hyperlink r:id="rId42">
        <w:r>
          <w:rPr>
            <w:rFonts w:ascii="Arial" w:cs="Arial" w:eastAsia="Arial" w:hAnsi="Arial"/>
            <w:sz w:val="16"/>
            <w:szCs w:val="16"/>
            <w:color w:val="000000"/>
          </w:rPr>
          <w:t>;</w:t>
        </w:r>
      </w:hyperlink>
      <w:r>
        <w:rPr>
          <w:rFonts w:ascii="Arial" w:cs="Arial" w:eastAsia="Arial" w:hAnsi="Arial"/>
          <w:sz w:val="16"/>
          <w:szCs w:val="16"/>
          <w:color w:val="0000EE"/>
        </w:rPr>
        <w:t xml:space="preserve"> </w:t>
      </w:r>
      <w:hyperlink r:id="rId50">
        <w:r>
          <w:rPr>
            <w:rFonts w:ascii="Arial" w:cs="Arial" w:eastAsia="Arial" w:hAnsi="Arial"/>
            <w:sz w:val="16"/>
            <w:szCs w:val="16"/>
            <w:u w:val="single" w:color="auto"/>
            <w:color w:val="0000EE"/>
          </w:rPr>
          <w:t>August 20, 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September 5, 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October 2, 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October 16, 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October 21, 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October 28,</w:t>
        </w:r>
      </w:hyperlink>
    </w:p>
    <w:p>
      <w:pPr>
        <w:spacing w:after="0" w:line="2" w:lineRule="exact"/>
        <w:rPr>
          <w:rFonts w:ascii="Arial" w:cs="Arial" w:eastAsia="Arial" w:hAnsi="Arial"/>
          <w:sz w:val="16"/>
          <w:szCs w:val="16"/>
          <w:color w:val="0000EE"/>
        </w:rPr>
      </w:pPr>
    </w:p>
    <w:p>
      <w:pPr>
        <w:ind w:left="960" w:right="60"/>
        <w:spacing w:after="0" w:line="202" w:lineRule="auto"/>
        <w:rPr>
          <w:rFonts w:ascii="Arial" w:cs="Arial" w:eastAsia="Arial" w:hAnsi="Arial"/>
          <w:sz w:val="18"/>
          <w:szCs w:val="18"/>
          <w:color w:val="0000EE"/>
        </w:rPr>
      </w:pPr>
      <w:hyperlink r:id="rId50">
        <w:r>
          <w:rPr>
            <w:rFonts w:ascii="Arial" w:cs="Arial" w:eastAsia="Arial" w:hAnsi="Arial"/>
            <w:sz w:val="18"/>
            <w:szCs w:val="18"/>
            <w:u w:val="single" w:color="auto"/>
            <w:color w:val="0000EE"/>
          </w:rPr>
          <w:t xml:space="preserve">2019 </w:t>
        </w:r>
      </w:hyperlink>
      <w:hyperlink r:id="rId51">
        <w:r>
          <w:rPr>
            <w:rFonts w:ascii="Arial" w:cs="Arial" w:eastAsia="Arial" w:hAnsi="Arial"/>
            <w:sz w:val="18"/>
            <w:szCs w:val="18"/>
            <w:u w:val="single" w:color="auto"/>
            <w:color w:val="0000EE"/>
          </w:rPr>
          <w:t>(two filings)</w:t>
        </w:r>
      </w:hyperlink>
      <w:hyperlink r:id="rId50">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52">
        <w:r>
          <w:rPr>
            <w:rFonts w:ascii="Arial" w:cs="Arial" w:eastAsia="Arial" w:hAnsi="Arial"/>
            <w:sz w:val="18"/>
            <w:szCs w:val="18"/>
            <w:u w:val="single" w:color="auto"/>
            <w:color w:val="0000EE"/>
          </w:rPr>
          <w:t xml:space="preserve">November 7, 2019 </w:t>
        </w:r>
      </w:hyperlink>
      <w:hyperlink r:id="rId53">
        <w:r>
          <w:rPr>
            <w:rFonts w:ascii="Arial" w:cs="Arial" w:eastAsia="Arial" w:hAnsi="Arial"/>
            <w:sz w:val="18"/>
            <w:szCs w:val="18"/>
            <w:u w:val="single" w:color="auto"/>
            <w:color w:val="0000EE"/>
          </w:rPr>
          <w:t>(two filings)</w:t>
        </w:r>
      </w:hyperlink>
      <w:hyperlink r:id="rId50">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54">
        <w:r>
          <w:rPr>
            <w:rFonts w:ascii="Arial" w:cs="Arial" w:eastAsia="Arial" w:hAnsi="Arial"/>
            <w:sz w:val="18"/>
            <w:szCs w:val="18"/>
            <w:u w:val="single" w:color="auto"/>
            <w:color w:val="0000EE"/>
          </w:rPr>
          <w:t>December 3, 2019</w:t>
        </w:r>
      </w:hyperlink>
      <w:hyperlink r:id="rId50">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55">
        <w:r>
          <w:rPr>
            <w:rFonts w:ascii="Arial" w:cs="Arial" w:eastAsia="Arial" w:hAnsi="Arial"/>
            <w:sz w:val="18"/>
            <w:szCs w:val="18"/>
            <w:u w:val="single" w:color="auto"/>
            <w:color w:val="0000EE"/>
          </w:rPr>
          <w:t xml:space="preserve">December 5, 2019 </w:t>
        </w:r>
      </w:hyperlink>
      <w:hyperlink r:id="rId50">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56">
        <w:r>
          <w:rPr>
            <w:rFonts w:ascii="Arial" w:cs="Arial" w:eastAsia="Arial" w:hAnsi="Arial"/>
            <w:sz w:val="18"/>
            <w:szCs w:val="18"/>
            <w:u w:val="single" w:color="auto"/>
            <w:color w:val="0000EE"/>
          </w:rPr>
          <w:t>December 16, 2019</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1" w:lineRule="exact"/>
        <w:rPr>
          <w:rFonts w:ascii="Arial" w:cs="Arial" w:eastAsia="Arial" w:hAnsi="Arial"/>
          <w:sz w:val="18"/>
          <w:szCs w:val="18"/>
          <w:color w:val="0000EE"/>
        </w:rPr>
      </w:pPr>
    </w:p>
    <w:p>
      <w:pPr>
        <w:ind w:left="960" w:right="40" w:hanging="320"/>
        <w:spacing w:after="0" w:line="188" w:lineRule="exact"/>
        <w:tabs>
          <w:tab w:leader="none" w:pos="960" w:val="left"/>
        </w:tabs>
        <w:numPr>
          <w:ilvl w:val="0"/>
          <w:numId w:val="7"/>
        </w:numPr>
        <w:rPr>
          <w:rFonts w:ascii="Arial" w:cs="Arial" w:eastAsia="Arial" w:hAnsi="Arial"/>
          <w:sz w:val="18"/>
          <w:szCs w:val="18"/>
          <w:color w:val="0000EE"/>
        </w:rPr>
      </w:pPr>
      <w:hyperlink r:id="rId57">
        <w:r>
          <w:rPr>
            <w:rFonts w:ascii="Arial" w:cs="Arial" w:eastAsia="Arial" w:hAnsi="Arial"/>
            <w:sz w:val="18"/>
            <w:szCs w:val="18"/>
            <w:color w:val="auto"/>
          </w:rPr>
          <w:t xml:space="preserve">the description of our common stock contained in our registration statement on </w:t>
        </w:r>
        <w:r>
          <w:rPr>
            <w:rFonts w:ascii="Arial" w:cs="Arial" w:eastAsia="Arial" w:hAnsi="Arial"/>
            <w:sz w:val="18"/>
            <w:szCs w:val="18"/>
            <w:u w:val="single" w:color="auto"/>
            <w:color w:val="0000EE"/>
          </w:rPr>
          <w:t>Form 8</w:t>
        </w:r>
        <w:r>
          <w:rPr>
            <w:rFonts w:ascii="MS PGothic" w:cs="MS PGothic" w:eastAsia="MS PGothic" w:hAnsi="MS PGothic"/>
            <w:sz w:val="18"/>
            <w:szCs w:val="18"/>
            <w:u w:val="single" w:color="auto"/>
            <w:color w:val="0000EE"/>
          </w:rPr>
          <w:t>‑</w:t>
        </w:r>
        <w:r>
          <w:rPr>
            <w:rFonts w:ascii="Arial" w:cs="Arial" w:eastAsia="Arial" w:hAnsi="Arial"/>
            <w:sz w:val="18"/>
            <w:szCs w:val="18"/>
            <w:u w:val="single" w:color="auto"/>
            <w:color w:val="0000EE"/>
          </w:rPr>
          <w:t>A12B, filed with the SEC on</w:t>
        </w:r>
      </w:hyperlink>
      <w:r>
        <w:rPr>
          <w:rFonts w:ascii="Arial" w:cs="Arial" w:eastAsia="Arial" w:hAnsi="Arial"/>
          <w:sz w:val="18"/>
          <w:szCs w:val="18"/>
          <w:color w:val="auto"/>
        </w:rPr>
        <w:t xml:space="preserve"> </w:t>
      </w:r>
      <w:hyperlink r:id="rId57">
        <w:r>
          <w:rPr>
            <w:rFonts w:ascii="Arial" w:cs="Arial" w:eastAsia="Arial" w:hAnsi="Arial"/>
            <w:sz w:val="18"/>
            <w:szCs w:val="18"/>
            <w:u w:val="single" w:color="auto"/>
            <w:color w:val="0000EE"/>
          </w:rPr>
          <w:t>November 16, 2015 (File No. 001-37635)</w:t>
        </w:r>
        <w:r>
          <w:rPr>
            <w:rFonts w:ascii="Arial" w:cs="Arial" w:eastAsia="Arial" w:hAnsi="Arial"/>
            <w:sz w:val="18"/>
            <w:szCs w:val="18"/>
            <w:color w:val="000000"/>
          </w:rPr>
          <w:t>, and all amendments or reports filed for the purpose of updating such</w:t>
        </w:r>
      </w:hyperlink>
      <w:r>
        <w:rPr>
          <w:rFonts w:ascii="Arial" w:cs="Arial" w:eastAsia="Arial" w:hAnsi="Arial"/>
          <w:sz w:val="18"/>
          <w:szCs w:val="18"/>
          <w:color w:val="0000EE"/>
        </w:rPr>
        <w:t xml:space="preserve"> </w:t>
      </w:r>
      <w:r>
        <w:rPr>
          <w:rFonts w:ascii="Arial" w:cs="Arial" w:eastAsia="Arial" w:hAnsi="Arial"/>
          <w:sz w:val="18"/>
          <w:szCs w:val="18"/>
          <w:color w:val="000000"/>
        </w:rPr>
        <w:t>description.</w:t>
      </w:r>
    </w:p>
    <w:p>
      <w:pPr>
        <w:spacing w:after="0" w:line="122" w:lineRule="exact"/>
        <w:rPr>
          <w:rFonts w:ascii="Arial" w:cs="Arial" w:eastAsia="Arial" w:hAnsi="Arial"/>
          <w:sz w:val="18"/>
          <w:szCs w:val="18"/>
          <w:color w:val="auto"/>
        </w:rPr>
      </w:pPr>
    </w:p>
    <w:p>
      <w:pPr>
        <w:spacing w:after="0" w:line="242" w:lineRule="auto"/>
        <w:rPr>
          <w:sz w:val="20"/>
          <w:szCs w:val="20"/>
          <w:color w:val="auto"/>
        </w:rPr>
      </w:pPr>
      <w:r>
        <w:rPr>
          <w:rFonts w:ascii="Arial" w:cs="Arial" w:eastAsia="Arial" w:hAnsi="Arial"/>
          <w:sz w:val="16"/>
          <w:szCs w:val="16"/>
          <w:color w:val="auto"/>
        </w:rPr>
        <w:t>We also incorporate by reference into this prospectus supplement and the accompanying prospectus all documents (other than Current Reports furnished under Item 2.02 or Item 7.01 of Form 8-K and exhibits filed on such form that are related to such items) that are filed by us with the SEC pursuant to Sections 13(a), 13(c), 14 or 15(d) of the Exchange Act after the date of this prospectus supplement and until the completion or termination of the offering contemplated hereby. These documents include periodic reports, such as Annual Reports on Form 10-K, Quarterly Reports on Form 10-Q and Current Reports on Form 8-K.</w:t>
      </w:r>
    </w:p>
    <w:p>
      <w:pPr>
        <w:spacing w:after="0" w:line="54" w:lineRule="exact"/>
        <w:rPr>
          <w:rFonts w:ascii="Arial" w:cs="Arial" w:eastAsia="Arial" w:hAnsi="Arial"/>
          <w:sz w:val="18"/>
          <w:szCs w:val="18"/>
          <w:color w:val="auto"/>
        </w:rPr>
      </w:pPr>
    </w:p>
    <w:p>
      <w:pPr>
        <w:ind w:right="60"/>
        <w:spacing w:after="0" w:line="218" w:lineRule="auto"/>
        <w:rPr>
          <w:sz w:val="20"/>
          <w:szCs w:val="20"/>
          <w:color w:val="auto"/>
        </w:rPr>
      </w:pPr>
      <w:r>
        <w:rPr>
          <w:rFonts w:ascii="Arial" w:cs="Arial" w:eastAsia="Arial" w:hAnsi="Arial"/>
          <w:sz w:val="18"/>
          <w:szCs w:val="18"/>
          <w:color w:val="auto"/>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w:t>
      </w:r>
    </w:p>
    <w:p>
      <w:pPr>
        <w:spacing w:after="0" w:line="55" w:lineRule="exact"/>
        <w:rPr>
          <w:rFonts w:ascii="Arial" w:cs="Arial" w:eastAsia="Arial" w:hAnsi="Arial"/>
          <w:sz w:val="18"/>
          <w:szCs w:val="18"/>
          <w:color w:val="auto"/>
        </w:rPr>
      </w:pPr>
    </w:p>
    <w:p>
      <w:pPr>
        <w:ind w:right="120"/>
        <w:spacing w:after="0" w:line="239" w:lineRule="auto"/>
        <w:rPr>
          <w:sz w:val="20"/>
          <w:szCs w:val="20"/>
          <w:color w:val="auto"/>
        </w:rPr>
      </w:pPr>
      <w:r>
        <w:rPr>
          <w:rFonts w:ascii="Arial" w:cs="Arial" w:eastAsia="Arial" w:hAnsi="Arial"/>
          <w:sz w:val="16"/>
          <w:szCs w:val="16"/>
          <w:color w:val="auto"/>
        </w:rPr>
        <w:t>We make available, free of charge, through our website our Annual Reports on Form 10-K, Quarterly Reports on Form 10-Q, Current Reports on Form 8-K and amendments to those reports filed or furnished pursuant to Section 13(a), 13(c), 14 or 15(d) of the Exchange Act as soon as reasonably practicable after we electronically file such material with, or furnish it to, the SEC. You may also obtain, free of charge, a copy of any of these documents (other than exhibits to these documents, unless the exhibits are specifically incorporated by reference into these documents or referred to in this prospectus supplement or the accompanying prospectus) by writing or calling us at the following address and telephone number:</w:t>
      </w:r>
    </w:p>
    <w:p>
      <w:pPr>
        <w:spacing w:after="0" w:line="41"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Axsome Therapeutics, Inc.</w:t>
      </w:r>
    </w:p>
    <w:p>
      <w:pPr>
        <w:ind w:left="4360" w:right="4140" w:hanging="191"/>
        <w:spacing w:after="0" w:line="266" w:lineRule="auto"/>
        <w:tabs>
          <w:tab w:leader="none" w:pos="4484" w:val="left"/>
        </w:tabs>
        <w:numPr>
          <w:ilvl w:val="0"/>
          <w:numId w:val="8"/>
        </w:numPr>
        <w:rPr>
          <w:rFonts w:ascii="Arial" w:cs="Arial" w:eastAsia="Arial" w:hAnsi="Arial"/>
          <w:sz w:val="16"/>
          <w:szCs w:val="16"/>
          <w:color w:val="auto"/>
        </w:rPr>
      </w:pPr>
      <w:r>
        <w:rPr>
          <w:rFonts w:ascii="Arial" w:cs="Arial" w:eastAsia="Arial" w:hAnsi="Arial"/>
          <w:sz w:val="16"/>
          <w:szCs w:val="16"/>
          <w:color w:val="auto"/>
        </w:rPr>
        <w:t>Broadway 3rd Floor</w:t>
      </w:r>
    </w:p>
    <w:p>
      <w:pPr>
        <w:spacing w:after="0" w:line="100" w:lineRule="exact"/>
        <w:rPr>
          <w:rFonts w:ascii="Arial" w:cs="Arial" w:eastAsia="Arial" w:hAnsi="Arial"/>
          <w:sz w:val="18"/>
          <w:szCs w:val="18"/>
          <w:color w:val="auto"/>
        </w:rPr>
      </w:pPr>
    </w:p>
    <w:p>
      <w:pPr>
        <w:ind w:left="4520" w:right="4100" w:hanging="386"/>
        <w:spacing w:after="0" w:line="1076" w:lineRule="auto"/>
        <w:tabs>
          <w:tab w:leader="none" w:pos="4562" w:val="left"/>
        </w:tabs>
        <w:numPr>
          <w:ilvl w:val="0"/>
          <w:numId w:val="9"/>
        </w:numPr>
        <w:rPr>
          <w:rFonts w:ascii="Arial" w:cs="Arial" w:eastAsia="Arial" w:hAnsi="Arial"/>
          <w:sz w:val="16"/>
          <w:szCs w:val="16"/>
          <w:color w:val="auto"/>
        </w:rPr>
      </w:pPr>
      <w:r>
        <w:rPr>
          <w:rFonts w:ascii="Arial" w:cs="Arial" w:eastAsia="Arial" w:hAnsi="Arial"/>
          <w:sz w:val="16"/>
          <w:szCs w:val="16"/>
          <w:color w:val="auto"/>
        </w:rPr>
        <w:t>332-3241 S-18</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-1905</wp:posOffset>
            </wp:positionH>
            <wp:positionV relativeFrom="paragraph">
              <wp:posOffset>-81915</wp:posOffset>
            </wp:positionV>
            <wp:extent cx="596646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8">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60"/>
          </w:cols>
          <w:pgMar w:left="1260" w:top="114" w:right="127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1764030</wp:posOffset>
            </wp:positionH>
            <wp:positionV relativeFrom="paragraph">
              <wp:posOffset>136525</wp:posOffset>
            </wp:positionV>
            <wp:extent cx="2432685" cy="7512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9">
                      <a:extLst>
                        <a:ext uri="{28A0092B-C50C-407E-A947-70E740481C1C}"/>
                      </a:extLst>
                    </a:blip>
                    <a:srcRect/>
                    <a:stretch>
                      <a:fillRect/>
                    </a:stretch>
                  </pic:blipFill>
                  <pic:spPr bwMode="auto">
                    <a:xfrm>
                      <a:off x="0" y="0"/>
                      <a:ext cx="2432685" cy="751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jc w:val="center"/>
        <w:spacing w:after="0" w:line="202" w:lineRule="auto"/>
        <w:rPr>
          <w:sz w:val="20"/>
          <w:szCs w:val="20"/>
          <w:color w:val="auto"/>
        </w:rPr>
      </w:pPr>
      <w:r>
        <w:rPr>
          <w:rFonts w:ascii="Arial" w:cs="Arial" w:eastAsia="Arial" w:hAnsi="Arial"/>
          <w:sz w:val="18"/>
          <w:szCs w:val="18"/>
          <w:b w:val="1"/>
          <w:bCs w:val="1"/>
          <w:color w:val="auto"/>
        </w:rPr>
        <w:t>Common Stock</w:t>
      </w:r>
    </w:p>
    <w:p>
      <w:pPr>
        <w:jc w:val="center"/>
        <w:spacing w:after="0" w:line="203" w:lineRule="auto"/>
        <w:rPr>
          <w:sz w:val="20"/>
          <w:szCs w:val="20"/>
          <w:color w:val="auto"/>
        </w:rPr>
      </w:pPr>
      <w:r>
        <w:rPr>
          <w:rFonts w:ascii="Arial" w:cs="Arial" w:eastAsia="Arial" w:hAnsi="Arial"/>
          <w:sz w:val="18"/>
          <w:szCs w:val="18"/>
          <w:b w:val="1"/>
          <w:bCs w:val="1"/>
          <w:color w:val="auto"/>
        </w:rPr>
        <w:t>Preferred Stock</w:t>
      </w:r>
    </w:p>
    <w:p>
      <w:pPr>
        <w:jc w:val="center"/>
        <w:spacing w:after="0" w:line="202" w:lineRule="auto"/>
        <w:rPr>
          <w:sz w:val="20"/>
          <w:szCs w:val="20"/>
          <w:color w:val="auto"/>
        </w:rPr>
      </w:pPr>
      <w:r>
        <w:rPr>
          <w:rFonts w:ascii="Arial" w:cs="Arial" w:eastAsia="Arial" w:hAnsi="Arial"/>
          <w:sz w:val="18"/>
          <w:szCs w:val="18"/>
          <w:b w:val="1"/>
          <w:bCs w:val="1"/>
          <w:color w:val="auto"/>
        </w:rPr>
        <w:t>Warrants</w:t>
      </w:r>
    </w:p>
    <w:p>
      <w:pPr>
        <w:jc w:val="center"/>
        <w:spacing w:after="0" w:line="203" w:lineRule="auto"/>
        <w:rPr>
          <w:sz w:val="20"/>
          <w:szCs w:val="20"/>
          <w:color w:val="auto"/>
        </w:rPr>
      </w:pPr>
      <w:r>
        <w:rPr>
          <w:rFonts w:ascii="Arial" w:cs="Arial" w:eastAsia="Arial" w:hAnsi="Arial"/>
          <w:sz w:val="18"/>
          <w:szCs w:val="18"/>
          <w:b w:val="1"/>
          <w:bCs w:val="1"/>
          <w:color w:val="auto"/>
        </w:rPr>
        <w:t>Debt Securities</w:t>
      </w:r>
    </w:p>
    <w:p>
      <w:pPr>
        <w:jc w:val="center"/>
        <w:spacing w:after="0" w:line="203" w:lineRule="auto"/>
        <w:rPr>
          <w:sz w:val="20"/>
          <w:szCs w:val="20"/>
          <w:color w:val="auto"/>
        </w:rPr>
      </w:pPr>
      <w:r>
        <w:rPr>
          <w:rFonts w:ascii="Arial" w:cs="Arial" w:eastAsia="Arial" w:hAnsi="Arial"/>
          <w:sz w:val="18"/>
          <w:szCs w:val="18"/>
          <w:b w:val="1"/>
          <w:bCs w:val="1"/>
          <w:color w:val="auto"/>
        </w:rPr>
        <w:t>Rights to Purchase Common Stock, Preferred Stock,</w:t>
      </w:r>
    </w:p>
    <w:p>
      <w:pPr>
        <w:jc w:val="center"/>
        <w:spacing w:after="0" w:line="202" w:lineRule="auto"/>
        <w:rPr>
          <w:sz w:val="20"/>
          <w:szCs w:val="20"/>
          <w:color w:val="auto"/>
        </w:rPr>
      </w:pPr>
      <w:r>
        <w:rPr>
          <w:rFonts w:ascii="Arial" w:cs="Arial" w:eastAsia="Arial" w:hAnsi="Arial"/>
          <w:sz w:val="18"/>
          <w:szCs w:val="18"/>
          <w:b w:val="1"/>
          <w:bCs w:val="1"/>
          <w:color w:val="auto"/>
        </w:rPr>
        <w:t>Debt Securities or Units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55245</wp:posOffset>
            </wp:positionV>
            <wp:extent cx="14935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0">
                      <a:extLst>
                        <a:ext uri="{28A0092B-C50C-407E-A947-70E740481C1C}"/>
                      </a:extLst>
                    </a:blip>
                    <a:srcRect/>
                    <a:stretch>
                      <a:fillRect/>
                    </a:stretch>
                  </pic:blipFill>
                  <pic:spPr bwMode="auto">
                    <a:xfrm>
                      <a:off x="0" y="0"/>
                      <a:ext cx="1493520" cy="8255"/>
                    </a:xfrm>
                    <a:prstGeom prst="rect">
                      <a:avLst/>
                    </a:prstGeom>
                    <a:noFill/>
                  </pic:spPr>
                </pic:pic>
              </a:graphicData>
            </a:graphic>
          </wp:anchor>
        </w:drawing>
      </w:r>
    </w:p>
    <w:p>
      <w:pPr>
        <w:spacing w:after="0" w:line="16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may offer and sell from time to time our shares of common stock, shares of preferred stock, warrants, debt securities and rights to purchase common stock, preferred stock, debt securities or units, as well as units that include any of these securities.</w:t>
      </w:r>
    </w:p>
    <w:p>
      <w:pPr>
        <w:spacing w:after="0" w:line="125"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This prospectus provides you with a general description of the securities we may offer. Each time we offer securities pursuant to this prospectus, we will provide a prospectus supplement containing specific terms of the particular offering together with this prospectus. You should read this prospectus and the applicable prospectus supplement carefully before you invest in any securities. The prospectus supplement also may add, update or change information contained in this prospectus. This prospectus may not be used to offer and sell securities unless accompanied by the applicable prospectus supplement.</w:t>
      </w:r>
    </w:p>
    <w:p>
      <w:pPr>
        <w:spacing w:after="0" w:line="16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Our common stock is listed on the Nasdaq Global Market under the symbol “AXSM.” On December 3, 2019, the last reported sale price of our common stock on the Nasdaq Global Market was $45.61.</w:t>
      </w:r>
    </w:p>
    <w:p>
      <w:pPr>
        <w:spacing w:after="0" w:line="157" w:lineRule="exact"/>
        <w:rPr>
          <w:sz w:val="20"/>
          <w:szCs w:val="20"/>
          <w:color w:val="auto"/>
        </w:rPr>
      </w:pPr>
    </w:p>
    <w:p>
      <w:pPr>
        <w:ind w:right="80"/>
        <w:spacing w:after="0" w:line="219" w:lineRule="auto"/>
        <w:rPr>
          <w:sz w:val="20"/>
          <w:szCs w:val="20"/>
          <w:color w:val="auto"/>
        </w:rPr>
      </w:pPr>
      <w:r>
        <w:rPr>
          <w:rFonts w:ascii="Arial" w:cs="Arial" w:eastAsia="Arial" w:hAnsi="Arial"/>
          <w:sz w:val="18"/>
          <w:szCs w:val="18"/>
          <w:b w:val="1"/>
          <w:bCs w:val="1"/>
          <w:color w:val="auto"/>
        </w:rPr>
        <w:t>Investing in our securities involves significant risks. We strongly recommend that you read carefully the risks we describe in this prospectus and in any accompanying prospectus supplement, as well as the risk factors that are incorporated by reference into this prospectus from our filings made with the Securities and Exchange Commission. See “Risk Factors” on page 3 of this prospectus.</w:t>
      </w:r>
    </w:p>
    <w:p>
      <w:pPr>
        <w:spacing w:after="0" w:line="163" w:lineRule="exact"/>
        <w:rPr>
          <w:sz w:val="20"/>
          <w:szCs w:val="20"/>
          <w:color w:val="auto"/>
        </w:rPr>
      </w:pPr>
    </w:p>
    <w:p>
      <w:pPr>
        <w:ind w:right="20"/>
        <w:spacing w:after="0" w:line="218" w:lineRule="auto"/>
        <w:rPr>
          <w:sz w:val="20"/>
          <w:szCs w:val="20"/>
          <w:color w:val="auto"/>
        </w:rPr>
      </w:pPr>
      <w:r>
        <w:rPr>
          <w:rFonts w:ascii="Arial" w:cs="Arial" w:eastAsia="Arial" w:hAnsi="Arial"/>
          <w:sz w:val="18"/>
          <w:szCs w:val="18"/>
          <w:color w:val="auto"/>
        </w:rPr>
        <w:t>We may sell the securities directly to investors, or to or through underwriters or dealers, and also to other purchasers or through agents. The names of any underwriters or agents that are included in a sale of securities to you, and any applicable commissions or discounts, will be stated in an accompanying prospectus supplement. In addition, the underwriters, if any, may over-allot a portion of the securities.</w:t>
      </w:r>
    </w:p>
    <w:p>
      <w:pPr>
        <w:spacing w:after="0" w:line="158" w:lineRule="exact"/>
        <w:rPr>
          <w:sz w:val="20"/>
          <w:szCs w:val="20"/>
          <w:color w:val="auto"/>
        </w:rPr>
      </w:pPr>
    </w:p>
    <w:p>
      <w:pPr>
        <w:ind w:right="400"/>
        <w:spacing w:after="0" w:line="22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is December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722630</wp:posOffset>
            </wp:positionV>
            <wp:extent cx="596646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1">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80"/>
          </w:cols>
          <w:pgMar w:left="1260" w:top="114" w:right="125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7440" w:type="dxa"/>
            <w:vAlign w:val="bottom"/>
            <w:gridSpan w:val="17"/>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1960" w:type="dxa"/>
            <w:vAlign w:val="bottom"/>
          </w:tcPr>
          <w:p>
            <w:pPr>
              <w:spacing w:after="0"/>
              <w:rPr>
                <w:sz w:val="17"/>
                <w:szCs w:val="17"/>
                <w:color w:val="auto"/>
              </w:rPr>
            </w:pPr>
          </w:p>
        </w:tc>
      </w:tr>
      <w:tr>
        <w:trPr>
          <w:trHeight w:val="733"/>
        </w:trPr>
        <w:tc>
          <w:tcPr>
            <w:tcW w:w="760" w:type="dxa"/>
            <w:vAlign w:val="bottom"/>
            <w:tcBorders>
              <w:top w:val="single" w:sz="8" w:color="0563C1"/>
            </w:tcBorders>
          </w:tcPr>
          <w:p>
            <w:pPr>
              <w:spacing w:after="0"/>
              <w:rPr>
                <w:sz w:val="24"/>
                <w:szCs w:val="24"/>
                <w:color w:val="auto"/>
              </w:rPr>
            </w:pPr>
          </w:p>
        </w:tc>
        <w:tc>
          <w:tcPr>
            <w:tcW w:w="48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40" w:type="dxa"/>
            <w:vAlign w:val="bottom"/>
            <w:gridSpan w:val="3"/>
          </w:tcPr>
          <w:p>
            <w:pPr>
              <w:ind w:left="740"/>
              <w:spacing w:after="0"/>
              <w:rPr>
                <w:sz w:val="20"/>
                <w:szCs w:val="20"/>
                <w:color w:val="auto"/>
              </w:rPr>
            </w:pPr>
            <w:r>
              <w:rPr>
                <w:rFonts w:ascii="Arial" w:cs="Arial" w:eastAsia="Arial" w:hAnsi="Arial"/>
                <w:sz w:val="18"/>
                <w:szCs w:val="18"/>
                <w:b w:val="1"/>
                <w:bCs w:val="1"/>
                <w:color w:val="auto"/>
              </w:rPr>
              <w:t>TABLE OF CONTENTS</w:t>
            </w:r>
          </w:p>
        </w:tc>
        <w:tc>
          <w:tcPr>
            <w:tcW w:w="1960" w:type="dxa"/>
            <w:vAlign w:val="bottom"/>
          </w:tcPr>
          <w:p>
            <w:pPr>
              <w:spacing w:after="0"/>
              <w:rPr>
                <w:sz w:val="24"/>
                <w:szCs w:val="24"/>
                <w:color w:val="auto"/>
              </w:rPr>
            </w:pPr>
          </w:p>
        </w:tc>
      </w:tr>
      <w:tr>
        <w:trPr>
          <w:trHeight w:val="363"/>
        </w:trPr>
        <w:tc>
          <w:tcPr>
            <w:tcW w:w="222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ABOUT THIS PROSPECTUS</w:t>
              </w:r>
            </w:hyperlink>
          </w:p>
        </w:tc>
        <w:tc>
          <w:tcPr>
            <w:tcW w:w="5220" w:type="dxa"/>
            <w:vAlign w:val="bottom"/>
            <w:gridSpan w:val="8"/>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70"/>
        </w:trPr>
        <w:tc>
          <w:tcPr>
            <w:tcW w:w="252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26">
              <w:r>
                <w:rPr>
                  <w:rFonts w:ascii="Arial" w:cs="Arial" w:eastAsia="Arial" w:hAnsi="Arial"/>
                  <w:sz w:val="18"/>
                  <w:szCs w:val="18"/>
                  <w:color w:val="0000EE"/>
                  <w:w w:val="95"/>
                </w:rPr>
                <w:t>AXSOME THERAPEUTICS, INC</w:t>
              </w:r>
            </w:hyperlink>
          </w:p>
        </w:tc>
        <w:tc>
          <w:tcPr>
            <w:tcW w:w="4920" w:type="dxa"/>
            <w:vAlign w:val="bottom"/>
            <w:gridSpan w:val="6"/>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70"/>
        </w:trPr>
        <w:tc>
          <w:tcPr>
            <w:tcW w:w="124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RISK FACTORS</w:t>
              </w:r>
            </w:hyperlink>
          </w:p>
        </w:tc>
        <w:tc>
          <w:tcPr>
            <w:tcW w:w="6200" w:type="dxa"/>
            <w:vAlign w:val="bottom"/>
            <w:gridSpan w:val="15"/>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70"/>
        </w:trPr>
        <w:tc>
          <w:tcPr>
            <w:tcW w:w="2920" w:type="dxa"/>
            <w:vAlign w:val="bottom"/>
            <w:tcBorders>
              <w:bottom w:val="single" w:sz="8" w:color="0000EE"/>
            </w:tcBorders>
            <w:gridSpan w:val="13"/>
          </w:tcPr>
          <w:p>
            <w:pPr>
              <w:spacing w:after="0"/>
              <w:rPr>
                <w:rFonts w:ascii="Arial" w:cs="Arial" w:eastAsia="Arial" w:hAnsi="Arial"/>
                <w:sz w:val="18"/>
                <w:szCs w:val="18"/>
                <w:color w:val="0000EE"/>
                <w:w w:val="94"/>
              </w:rPr>
            </w:pPr>
            <w:hyperlink w:anchor="page28">
              <w:r>
                <w:rPr>
                  <w:rFonts w:ascii="Arial" w:cs="Arial" w:eastAsia="Arial" w:hAnsi="Arial"/>
                  <w:sz w:val="18"/>
                  <w:szCs w:val="18"/>
                  <w:color w:val="0000EE"/>
                  <w:w w:val="94"/>
                </w:rPr>
                <w:t>FORWARD-LOOKING STATEMENTS</w:t>
              </w:r>
            </w:hyperlink>
          </w:p>
        </w:tc>
        <w:tc>
          <w:tcPr>
            <w:tcW w:w="4520" w:type="dxa"/>
            <w:vAlign w:val="bottom"/>
            <w:gridSpan w:val="4"/>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70"/>
        </w:trPr>
        <w:tc>
          <w:tcPr>
            <w:tcW w:w="7440" w:type="dxa"/>
            <w:vAlign w:val="bottom"/>
            <w:gridSpan w:val="17"/>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USE OF PROCEEDS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7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70"/>
        </w:trPr>
        <w:tc>
          <w:tcPr>
            <w:tcW w:w="7440" w:type="dxa"/>
            <w:vAlign w:val="bottom"/>
            <w:gridSpan w:val="1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DESCRIPTION OF CAPITAL STOCK</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70"/>
        </w:trPr>
        <w:tc>
          <w:tcPr>
            <w:tcW w:w="2840" w:type="dxa"/>
            <w:vAlign w:val="bottom"/>
            <w:tcBorders>
              <w:top w:val="single" w:sz="8" w:color="0000EE"/>
            </w:tcBorders>
            <w:gridSpan w:val="1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DESCRIPTION OF WARRANTS</w:t>
              </w:r>
            </w:hyperlink>
          </w:p>
        </w:tc>
        <w:tc>
          <w:tcPr>
            <w:tcW w:w="4600" w:type="dxa"/>
            <w:vAlign w:val="bottom"/>
            <w:gridSpan w:val="5"/>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7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70"/>
        </w:trPr>
        <w:tc>
          <w:tcPr>
            <w:tcW w:w="7440" w:type="dxa"/>
            <w:vAlign w:val="bottom"/>
            <w:gridSpan w:val="1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DESCRIPTION OF DEBT SECURITIES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70"/>
        </w:trPr>
        <w:tc>
          <w:tcPr>
            <w:tcW w:w="3000" w:type="dxa"/>
            <w:vAlign w:val="bottom"/>
            <w:tcBorders>
              <w:top w:val="single" w:sz="8" w:color="0000EE"/>
            </w:tcBorders>
            <w:gridSpan w:val="14"/>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DESCRIPTION OF RIGHTS</w:t>
              </w:r>
            </w:hyperlink>
          </w:p>
        </w:tc>
        <w:tc>
          <w:tcPr>
            <w:tcW w:w="4440" w:type="dxa"/>
            <w:vAlign w:val="bottom"/>
            <w:gridSpan w:val="3"/>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70"/>
        </w:trPr>
        <w:tc>
          <w:tcPr>
            <w:tcW w:w="2120" w:type="dxa"/>
            <w:vAlign w:val="bottom"/>
            <w:tcBorders>
              <w:top w:val="single" w:sz="8" w:color="0000EE"/>
            </w:tcBorders>
            <w:gridSpan w:val="8"/>
          </w:tcPr>
          <w:p>
            <w:pPr>
              <w:spacing w:after="0"/>
              <w:rPr>
                <w:rFonts w:ascii="Arial" w:cs="Arial" w:eastAsia="Arial" w:hAnsi="Arial"/>
                <w:sz w:val="18"/>
                <w:szCs w:val="18"/>
                <w:color w:val="0000EE"/>
                <w:w w:val="99"/>
              </w:rPr>
            </w:pPr>
            <w:hyperlink w:anchor="page44">
              <w:r>
                <w:rPr>
                  <w:rFonts w:ascii="Arial" w:cs="Arial" w:eastAsia="Arial" w:hAnsi="Arial"/>
                  <w:sz w:val="18"/>
                  <w:szCs w:val="18"/>
                  <w:color w:val="0000EE"/>
                  <w:w w:val="99"/>
                </w:rPr>
                <w:t>DESCRIPTION OF UNITS</w:t>
              </w:r>
            </w:hyperlink>
          </w:p>
        </w:tc>
        <w:tc>
          <w:tcPr>
            <w:tcW w:w="5320" w:type="dxa"/>
            <w:vAlign w:val="bottom"/>
            <w:gridSpan w:val="9"/>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7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70"/>
        </w:trPr>
        <w:tc>
          <w:tcPr>
            <w:tcW w:w="204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44">
              <w:r>
                <w:rPr>
                  <w:rFonts w:ascii="Arial" w:cs="Arial" w:eastAsia="Arial" w:hAnsi="Arial"/>
                  <w:sz w:val="18"/>
                  <w:szCs w:val="18"/>
                  <w:color w:val="0000EE"/>
                  <w:w w:val="96"/>
                </w:rPr>
                <w:t>PLAN OF DISTRIBUTION</w:t>
              </w:r>
            </w:hyperlink>
          </w:p>
        </w:tc>
        <w:tc>
          <w:tcPr>
            <w:tcW w:w="5400" w:type="dxa"/>
            <w:vAlign w:val="bottom"/>
            <w:gridSpan w:val="10"/>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70"/>
        </w:trPr>
        <w:tc>
          <w:tcPr>
            <w:tcW w:w="7440" w:type="dxa"/>
            <w:vAlign w:val="bottom"/>
            <w:gridSpan w:val="1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LEGAL MATTERS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70"/>
        </w:trPr>
        <w:tc>
          <w:tcPr>
            <w:tcW w:w="1440" w:type="dxa"/>
            <w:vAlign w:val="bottom"/>
            <w:tcBorders>
              <w:top w:val="single" w:sz="8" w:color="0000EE"/>
            </w:tcBorders>
            <w:gridSpan w:val="4"/>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EXPERTS</w:t>
              </w:r>
            </w:hyperlink>
          </w:p>
        </w:tc>
        <w:tc>
          <w:tcPr>
            <w:tcW w:w="6000" w:type="dxa"/>
            <w:vAlign w:val="bottom"/>
            <w:gridSpan w:val="13"/>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1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70"/>
        </w:trPr>
        <w:tc>
          <w:tcPr>
            <w:tcW w:w="3800" w:type="dxa"/>
            <w:vAlign w:val="bottom"/>
            <w:tcBorders>
              <w:bottom w:val="single" w:sz="8" w:color="0000EE"/>
            </w:tcBorders>
            <w:gridSpan w:val="15"/>
          </w:tcPr>
          <w:p>
            <w:pPr>
              <w:spacing w:after="0"/>
              <w:rPr>
                <w:rFonts w:ascii="Arial" w:cs="Arial" w:eastAsia="Arial" w:hAnsi="Arial"/>
                <w:sz w:val="18"/>
                <w:szCs w:val="18"/>
                <w:color w:val="0000EE"/>
                <w:w w:val="96"/>
              </w:rPr>
            </w:pPr>
            <w:hyperlink w:anchor="page46">
              <w:r>
                <w:rPr>
                  <w:rFonts w:ascii="Arial" w:cs="Arial" w:eastAsia="Arial" w:hAnsi="Arial"/>
                  <w:sz w:val="18"/>
                  <w:szCs w:val="18"/>
                  <w:color w:val="0000EE"/>
                  <w:w w:val="96"/>
                </w:rPr>
                <w:t>WHERE YOU CAN FIND MORE INFORMATION</w:t>
              </w:r>
            </w:hyperlink>
          </w:p>
        </w:tc>
        <w:tc>
          <w:tcPr>
            <w:tcW w:w="3640" w:type="dxa"/>
            <w:vAlign w:val="bottom"/>
            <w:gridSpan w:val="2"/>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70"/>
        </w:trPr>
        <w:tc>
          <w:tcPr>
            <w:tcW w:w="7440" w:type="dxa"/>
            <w:vAlign w:val="bottom"/>
            <w:gridSpan w:val="1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INFORMATION INCORPORATED BY REFERENCE</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1896"/>
        </w:trPr>
        <w:tc>
          <w:tcPr>
            <w:tcW w:w="76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0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r>
    </w:tbl>
    <w:p>
      <w:pPr>
        <w:sectPr>
          <w:pgSz w:w="11900" w:h="16838" w:orient="portrait"/>
          <w:cols w:equalWidth="0" w:num="1">
            <w:col w:w="9400"/>
          </w:cols>
          <w:pgMar w:left="1260" w:top="94" w:right="123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87" w:lineRule="exact"/>
        <w:rPr>
          <w:sz w:val="20"/>
          <w:szCs w:val="20"/>
          <w:color w:val="auto"/>
        </w:rPr>
      </w:pPr>
    </w:p>
    <w:p>
      <w:pPr>
        <w:spacing w:after="0" w:line="181" w:lineRule="exact"/>
        <w:rPr>
          <w:sz w:val="20"/>
          <w:szCs w:val="20"/>
          <w:color w:val="auto"/>
        </w:rPr>
      </w:pPr>
      <w:r>
        <w:rPr>
          <w:rFonts w:ascii="Arial" w:cs="Arial" w:eastAsia="Arial" w:hAnsi="Arial"/>
          <w:sz w:val="16"/>
          <w:szCs w:val="16"/>
          <w:color w:val="auto"/>
        </w:rPr>
        <w:t>This prospectus is part of an automatic “shelf” registration statement on Form S</w:t>
      </w:r>
      <w:r>
        <w:rPr>
          <w:rFonts w:ascii="MS PGothic" w:cs="MS PGothic" w:eastAsia="MS PGothic" w:hAnsi="MS PGothic"/>
          <w:sz w:val="16"/>
          <w:szCs w:val="16"/>
          <w:color w:val="auto"/>
        </w:rPr>
        <w:t>‑</w:t>
      </w:r>
      <w:r>
        <w:rPr>
          <w:rFonts w:ascii="Arial" w:cs="Arial" w:eastAsia="Arial" w:hAnsi="Arial"/>
          <w:sz w:val="16"/>
          <w:szCs w:val="16"/>
          <w:color w:val="auto"/>
        </w:rPr>
        <w:t>3ASR that we filed with the Securities and Exchange Commission, or the SEC, as a “well-known seasoned issuer” as defined in Rule 405 under the Securities Act of 1933, as amended, or the Securities Act. Under this shelf registration process, we may offer and sell from time to time any combination of the securities described in this prospectus in one or more offerings in amounts, at prices and on terms that we determine at the time of the offering. This prospectus provides you with a general description of the securities we may offer. Each time we offer securities under this registration statement we will provide a prospectus supplement that describes the terms of the relevant offering. The prospectus supplement also may add, update or change information contained in this prospectus. Before making an investment decision, you should read carefully both this prospectus and any prospectus supplement together with the documents incorporated by reference into this prospectus as described below under the heading “Information Incorporated by Reference.”</w:t>
      </w:r>
    </w:p>
    <w:p>
      <w:pPr>
        <w:spacing w:after="0" w:line="167" w:lineRule="exact"/>
        <w:rPr>
          <w:sz w:val="20"/>
          <w:szCs w:val="20"/>
          <w:color w:val="auto"/>
        </w:rPr>
      </w:pPr>
    </w:p>
    <w:p>
      <w:pPr>
        <w:ind w:right="180"/>
        <w:spacing w:after="0" w:line="257" w:lineRule="auto"/>
        <w:rPr>
          <w:sz w:val="20"/>
          <w:szCs w:val="20"/>
          <w:color w:val="auto"/>
        </w:rPr>
      </w:pPr>
      <w:r>
        <w:rPr>
          <w:rFonts w:ascii="Arial" w:cs="Arial" w:eastAsia="Arial" w:hAnsi="Arial"/>
          <w:sz w:val="16"/>
          <w:szCs w:val="16"/>
          <w:color w:val="auto"/>
        </w:rPr>
        <w:t>The registration statement that contains this prospectus, including the exhibits to the registration statement and the information incorporated by reference, provides additional information about us and our securities. That registration statement can be read at the SEC website (www.sec.gov), as discussed below under the heading “Where You Can Find More Information.”</w:t>
      </w:r>
    </w:p>
    <w:p>
      <w:pPr>
        <w:spacing w:after="0" w:line="148" w:lineRule="exact"/>
        <w:rPr>
          <w:sz w:val="20"/>
          <w:szCs w:val="20"/>
          <w:color w:val="auto"/>
        </w:rPr>
      </w:pPr>
    </w:p>
    <w:p>
      <w:pPr>
        <w:ind w:right="100"/>
        <w:spacing w:after="0" w:line="213" w:lineRule="auto"/>
        <w:rPr>
          <w:sz w:val="20"/>
          <w:szCs w:val="20"/>
          <w:color w:val="auto"/>
        </w:rPr>
      </w:pPr>
      <w:r>
        <w:rPr>
          <w:rFonts w:ascii="Arial" w:cs="Arial" w:eastAsia="Arial" w:hAnsi="Arial"/>
          <w:sz w:val="18"/>
          <w:szCs w:val="18"/>
          <w:color w:val="auto"/>
        </w:rPr>
        <w:t>You should rely only on the information provided in the registration statement, this prospectus and in any prospectus supplement, including the information incorporated by reference. We have not authorized anyone to provide you with different information. You should not assume that the information in this prospectus or any supplement to this prospectus is accurate at any date other than the date indicated on the cover page of these documents or the filing date of any document incorporated by reference, regardless of its time of delivery. We are not making an offer to sell the securities in any jurisdiction where the offer or sale is not permitted.</w:t>
      </w:r>
    </w:p>
    <w:p>
      <w:pPr>
        <w:spacing w:after="0" w:line="161"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We may sell our securities to or through underwriters, initial purchasers, dealers or agents, directly to purchasers or through a combination of any of these methods of sale, as designated from time to time. We and our agents reserve the sole right to accept or reject in whole or in part any proposed purchase of our securities. An applicable prospectus supplement, which we will provide each time we offer the securities, will set forth the names of any underwriters, initial purchasers, dealers or agents involved in the sale of our securities, and any related fee, commission or discount arrangements. See “Plan of Distribution.”</w:t>
      </w:r>
    </w:p>
    <w:p>
      <w:pPr>
        <w:spacing w:after="0" w:line="161"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The terms “Axsome,” the “Company,” “our,” “us” and “we,” as used in this prospectus, refer to Axsome Therapeutics, Inc., unless we state otherwise or the context indicates otherwise.</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2">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80"/>
          </w:cols>
          <w:pgMar w:left="1260" w:top="114" w:right="125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spacing w:after="0" w:line="187"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We are a clinical-stage biopharmaceutical company developing novel therapies for the management of central nervous system, or CNS, disorders for which there are limited treatment options. By focusing on this therapeutic area, we are addressing significant and growing markets where current treatment options are limited or inadequate. Our core CNS portfolio includes four CNS product candidates, AXS</w:t>
      </w:r>
      <w:r>
        <w:rPr>
          <w:rFonts w:ascii="MS PGothic" w:cs="MS PGothic" w:eastAsia="MS PGothic" w:hAnsi="MS PGothic"/>
          <w:sz w:val="16"/>
          <w:szCs w:val="16"/>
          <w:color w:val="auto"/>
        </w:rPr>
        <w:t>‑</w:t>
      </w:r>
      <w:r>
        <w:rPr>
          <w:rFonts w:ascii="Arial" w:cs="Arial" w:eastAsia="Arial" w:hAnsi="Arial"/>
          <w:sz w:val="16"/>
          <w:szCs w:val="16"/>
          <w:color w:val="auto"/>
        </w:rPr>
        <w:t>05, AXS</w:t>
      </w:r>
      <w:r>
        <w:rPr>
          <w:rFonts w:ascii="MS PGothic" w:cs="MS PGothic" w:eastAsia="MS PGothic" w:hAnsi="MS PGothic"/>
          <w:sz w:val="16"/>
          <w:szCs w:val="16"/>
          <w:color w:val="auto"/>
        </w:rPr>
        <w:t>‑</w:t>
      </w:r>
      <w:r>
        <w:rPr>
          <w:rFonts w:ascii="Arial" w:cs="Arial" w:eastAsia="Arial" w:hAnsi="Arial"/>
          <w:sz w:val="16"/>
          <w:szCs w:val="16"/>
          <w:color w:val="auto"/>
        </w:rPr>
        <w:t>07, AXS</w:t>
      </w:r>
      <w:r>
        <w:rPr>
          <w:rFonts w:ascii="MS PGothic" w:cs="MS PGothic" w:eastAsia="MS PGothic" w:hAnsi="MS PGothic"/>
          <w:sz w:val="16"/>
          <w:szCs w:val="16"/>
          <w:color w:val="auto"/>
        </w:rPr>
        <w:t>‑</w:t>
      </w:r>
      <w:r>
        <w:rPr>
          <w:rFonts w:ascii="Arial" w:cs="Arial" w:eastAsia="Arial" w:hAnsi="Arial"/>
          <w:sz w:val="16"/>
          <w:szCs w:val="16"/>
          <w:color w:val="auto"/>
        </w:rPr>
        <w:t>09, and AXS</w:t>
      </w:r>
      <w:r>
        <w:rPr>
          <w:rFonts w:ascii="MS PGothic" w:cs="MS PGothic" w:eastAsia="MS PGothic" w:hAnsi="MS PGothic"/>
          <w:sz w:val="16"/>
          <w:szCs w:val="16"/>
          <w:color w:val="auto"/>
        </w:rPr>
        <w:t>‑</w:t>
      </w:r>
      <w:r>
        <w:rPr>
          <w:rFonts w:ascii="Arial" w:cs="Arial" w:eastAsia="Arial" w:hAnsi="Arial"/>
          <w:sz w:val="16"/>
          <w:szCs w:val="16"/>
          <w:color w:val="auto"/>
        </w:rPr>
        <w:t>12, which are being developed for multiple indications. AXS</w:t>
      </w:r>
      <w:r>
        <w:rPr>
          <w:rFonts w:ascii="MS PGothic" w:cs="MS PGothic" w:eastAsia="MS PGothic" w:hAnsi="MS PGothic"/>
          <w:sz w:val="16"/>
          <w:szCs w:val="16"/>
          <w:color w:val="auto"/>
        </w:rPr>
        <w:t>‑</w:t>
      </w:r>
      <w:r>
        <w:rPr>
          <w:rFonts w:ascii="Arial" w:cs="Arial" w:eastAsia="Arial" w:hAnsi="Arial"/>
          <w:sz w:val="16"/>
          <w:szCs w:val="16"/>
          <w:color w:val="auto"/>
        </w:rPr>
        <w:t>05 is currently in a Phase 3 trial in treatment resistant depression, or TRD, which we refer to as the STRIDE</w:t>
      </w:r>
      <w:r>
        <w:rPr>
          <w:rFonts w:ascii="MS PGothic" w:cs="MS PGothic" w:eastAsia="MS PGothic" w:hAnsi="MS PGothic"/>
          <w:sz w:val="16"/>
          <w:szCs w:val="16"/>
          <w:color w:val="auto"/>
        </w:rPr>
        <w:t>‑</w:t>
      </w:r>
      <w:r>
        <w:rPr>
          <w:rFonts w:ascii="Arial" w:cs="Arial" w:eastAsia="Arial" w:hAnsi="Arial"/>
          <w:sz w:val="16"/>
          <w:szCs w:val="16"/>
          <w:color w:val="auto"/>
        </w:rPr>
        <w:t>1 study, a Phase 3 trial in major depressive disorder, or MDD, which we refer to as the GEMINI study, a Phase 3 open-label safety trial in patients with TRD and MDD; and a Phase 2/3 trial in agitation associated with Alzheimer’s disease, or AD, which we refer to as the ADVANCE</w:t>
      </w:r>
      <w:r>
        <w:rPr>
          <w:rFonts w:ascii="MS PGothic" w:cs="MS PGothic" w:eastAsia="MS PGothic" w:hAnsi="MS PGothic"/>
          <w:sz w:val="16"/>
          <w:szCs w:val="16"/>
          <w:color w:val="auto"/>
        </w:rPr>
        <w:t>‑</w:t>
      </w:r>
      <w:r>
        <w:rPr>
          <w:rFonts w:ascii="Arial" w:cs="Arial" w:eastAsia="Arial" w:hAnsi="Arial"/>
          <w:sz w:val="16"/>
          <w:szCs w:val="16"/>
          <w:color w:val="auto"/>
        </w:rPr>
        <w:t>1 study. We have completed a Phase 2 trial in MDD, which we refer to as the ASCEND study and a Phase 2 trial in smoking cessation. AXS</w:t>
      </w:r>
      <w:r>
        <w:rPr>
          <w:rFonts w:ascii="MS PGothic" w:cs="MS PGothic" w:eastAsia="MS PGothic" w:hAnsi="MS PGothic"/>
          <w:sz w:val="16"/>
          <w:szCs w:val="16"/>
          <w:color w:val="auto"/>
        </w:rPr>
        <w:t>‑</w:t>
      </w:r>
      <w:r>
        <w:rPr>
          <w:rFonts w:ascii="Arial" w:cs="Arial" w:eastAsia="Arial" w:hAnsi="Arial"/>
          <w:sz w:val="16"/>
          <w:szCs w:val="16"/>
          <w:color w:val="auto"/>
        </w:rPr>
        <w:t xml:space="preserve">07 is currently in two Phase 3 trials for the acute treatment of migraine, which we refer to as the MOMENTUM and the INTERCEPT studies, and a Phase 3 open-label safety trial in patients with migraine. AXS </w:t>
      </w:r>
      <w:r>
        <w:rPr>
          <w:rFonts w:ascii="MS PGothic" w:cs="MS PGothic" w:eastAsia="MS PGothic" w:hAnsi="MS PGothic"/>
          <w:sz w:val="16"/>
          <w:szCs w:val="16"/>
          <w:color w:val="auto"/>
        </w:rPr>
        <w:t>‑</w:t>
      </w:r>
      <w:r>
        <w:rPr>
          <w:rFonts w:ascii="Arial" w:cs="Arial" w:eastAsia="Arial" w:hAnsi="Arial"/>
          <w:sz w:val="16"/>
          <w:szCs w:val="16"/>
          <w:color w:val="auto"/>
        </w:rPr>
        <w:t>12 is being developed for the treatment of narcolepsy. We have completed a Phase 2 trial, which we refer to as the CONCERT study. The Axsome Pain and Primary Care business unit, or Axsome PPC, houses our pain and primary care assets, including AXS</w:t>
      </w:r>
      <w:r>
        <w:rPr>
          <w:rFonts w:ascii="MS PGothic" w:cs="MS PGothic" w:eastAsia="MS PGothic" w:hAnsi="MS PGothic"/>
          <w:sz w:val="16"/>
          <w:szCs w:val="16"/>
          <w:color w:val="auto"/>
        </w:rPr>
        <w:t>‑</w:t>
      </w:r>
      <w:r>
        <w:rPr>
          <w:rFonts w:ascii="Arial" w:cs="Arial" w:eastAsia="Arial" w:hAnsi="Arial"/>
          <w:sz w:val="16"/>
          <w:szCs w:val="16"/>
          <w:color w:val="auto"/>
        </w:rPr>
        <w:t>02 and AXS</w:t>
      </w:r>
      <w:r>
        <w:rPr>
          <w:rFonts w:ascii="MS PGothic" w:cs="MS PGothic" w:eastAsia="MS PGothic" w:hAnsi="MS PGothic"/>
          <w:sz w:val="16"/>
          <w:szCs w:val="16"/>
          <w:color w:val="auto"/>
        </w:rPr>
        <w:t>‑</w:t>
      </w:r>
      <w:r>
        <w:rPr>
          <w:rFonts w:ascii="Arial" w:cs="Arial" w:eastAsia="Arial" w:hAnsi="Arial"/>
          <w:sz w:val="16"/>
          <w:szCs w:val="16"/>
          <w:color w:val="auto"/>
        </w:rPr>
        <w:t>06, and intellectual property which covers these and related product candidates and molecules being developed by us and others. AXS</w:t>
      </w:r>
      <w:r>
        <w:rPr>
          <w:rFonts w:ascii="MS PGothic" w:cs="MS PGothic" w:eastAsia="MS PGothic" w:hAnsi="MS PGothic"/>
          <w:sz w:val="16"/>
          <w:szCs w:val="16"/>
          <w:color w:val="auto"/>
        </w:rPr>
        <w:t>‑</w:t>
      </w:r>
      <w:r>
        <w:rPr>
          <w:rFonts w:ascii="Arial" w:cs="Arial" w:eastAsia="Arial" w:hAnsi="Arial"/>
          <w:sz w:val="16"/>
          <w:szCs w:val="16"/>
          <w:color w:val="auto"/>
        </w:rPr>
        <w:t>02 is being developed for the treatment of knee osteoarthritis, or OA, associated with bone marrow lesions, or BMLs. AXS</w:t>
      </w:r>
      <w:r>
        <w:rPr>
          <w:rFonts w:ascii="MS PGothic" w:cs="MS PGothic" w:eastAsia="MS PGothic" w:hAnsi="MS PGothic"/>
          <w:sz w:val="16"/>
          <w:szCs w:val="16"/>
          <w:color w:val="auto"/>
        </w:rPr>
        <w:t>‑</w:t>
      </w:r>
      <w:r>
        <w:rPr>
          <w:rFonts w:ascii="Arial" w:cs="Arial" w:eastAsia="Arial" w:hAnsi="Arial"/>
          <w:sz w:val="16"/>
          <w:szCs w:val="16"/>
          <w:color w:val="auto"/>
        </w:rPr>
        <w:t>06 is being developed for the treatment of osteoarthritis and rheumatoid arthritis and for the reduction of the risk of nonsteroidal anti-inflammatory drug, or NSAID, associated gastrointestinal ulcers. Additionally, we are currently evaluating other product candidates, which we intend to develop for CNS disorders. We aim to become a fully integrated biopharmaceutical company that develops and commercializes differentiated therapies that expand the treatment options available to caregivers and improve the lives of patients living with CNS disorders.</w:t>
      </w:r>
    </w:p>
    <w:p>
      <w:pPr>
        <w:spacing w:after="0" w:line="224" w:lineRule="exact"/>
        <w:rPr>
          <w:sz w:val="20"/>
          <w:szCs w:val="20"/>
          <w:color w:val="auto"/>
        </w:rPr>
      </w:pPr>
    </w:p>
    <w:p>
      <w:pPr>
        <w:ind w:right="40"/>
        <w:spacing w:after="0" w:line="181" w:lineRule="exact"/>
        <w:rPr>
          <w:sz w:val="20"/>
          <w:szCs w:val="20"/>
          <w:color w:val="auto"/>
        </w:rPr>
      </w:pPr>
      <w:r>
        <w:rPr>
          <w:rFonts w:ascii="Arial" w:cs="Arial" w:eastAsia="Arial" w:hAnsi="Arial"/>
          <w:sz w:val="17"/>
          <w:szCs w:val="17"/>
          <w:color w:val="auto"/>
        </w:rPr>
        <w:t>AXS</w:t>
      </w:r>
      <w:r>
        <w:rPr>
          <w:rFonts w:ascii="MS PGothic" w:cs="MS PGothic" w:eastAsia="MS PGothic" w:hAnsi="MS PGothic"/>
          <w:sz w:val="17"/>
          <w:szCs w:val="17"/>
          <w:color w:val="auto"/>
        </w:rPr>
        <w:t>‑</w:t>
      </w:r>
      <w:r>
        <w:rPr>
          <w:rFonts w:ascii="Arial" w:cs="Arial" w:eastAsia="Arial" w:hAnsi="Arial"/>
          <w:sz w:val="17"/>
          <w:szCs w:val="17"/>
          <w:color w:val="auto"/>
        </w:rPr>
        <w:t>05 is a novel, oral, investigational NMDA receptor antagonist with multimodal activity under development for the treatment of CNS disorders. AXS</w:t>
      </w:r>
      <w:r>
        <w:rPr>
          <w:rFonts w:ascii="MS PGothic" w:cs="MS PGothic" w:eastAsia="MS PGothic" w:hAnsi="MS PGothic"/>
          <w:sz w:val="17"/>
          <w:szCs w:val="17"/>
          <w:color w:val="auto"/>
        </w:rPr>
        <w:t>‑</w:t>
      </w:r>
      <w:r>
        <w:rPr>
          <w:rFonts w:ascii="Arial" w:cs="Arial" w:eastAsia="Arial" w:hAnsi="Arial"/>
          <w:sz w:val="17"/>
          <w:szCs w:val="17"/>
          <w:color w:val="auto"/>
        </w:rPr>
        <w:t>05 consists of bupropion and dextromethorphan, or DM, and utilizes our metabolic inhibition technology. We are developing AXS</w:t>
      </w:r>
      <w:r>
        <w:rPr>
          <w:rFonts w:ascii="MS PGothic" w:cs="MS PGothic" w:eastAsia="MS PGothic" w:hAnsi="MS PGothic"/>
          <w:sz w:val="17"/>
          <w:szCs w:val="17"/>
          <w:color w:val="auto"/>
        </w:rPr>
        <w:t>‑</w:t>
      </w:r>
      <w:r>
        <w:rPr>
          <w:rFonts w:ascii="Arial" w:cs="Arial" w:eastAsia="Arial" w:hAnsi="Arial"/>
          <w:sz w:val="17"/>
          <w:szCs w:val="17"/>
          <w:color w:val="auto"/>
        </w:rPr>
        <w:t>05 initially for the following four indications: TRD, agitation associated with AD, MDD, and as an aid to smoking cessation. The DM component of AXS</w:t>
      </w:r>
      <w:r>
        <w:rPr>
          <w:rFonts w:ascii="MS PGothic" w:cs="MS PGothic" w:eastAsia="MS PGothic" w:hAnsi="MS PGothic"/>
          <w:sz w:val="17"/>
          <w:szCs w:val="17"/>
          <w:color w:val="auto"/>
        </w:rPr>
        <w:t>‑</w:t>
      </w:r>
      <w:r>
        <w:rPr>
          <w:rFonts w:ascii="Arial" w:cs="Arial" w:eastAsia="Arial" w:hAnsi="Arial"/>
          <w:sz w:val="17"/>
          <w:szCs w:val="17"/>
          <w:color w:val="auto"/>
        </w:rPr>
        <w:t>05 is a non-competitive N-methyl-D-aspartate, or NMDA, receptor antagonist, also known as a glutamate receptor modulator. The DM component of AXS</w:t>
      </w:r>
      <w:r>
        <w:rPr>
          <w:rFonts w:ascii="MS PGothic" w:cs="MS PGothic" w:eastAsia="MS PGothic" w:hAnsi="MS PGothic"/>
          <w:sz w:val="17"/>
          <w:szCs w:val="17"/>
          <w:color w:val="auto"/>
        </w:rPr>
        <w:t>‑</w:t>
      </w:r>
      <w:r>
        <w:rPr>
          <w:rFonts w:ascii="Arial" w:cs="Arial" w:eastAsia="Arial" w:hAnsi="Arial"/>
          <w:sz w:val="17"/>
          <w:szCs w:val="17"/>
          <w:color w:val="auto"/>
        </w:rPr>
        <w:t>05 is also a sigma</w:t>
      </w:r>
      <w:r>
        <w:rPr>
          <w:rFonts w:ascii="MS PGothic" w:cs="MS PGothic" w:eastAsia="MS PGothic" w:hAnsi="MS PGothic"/>
          <w:sz w:val="17"/>
          <w:szCs w:val="17"/>
          <w:color w:val="auto"/>
        </w:rPr>
        <w:t>‑</w:t>
      </w:r>
      <w:r>
        <w:rPr>
          <w:rFonts w:ascii="Arial" w:cs="Arial" w:eastAsia="Arial" w:hAnsi="Arial"/>
          <w:sz w:val="17"/>
          <w:szCs w:val="17"/>
          <w:color w:val="auto"/>
        </w:rPr>
        <w:t>1 receptor agonist, nicotinic acetylcholine receptor antagonist, and inhibitor of the serotonin and norepinephrine transporters. The bupropion component of AXS</w:t>
      </w:r>
      <w:r>
        <w:rPr>
          <w:rFonts w:ascii="MS PGothic" w:cs="MS PGothic" w:eastAsia="MS PGothic" w:hAnsi="MS PGothic"/>
          <w:sz w:val="17"/>
          <w:szCs w:val="17"/>
          <w:color w:val="auto"/>
        </w:rPr>
        <w:t>‑</w:t>
      </w:r>
      <w:r>
        <w:rPr>
          <w:rFonts w:ascii="Arial" w:cs="Arial" w:eastAsia="Arial" w:hAnsi="Arial"/>
          <w:sz w:val="17"/>
          <w:szCs w:val="17"/>
          <w:color w:val="auto"/>
        </w:rPr>
        <w:t>05 serves to increase the bioavailability of dextromethorphan, and is a norepinephrine and dopamine reuptake inhibitor, and a nicotinic acetylcholine receptor antagonist. We intend to seek U.S. Food and Drug Administration, or FDA, approval for AXS</w:t>
      </w:r>
      <w:r>
        <w:rPr>
          <w:rFonts w:ascii="MS PGothic" w:cs="MS PGothic" w:eastAsia="MS PGothic" w:hAnsi="MS PGothic"/>
          <w:sz w:val="17"/>
          <w:szCs w:val="17"/>
          <w:color w:val="auto"/>
        </w:rPr>
        <w:t>‑</w:t>
      </w:r>
      <w:r>
        <w:rPr>
          <w:rFonts w:ascii="Arial" w:cs="Arial" w:eastAsia="Arial" w:hAnsi="Arial"/>
          <w:sz w:val="17"/>
          <w:szCs w:val="17"/>
          <w:color w:val="auto"/>
        </w:rPr>
        <w:t>05 utilizing the 505(b)(2) regulatory development pathway.</w:t>
      </w:r>
    </w:p>
    <w:p>
      <w:pPr>
        <w:spacing w:after="0" w:line="161" w:lineRule="exact"/>
        <w:rPr>
          <w:sz w:val="20"/>
          <w:szCs w:val="20"/>
          <w:color w:val="auto"/>
        </w:rPr>
      </w:pPr>
    </w:p>
    <w:p>
      <w:pPr>
        <w:ind w:right="20"/>
        <w:spacing w:after="0" w:line="189" w:lineRule="exact"/>
        <w:rPr>
          <w:sz w:val="20"/>
          <w:szCs w:val="20"/>
          <w:color w:val="auto"/>
        </w:rPr>
      </w:pPr>
      <w:r>
        <w:rPr>
          <w:rFonts w:ascii="Arial" w:cs="Arial" w:eastAsia="Arial" w:hAnsi="Arial"/>
          <w:sz w:val="16"/>
          <w:szCs w:val="16"/>
          <w:color w:val="auto"/>
        </w:rPr>
        <w:t>AXS</w:t>
      </w:r>
      <w:r>
        <w:rPr>
          <w:rFonts w:ascii="MS PGothic" w:cs="MS PGothic" w:eastAsia="MS PGothic" w:hAnsi="MS PGothic"/>
          <w:sz w:val="16"/>
          <w:szCs w:val="16"/>
          <w:color w:val="auto"/>
        </w:rPr>
        <w:t>‑</w:t>
      </w:r>
      <w:r>
        <w:rPr>
          <w:rFonts w:ascii="Arial" w:cs="Arial" w:eastAsia="Arial" w:hAnsi="Arial"/>
          <w:sz w:val="16"/>
          <w:szCs w:val="16"/>
          <w:color w:val="auto"/>
        </w:rPr>
        <w:t>07 is a novel, oral, investigational medicine with distinct dual mechanisms of action consisting of MoSEIC™, or Molecular Solubility Enhanced Inclusion Complex, meloxicam and rizatriptan. We are developing AXS</w:t>
      </w:r>
      <w:r>
        <w:rPr>
          <w:rFonts w:ascii="MS PGothic" w:cs="MS PGothic" w:eastAsia="MS PGothic" w:hAnsi="MS PGothic"/>
          <w:sz w:val="16"/>
          <w:szCs w:val="16"/>
          <w:color w:val="auto"/>
        </w:rPr>
        <w:t>‑</w:t>
      </w:r>
      <w:r>
        <w:rPr>
          <w:rFonts w:ascii="Arial" w:cs="Arial" w:eastAsia="Arial" w:hAnsi="Arial"/>
          <w:sz w:val="16"/>
          <w:szCs w:val="16"/>
          <w:color w:val="auto"/>
        </w:rPr>
        <w:t>07 initially for the acute treatment of migraine. Meloxicam is a long-acting nonsteroidal anti-inflammatory drug, or NSAID, with COX</w:t>
      </w:r>
      <w:r>
        <w:rPr>
          <w:rFonts w:ascii="MS PGothic" w:cs="MS PGothic" w:eastAsia="MS PGothic" w:hAnsi="MS PGothic"/>
          <w:sz w:val="16"/>
          <w:szCs w:val="16"/>
          <w:color w:val="auto"/>
        </w:rPr>
        <w:t>‑</w:t>
      </w:r>
      <w:r>
        <w:rPr>
          <w:rFonts w:ascii="Arial" w:cs="Arial" w:eastAsia="Arial" w:hAnsi="Arial"/>
          <w:sz w:val="16"/>
          <w:szCs w:val="16"/>
          <w:color w:val="auto"/>
        </w:rPr>
        <w:t>2, an enzyme involved in inflammation and pain pathways, preferential inhibition and potent pain-relieving effects. However, standard meloxicam has an extended time to maximum plasma concentration, or T</w:t>
      </w:r>
      <w:r>
        <w:rPr>
          <w:rFonts w:ascii="Arial" w:cs="Arial" w:eastAsia="Arial" w:hAnsi="Arial"/>
          <w:sz w:val="26"/>
          <w:szCs w:val="26"/>
          <w:color w:val="auto"/>
          <w:vertAlign w:val="subscript"/>
        </w:rPr>
        <w:t>max</w:t>
      </w:r>
      <w:r>
        <w:rPr>
          <w:rFonts w:ascii="Arial" w:cs="Arial" w:eastAsia="Arial" w:hAnsi="Arial"/>
          <w:sz w:val="16"/>
          <w:szCs w:val="16"/>
          <w:color w:val="auto"/>
        </w:rPr>
        <w:t>, which delays its onset of action. AXS</w:t>
      </w:r>
      <w:r>
        <w:rPr>
          <w:rFonts w:ascii="MS PGothic" w:cs="MS PGothic" w:eastAsia="MS PGothic" w:hAnsi="MS PGothic"/>
          <w:sz w:val="16"/>
          <w:szCs w:val="16"/>
          <w:color w:val="auto"/>
        </w:rPr>
        <w:t>‑</w:t>
      </w:r>
      <w:r>
        <w:rPr>
          <w:rFonts w:ascii="Arial" w:cs="Arial" w:eastAsia="Arial" w:hAnsi="Arial"/>
          <w:sz w:val="16"/>
          <w:szCs w:val="16"/>
          <w:color w:val="auto"/>
        </w:rPr>
        <w:t>07 utilizes our proprietary</w:t>
      </w:r>
    </w:p>
    <w:p>
      <w:pPr>
        <w:spacing w:after="0" w:line="3" w:lineRule="exact"/>
        <w:rPr>
          <w:sz w:val="20"/>
          <w:szCs w:val="20"/>
          <w:color w:val="auto"/>
        </w:rPr>
      </w:pPr>
    </w:p>
    <w:p>
      <w:pPr>
        <w:ind w:right="40"/>
        <w:spacing w:after="0" w:line="193" w:lineRule="exact"/>
        <w:rPr>
          <w:sz w:val="20"/>
          <w:szCs w:val="20"/>
          <w:color w:val="auto"/>
        </w:rPr>
      </w:pPr>
      <w:r>
        <w:rPr>
          <w:rFonts w:ascii="Arial" w:cs="Arial" w:eastAsia="Arial" w:hAnsi="Arial"/>
          <w:sz w:val="16"/>
          <w:szCs w:val="16"/>
          <w:color w:val="auto"/>
        </w:rPr>
        <w:t>MoSEIC™ technology to substantially increase the solubility and speed the absorption of meloxicam while potentially maintaining durability of action. Meloxicam is a new molecular entity for migraine enabled by our MoSEIC™ technology. Rizatriptan is a 5</w:t>
      </w:r>
      <w:r>
        <w:rPr>
          <w:rFonts w:ascii="MS PGothic" w:cs="MS PGothic" w:eastAsia="MS PGothic" w:hAnsi="MS PGothic"/>
          <w:sz w:val="16"/>
          <w:szCs w:val="16"/>
          <w:color w:val="auto"/>
        </w:rPr>
        <w:t>‑</w:t>
      </w:r>
      <w:r>
        <w:rPr>
          <w:rFonts w:ascii="Arial" w:cs="Arial" w:eastAsia="Arial" w:hAnsi="Arial"/>
          <w:sz w:val="16"/>
          <w:szCs w:val="16"/>
          <w:color w:val="auto"/>
        </w:rPr>
        <w:t>HT</w:t>
      </w:r>
      <w:r>
        <w:rPr>
          <w:rFonts w:ascii="Arial" w:cs="Arial" w:eastAsia="Arial" w:hAnsi="Arial"/>
          <w:sz w:val="26"/>
          <w:szCs w:val="26"/>
          <w:color w:val="auto"/>
          <w:vertAlign w:val="subscript"/>
        </w:rPr>
        <w:t>1B/D</w:t>
      </w:r>
      <w:r>
        <w:rPr>
          <w:rFonts w:ascii="Arial" w:cs="Arial" w:eastAsia="Arial" w:hAnsi="Arial"/>
          <w:sz w:val="16"/>
          <w:szCs w:val="16"/>
          <w:color w:val="auto"/>
        </w:rPr>
        <w:t xml:space="preserve"> agonist that inhibits calcitonin gene-related peptide, or CGRP-mediated vasodilation, has been shown to</w:t>
      </w:r>
    </w:p>
    <w:p>
      <w:pPr>
        <w:ind w:right="300"/>
        <w:spacing w:after="0" w:line="188" w:lineRule="exact"/>
        <w:rPr>
          <w:sz w:val="20"/>
          <w:szCs w:val="20"/>
          <w:color w:val="auto"/>
        </w:rPr>
      </w:pPr>
      <w:r>
        <w:rPr>
          <w:rFonts w:ascii="Arial" w:cs="Arial" w:eastAsia="Arial" w:hAnsi="Arial"/>
          <w:sz w:val="18"/>
          <w:szCs w:val="18"/>
          <w:color w:val="auto"/>
        </w:rPr>
        <w:t>have central trigeminal antinociceptive activity, and may reduce the release of inflammatory mediators from trigeminal nerves. Rizatriptan is approved as a single agent for the acute treatment of migraine. We intend to seek FDA approval for AXS</w:t>
      </w:r>
      <w:r>
        <w:rPr>
          <w:rFonts w:ascii="MS PGothic" w:cs="MS PGothic" w:eastAsia="MS PGothic" w:hAnsi="MS PGothic"/>
          <w:sz w:val="18"/>
          <w:szCs w:val="18"/>
          <w:color w:val="auto"/>
        </w:rPr>
        <w:t>‑</w:t>
      </w:r>
      <w:r>
        <w:rPr>
          <w:rFonts w:ascii="Arial" w:cs="Arial" w:eastAsia="Arial" w:hAnsi="Arial"/>
          <w:sz w:val="18"/>
          <w:szCs w:val="18"/>
          <w:color w:val="auto"/>
        </w:rPr>
        <w:t>07 utilizing the 505(b)(2) regulatory development pathway.</w:t>
      </w:r>
    </w:p>
    <w:p>
      <w:pPr>
        <w:spacing w:after="0" w:line="162" w:lineRule="exact"/>
        <w:rPr>
          <w:sz w:val="20"/>
          <w:szCs w:val="20"/>
          <w:color w:val="auto"/>
        </w:rPr>
      </w:pPr>
    </w:p>
    <w:p>
      <w:pPr>
        <w:spacing w:after="0" w:line="184" w:lineRule="exact"/>
        <w:rPr>
          <w:sz w:val="20"/>
          <w:szCs w:val="20"/>
          <w:color w:val="auto"/>
        </w:rPr>
      </w:pPr>
      <w:r>
        <w:rPr>
          <w:rFonts w:ascii="Arial" w:cs="Arial" w:eastAsia="Arial" w:hAnsi="Arial"/>
          <w:sz w:val="17"/>
          <w:szCs w:val="17"/>
          <w:color w:val="auto"/>
        </w:rPr>
        <w:t>AXS</w:t>
      </w:r>
      <w:r>
        <w:rPr>
          <w:rFonts w:ascii="MS PGothic" w:cs="MS PGothic" w:eastAsia="MS PGothic" w:hAnsi="MS PGothic"/>
          <w:sz w:val="17"/>
          <w:szCs w:val="17"/>
          <w:color w:val="auto"/>
        </w:rPr>
        <w:t>‑</w:t>
      </w:r>
      <w:r>
        <w:rPr>
          <w:rFonts w:ascii="Arial" w:cs="Arial" w:eastAsia="Arial" w:hAnsi="Arial"/>
          <w:sz w:val="17"/>
          <w:szCs w:val="17"/>
          <w:color w:val="auto"/>
        </w:rPr>
        <w:t>09 is a novel, oral, investigational medicine consisting of esbupropion and DM, which is being developed for the treatment of CNS disorders. AXS</w:t>
      </w:r>
      <w:r>
        <w:rPr>
          <w:rFonts w:ascii="MS PGothic" w:cs="MS PGothic" w:eastAsia="MS PGothic" w:hAnsi="MS PGothic"/>
          <w:sz w:val="17"/>
          <w:szCs w:val="17"/>
          <w:color w:val="auto"/>
        </w:rPr>
        <w:t>‑</w:t>
      </w:r>
      <w:r>
        <w:rPr>
          <w:rFonts w:ascii="Arial" w:cs="Arial" w:eastAsia="Arial" w:hAnsi="Arial"/>
          <w:sz w:val="17"/>
          <w:szCs w:val="17"/>
          <w:color w:val="auto"/>
        </w:rPr>
        <w:t xml:space="preserve">09 contains esbupropion, the chirally pure </w:t>
      </w:r>
      <w:r>
        <w:rPr>
          <w:rFonts w:ascii="Arial" w:cs="Arial" w:eastAsia="Arial" w:hAnsi="Arial"/>
          <w:sz w:val="17"/>
          <w:szCs w:val="17"/>
          <w:i w:val="1"/>
          <w:iCs w:val="1"/>
          <w:color w:val="auto"/>
        </w:rPr>
        <w:t>S</w:t>
      </w:r>
      <w:r>
        <w:rPr>
          <w:rFonts w:ascii="Arial" w:cs="Arial" w:eastAsia="Arial" w:hAnsi="Arial"/>
          <w:sz w:val="17"/>
          <w:szCs w:val="17"/>
          <w:color w:val="auto"/>
        </w:rPr>
        <w:t>-enantiomer of bupropion, as compared to the company’s first generation product candidate AXS</w:t>
      </w:r>
      <w:r>
        <w:rPr>
          <w:rFonts w:ascii="MS PGothic" w:cs="MS PGothic" w:eastAsia="MS PGothic" w:hAnsi="MS PGothic"/>
          <w:sz w:val="17"/>
          <w:szCs w:val="17"/>
          <w:color w:val="auto"/>
        </w:rPr>
        <w:t>‑</w:t>
      </w:r>
      <w:r>
        <w:rPr>
          <w:rFonts w:ascii="Arial" w:cs="Arial" w:eastAsia="Arial" w:hAnsi="Arial"/>
          <w:sz w:val="17"/>
          <w:szCs w:val="17"/>
          <w:color w:val="auto"/>
        </w:rPr>
        <w:t xml:space="preserve">05 which contains racemic bupropion, equal amounts of the </w:t>
      </w:r>
      <w:r>
        <w:rPr>
          <w:rFonts w:ascii="Arial" w:cs="Arial" w:eastAsia="Arial" w:hAnsi="Arial"/>
          <w:sz w:val="17"/>
          <w:szCs w:val="17"/>
          <w:i w:val="1"/>
          <w:iCs w:val="1"/>
          <w:color w:val="auto"/>
        </w:rPr>
        <w:t>S</w:t>
      </w:r>
      <w:r>
        <w:rPr>
          <w:rFonts w:ascii="Arial" w:cs="Arial" w:eastAsia="Arial" w:hAnsi="Arial"/>
          <w:sz w:val="17"/>
          <w:szCs w:val="17"/>
          <w:color w:val="auto"/>
        </w:rPr>
        <w:t xml:space="preserve">- and </w:t>
      </w:r>
      <w:r>
        <w:rPr>
          <w:rFonts w:ascii="Arial" w:cs="Arial" w:eastAsia="Arial" w:hAnsi="Arial"/>
          <w:sz w:val="17"/>
          <w:szCs w:val="17"/>
          <w:i w:val="1"/>
          <w:iCs w:val="1"/>
          <w:color w:val="auto"/>
        </w:rPr>
        <w:t>R</w:t>
      </w:r>
      <w:r>
        <w:rPr>
          <w:rFonts w:ascii="Arial" w:cs="Arial" w:eastAsia="Arial" w:hAnsi="Arial"/>
          <w:sz w:val="17"/>
          <w:szCs w:val="17"/>
          <w:color w:val="auto"/>
        </w:rPr>
        <w:t>-enantiomers. We have demonstrated in a Phase 1 trial that DM plasma levels are substantially increased into a potentially therapeutic range with repeated administration of AXS</w:t>
      </w:r>
      <w:r>
        <w:rPr>
          <w:rFonts w:ascii="MS PGothic" w:cs="MS PGothic" w:eastAsia="MS PGothic" w:hAnsi="MS PGothic"/>
          <w:sz w:val="17"/>
          <w:szCs w:val="17"/>
          <w:color w:val="auto"/>
        </w:rPr>
        <w:t>‑</w:t>
      </w:r>
      <w:r>
        <w:rPr>
          <w:rFonts w:ascii="Arial" w:cs="Arial" w:eastAsia="Arial" w:hAnsi="Arial"/>
          <w:sz w:val="17"/>
          <w:szCs w:val="17"/>
          <w:color w:val="auto"/>
        </w:rPr>
        <w:t xml:space="preserve">09. Results of this Phase 1 trial coupled with preclinical data also indicate the potential for enhanced absorption and therapeutic effect of the </w:t>
      </w:r>
      <w:r>
        <w:rPr>
          <w:rFonts w:ascii="Arial" w:cs="Arial" w:eastAsia="Arial" w:hAnsi="Arial"/>
          <w:sz w:val="17"/>
          <w:szCs w:val="17"/>
          <w:i w:val="1"/>
          <w:iCs w:val="1"/>
          <w:color w:val="auto"/>
        </w:rPr>
        <w:t>S</w:t>
      </w:r>
      <w:r>
        <w:rPr>
          <w:rFonts w:ascii="Arial" w:cs="Arial" w:eastAsia="Arial" w:hAnsi="Arial"/>
          <w:sz w:val="17"/>
          <w:szCs w:val="17"/>
          <w:color w:val="auto"/>
        </w:rPr>
        <w:t xml:space="preserve">-enantiomer as compared to the </w:t>
      </w:r>
      <w:r>
        <w:rPr>
          <w:rFonts w:ascii="Arial" w:cs="Arial" w:eastAsia="Arial" w:hAnsi="Arial"/>
          <w:sz w:val="17"/>
          <w:szCs w:val="17"/>
          <w:i w:val="1"/>
          <w:iCs w:val="1"/>
          <w:color w:val="auto"/>
        </w:rPr>
        <w:t>R</w:t>
      </w:r>
      <w:r>
        <w:rPr>
          <w:rFonts w:ascii="Arial" w:cs="Arial" w:eastAsia="Arial" w:hAnsi="Arial"/>
          <w:sz w:val="17"/>
          <w:szCs w:val="17"/>
          <w:color w:val="auto"/>
        </w:rPr>
        <w:t>-enantiomer.</w:t>
      </w:r>
    </w:p>
    <w:p>
      <w:pPr>
        <w:spacing w:after="0" w:line="164" w:lineRule="exact"/>
        <w:rPr>
          <w:sz w:val="20"/>
          <w:szCs w:val="20"/>
          <w:color w:val="auto"/>
        </w:rPr>
      </w:pPr>
    </w:p>
    <w:p>
      <w:pPr>
        <w:spacing w:after="0" w:line="186" w:lineRule="exact"/>
        <w:rPr>
          <w:sz w:val="20"/>
          <w:szCs w:val="20"/>
          <w:color w:val="auto"/>
        </w:rPr>
      </w:pPr>
      <w:r>
        <w:rPr>
          <w:rFonts w:ascii="Arial" w:cs="Arial" w:eastAsia="Arial" w:hAnsi="Arial"/>
          <w:sz w:val="18"/>
          <w:szCs w:val="18"/>
          <w:color w:val="auto"/>
        </w:rPr>
        <w:t>AXS</w:t>
      </w:r>
      <w:r>
        <w:rPr>
          <w:rFonts w:ascii="MS PGothic" w:cs="MS PGothic" w:eastAsia="MS PGothic" w:hAnsi="MS PGothic"/>
          <w:sz w:val="18"/>
          <w:szCs w:val="18"/>
          <w:color w:val="auto"/>
        </w:rPr>
        <w:t>‑</w:t>
      </w:r>
      <w:r>
        <w:rPr>
          <w:rFonts w:ascii="Arial" w:cs="Arial" w:eastAsia="Arial" w:hAnsi="Arial"/>
          <w:sz w:val="18"/>
          <w:szCs w:val="18"/>
          <w:color w:val="auto"/>
        </w:rPr>
        <w:t>12, reboxetine, is a novel, oral, investigational medicine in development for treatment of narcolepsy. AXS</w:t>
      </w:r>
      <w:r>
        <w:rPr>
          <w:rFonts w:ascii="MS PGothic" w:cs="MS PGothic" w:eastAsia="MS PGothic" w:hAnsi="MS PGothic"/>
          <w:sz w:val="18"/>
          <w:szCs w:val="18"/>
          <w:color w:val="auto"/>
        </w:rPr>
        <w:t>‑</w:t>
      </w:r>
      <w:r>
        <w:rPr>
          <w:rFonts w:ascii="Arial" w:cs="Arial" w:eastAsia="Arial" w:hAnsi="Arial"/>
          <w:sz w:val="18"/>
          <w:szCs w:val="18"/>
          <w:color w:val="auto"/>
        </w:rPr>
        <w:t>12 is a highly selective and potent norepinephrine reuptake inhibitor. The potential utility of AXS</w:t>
      </w:r>
      <w:r>
        <w:rPr>
          <w:rFonts w:ascii="MS PGothic" w:cs="MS PGothic" w:eastAsia="MS PGothic" w:hAnsi="MS PGothic"/>
          <w:sz w:val="18"/>
          <w:szCs w:val="18"/>
          <w:color w:val="auto"/>
        </w:rPr>
        <w:t>‑</w:t>
      </w:r>
      <w:r>
        <w:rPr>
          <w:rFonts w:ascii="Arial" w:cs="Arial" w:eastAsia="Arial" w:hAnsi="Arial"/>
          <w:sz w:val="18"/>
          <w:szCs w:val="18"/>
          <w:color w:val="auto"/>
        </w:rPr>
        <w:t>12 in narcolepsy is supported by positive pre-clinical and clinical results in narcolepsy, and an extensive positive clinical safety record. Reboxetine, the active agent in AXS</w:t>
      </w:r>
      <w:r>
        <w:rPr>
          <w:rFonts w:ascii="MS PGothic" w:cs="MS PGothic" w:eastAsia="MS PGothic" w:hAnsi="MS PGothic"/>
          <w:sz w:val="18"/>
          <w:szCs w:val="18"/>
          <w:color w:val="auto"/>
        </w:rPr>
        <w:t>‑</w:t>
      </w:r>
      <w:r>
        <w:rPr>
          <w:rFonts w:ascii="Arial" w:cs="Arial" w:eastAsia="Arial" w:hAnsi="Arial"/>
          <w:sz w:val="18"/>
          <w:szCs w:val="18"/>
          <w:color w:val="auto"/>
        </w:rPr>
        <w:t>12, significantly and dose-dependently reduced narcoleptic episodes in hypocretin, or orexin-deficient mice, a well-established genetic animal model of narcolepsy.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3">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80"/>
          </w:cols>
          <w:pgMar w:left="1260" w:top="114" w:right="125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4" w:lineRule="exact"/>
        <w:rPr>
          <w:sz w:val="20"/>
          <w:szCs w:val="20"/>
          <w:color w:val="auto"/>
        </w:rPr>
      </w:pPr>
    </w:p>
    <w:p>
      <w:pPr>
        <w:ind w:right="180"/>
        <w:spacing w:after="0" w:line="186" w:lineRule="exact"/>
        <w:rPr>
          <w:sz w:val="20"/>
          <w:szCs w:val="20"/>
          <w:color w:val="auto"/>
        </w:rPr>
      </w:pPr>
      <w:r>
        <w:rPr>
          <w:rFonts w:ascii="Arial" w:cs="Arial" w:eastAsia="Arial" w:hAnsi="Arial"/>
          <w:sz w:val="16"/>
          <w:szCs w:val="16"/>
          <w:color w:val="auto"/>
        </w:rPr>
        <w:t>The Axsome PPC unit houses Axsome’s pain and primary care assets, including AXS</w:t>
      </w:r>
      <w:r>
        <w:rPr>
          <w:rFonts w:ascii="MS PGothic" w:cs="MS PGothic" w:eastAsia="MS PGothic" w:hAnsi="MS PGothic"/>
          <w:sz w:val="16"/>
          <w:szCs w:val="16"/>
          <w:color w:val="auto"/>
        </w:rPr>
        <w:t>‑</w:t>
      </w:r>
      <w:r>
        <w:rPr>
          <w:rFonts w:ascii="Arial" w:cs="Arial" w:eastAsia="Arial" w:hAnsi="Arial"/>
          <w:sz w:val="16"/>
          <w:szCs w:val="16"/>
          <w:color w:val="auto"/>
        </w:rPr>
        <w:t>02 and AXS</w:t>
      </w:r>
      <w:r>
        <w:rPr>
          <w:rFonts w:ascii="MS PGothic" w:cs="MS PGothic" w:eastAsia="MS PGothic" w:hAnsi="MS PGothic"/>
          <w:sz w:val="16"/>
          <w:szCs w:val="16"/>
          <w:color w:val="auto"/>
        </w:rPr>
        <w:t>‑</w:t>
      </w:r>
      <w:r>
        <w:rPr>
          <w:rFonts w:ascii="Arial" w:cs="Arial" w:eastAsia="Arial" w:hAnsi="Arial"/>
          <w:sz w:val="16"/>
          <w:szCs w:val="16"/>
          <w:color w:val="auto"/>
        </w:rPr>
        <w:t>06, and intellectual property which covers these and related product candidates and molecules being developed by Axsome and others. AXS</w:t>
      </w:r>
      <w:r>
        <w:rPr>
          <w:rFonts w:ascii="MS PGothic" w:cs="MS PGothic" w:eastAsia="MS PGothic" w:hAnsi="MS PGothic"/>
          <w:sz w:val="16"/>
          <w:szCs w:val="16"/>
          <w:color w:val="auto"/>
        </w:rPr>
        <w:t>‑</w:t>
      </w:r>
      <w:r>
        <w:rPr>
          <w:rFonts w:ascii="Arial" w:cs="Arial" w:eastAsia="Arial" w:hAnsi="Arial"/>
          <w:sz w:val="16"/>
          <w:szCs w:val="16"/>
          <w:color w:val="auto"/>
        </w:rPr>
        <w:t>02 is being developed for the treatment of knee osteoarthritis, or OA, associated with bone marrow lesions, or BMLs, and chronic low back pain, or CLBP, associated with Modic changes, or MCs. AXS</w:t>
      </w:r>
      <w:r>
        <w:rPr>
          <w:rFonts w:ascii="MS PGothic" w:cs="MS PGothic" w:eastAsia="MS PGothic" w:hAnsi="MS PGothic"/>
          <w:sz w:val="16"/>
          <w:szCs w:val="16"/>
          <w:color w:val="auto"/>
        </w:rPr>
        <w:t>‑</w:t>
      </w:r>
      <w:r>
        <w:rPr>
          <w:rFonts w:ascii="Arial" w:cs="Arial" w:eastAsia="Arial" w:hAnsi="Arial"/>
          <w:sz w:val="16"/>
          <w:szCs w:val="16"/>
          <w:color w:val="auto"/>
        </w:rPr>
        <w:t>06 is being developed for the treatment of osteoarthritis and rheumatoid arthritis and for the reduction of the risk of NSAID-associated gastrointestinal ulcers.</w:t>
      </w:r>
    </w:p>
    <w:p>
      <w:pPr>
        <w:spacing w:after="0" w:line="16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AXS</w:t>
      </w:r>
      <w:r>
        <w:rPr>
          <w:rFonts w:ascii="MS PGothic" w:cs="MS PGothic" w:eastAsia="MS PGothic" w:hAnsi="MS PGothic"/>
          <w:sz w:val="16"/>
          <w:szCs w:val="16"/>
          <w:color w:val="auto"/>
        </w:rPr>
        <w:t>‑</w:t>
      </w:r>
      <w:r>
        <w:rPr>
          <w:rFonts w:ascii="Arial" w:cs="Arial" w:eastAsia="Arial" w:hAnsi="Arial"/>
          <w:sz w:val="16"/>
          <w:szCs w:val="16"/>
          <w:color w:val="auto"/>
        </w:rPr>
        <w:t>02, disodium zoledronate tetrahydrate, is a potentially first</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class, oral, targeted, non</w:t>
      </w:r>
      <w:r>
        <w:rPr>
          <w:rFonts w:ascii="MS PGothic" w:cs="MS PGothic" w:eastAsia="MS PGothic" w:hAnsi="MS PGothic"/>
          <w:sz w:val="16"/>
          <w:szCs w:val="16"/>
          <w:color w:val="auto"/>
        </w:rPr>
        <w:t>‑</w:t>
      </w:r>
      <w:r>
        <w:rPr>
          <w:rFonts w:ascii="Arial" w:cs="Arial" w:eastAsia="Arial" w:hAnsi="Arial"/>
          <w:sz w:val="16"/>
          <w:szCs w:val="16"/>
          <w:color w:val="auto"/>
        </w:rPr>
        <w:t>opioid therapeutic for chronic pain. AXS</w:t>
      </w:r>
      <w:r>
        <w:rPr>
          <w:rFonts w:ascii="MS PGothic" w:cs="MS PGothic" w:eastAsia="MS PGothic" w:hAnsi="MS PGothic"/>
          <w:sz w:val="16"/>
          <w:szCs w:val="16"/>
          <w:color w:val="auto"/>
        </w:rPr>
        <w:t>‑</w:t>
      </w:r>
      <w:r>
        <w:rPr>
          <w:rFonts w:ascii="Arial" w:cs="Arial" w:eastAsia="Arial" w:hAnsi="Arial"/>
          <w:sz w:val="16"/>
          <w:szCs w:val="16"/>
          <w:color w:val="auto"/>
        </w:rPr>
        <w:t>02 is a potent inhibitor of osteoclasts, which are bone remodeling cells that break down bone tissue. We are developing AXS</w:t>
      </w:r>
      <w:r>
        <w:rPr>
          <w:rFonts w:ascii="MS PGothic" w:cs="MS PGothic" w:eastAsia="MS PGothic" w:hAnsi="MS PGothic"/>
          <w:sz w:val="16"/>
          <w:szCs w:val="16"/>
          <w:color w:val="auto"/>
        </w:rPr>
        <w:t>‑</w:t>
      </w:r>
      <w:r>
        <w:rPr>
          <w:rFonts w:ascii="Arial" w:cs="Arial" w:eastAsia="Arial" w:hAnsi="Arial"/>
          <w:sz w:val="16"/>
          <w:szCs w:val="16"/>
          <w:color w:val="auto"/>
        </w:rPr>
        <w:t>02 for the treatment of pain in the following two conditions: knee OA associated with BMLs and CLBP associated with type 1 or mixed type 1 and type 2 MCs. These conditions exhibit target lesions or specific pathology that we believe may be addressed by the mechanisms of action of AXS</w:t>
      </w:r>
      <w:r>
        <w:rPr>
          <w:rFonts w:ascii="MS PGothic" w:cs="MS PGothic" w:eastAsia="MS PGothic" w:hAnsi="MS PGothic"/>
          <w:sz w:val="16"/>
          <w:szCs w:val="16"/>
          <w:color w:val="auto"/>
        </w:rPr>
        <w:t>‑</w:t>
      </w:r>
      <w:r>
        <w:rPr>
          <w:rFonts w:ascii="Arial" w:cs="Arial" w:eastAsia="Arial" w:hAnsi="Arial"/>
          <w:sz w:val="16"/>
          <w:szCs w:val="16"/>
          <w:color w:val="auto"/>
        </w:rPr>
        <w:t>02, such as inhibition of osteoclast activity. These mechanisms may result in a reduction of pain in these conditions. We intend to seek FDA approval for AXS</w:t>
      </w:r>
      <w:r>
        <w:rPr>
          <w:rFonts w:ascii="MS PGothic" w:cs="MS PGothic" w:eastAsia="MS PGothic" w:hAnsi="MS PGothic"/>
          <w:sz w:val="16"/>
          <w:szCs w:val="16"/>
          <w:color w:val="auto"/>
        </w:rPr>
        <w:t>‑</w:t>
      </w:r>
      <w:r>
        <w:rPr>
          <w:rFonts w:ascii="Arial" w:cs="Arial" w:eastAsia="Arial" w:hAnsi="Arial"/>
          <w:sz w:val="16"/>
          <w:szCs w:val="16"/>
          <w:color w:val="auto"/>
        </w:rPr>
        <w:t>02 utilizing the 505(b)(2) regulatory development pathway.</w:t>
      </w:r>
    </w:p>
    <w:p>
      <w:pPr>
        <w:spacing w:after="0" w:line="164" w:lineRule="exact"/>
        <w:rPr>
          <w:sz w:val="20"/>
          <w:szCs w:val="20"/>
          <w:color w:val="auto"/>
        </w:rPr>
      </w:pPr>
    </w:p>
    <w:p>
      <w:pPr>
        <w:ind w:right="40"/>
        <w:spacing w:after="0" w:line="185" w:lineRule="exact"/>
        <w:rPr>
          <w:sz w:val="20"/>
          <w:szCs w:val="20"/>
          <w:color w:val="auto"/>
        </w:rPr>
      </w:pPr>
      <w:r>
        <w:rPr>
          <w:rFonts w:ascii="Arial" w:cs="Arial" w:eastAsia="Arial" w:hAnsi="Arial"/>
          <w:sz w:val="16"/>
          <w:szCs w:val="16"/>
          <w:color w:val="auto"/>
        </w:rPr>
        <w:t>AXS</w:t>
      </w:r>
      <w:r>
        <w:rPr>
          <w:rFonts w:ascii="MS PGothic" w:cs="MS PGothic" w:eastAsia="MS PGothic" w:hAnsi="MS PGothic"/>
          <w:sz w:val="16"/>
          <w:szCs w:val="16"/>
          <w:color w:val="auto"/>
        </w:rPr>
        <w:t>‑</w:t>
      </w:r>
      <w:r>
        <w:rPr>
          <w:rFonts w:ascii="Arial" w:cs="Arial" w:eastAsia="Arial" w:hAnsi="Arial"/>
          <w:sz w:val="16"/>
          <w:szCs w:val="16"/>
          <w:color w:val="auto"/>
        </w:rPr>
        <w:t>06 is a novel, oral, non-opioid, fixed-dose combination of MoSEIC™ meloxicam and esomeprazole. We are developing AXS</w:t>
      </w:r>
      <w:r>
        <w:rPr>
          <w:rFonts w:ascii="MS PGothic" w:cs="MS PGothic" w:eastAsia="MS PGothic" w:hAnsi="MS PGothic"/>
          <w:sz w:val="16"/>
          <w:szCs w:val="16"/>
          <w:color w:val="auto"/>
        </w:rPr>
        <w:t>‑</w:t>
      </w:r>
      <w:r>
        <w:rPr>
          <w:rFonts w:ascii="Arial" w:cs="Arial" w:eastAsia="Arial" w:hAnsi="Arial"/>
          <w:sz w:val="16"/>
          <w:szCs w:val="16"/>
          <w:color w:val="auto"/>
        </w:rPr>
        <w:t>06 initially for the treatment of osteoarthritis and rheumatoid arthritis. Esomeprazole is a proton pump inhibitor which lowers stomach acidity and which has been shown to reduce the occurrence of NSAID-associated gastrointestinal ulcers. AXS</w:t>
      </w:r>
      <w:r>
        <w:rPr>
          <w:rFonts w:ascii="MS PGothic" w:cs="MS PGothic" w:eastAsia="MS PGothic" w:hAnsi="MS PGothic"/>
          <w:sz w:val="16"/>
          <w:szCs w:val="16"/>
          <w:color w:val="auto"/>
        </w:rPr>
        <w:t>‑</w:t>
      </w:r>
      <w:r>
        <w:rPr>
          <w:rFonts w:ascii="Arial" w:cs="Arial" w:eastAsia="Arial" w:hAnsi="Arial"/>
          <w:sz w:val="16"/>
          <w:szCs w:val="16"/>
          <w:color w:val="auto"/>
        </w:rPr>
        <w:t>06 is designed to provide rapid, effective pain relief, and to reduce the risk of NSAID-associated gastrointestinal ulcers, with convenient once-daily dosing. We have successfully completed a Phase 1 trial of AXS</w:t>
      </w:r>
      <w:r>
        <w:rPr>
          <w:rFonts w:ascii="MS PGothic" w:cs="MS PGothic" w:eastAsia="MS PGothic" w:hAnsi="MS PGothic"/>
          <w:sz w:val="16"/>
          <w:szCs w:val="16"/>
          <w:color w:val="auto"/>
        </w:rPr>
        <w:t>‑</w:t>
      </w:r>
      <w:r>
        <w:rPr>
          <w:rFonts w:ascii="Arial" w:cs="Arial" w:eastAsia="Arial" w:hAnsi="Arial"/>
          <w:sz w:val="16"/>
          <w:szCs w:val="16"/>
          <w:color w:val="auto"/>
        </w:rPr>
        <w:t>06 to characterize the pharmacokinetics of meloxicam and esomeprazole after oral administration of AXS</w:t>
      </w:r>
      <w:r>
        <w:rPr>
          <w:rFonts w:ascii="MS PGothic" w:cs="MS PGothic" w:eastAsia="MS PGothic" w:hAnsi="MS PGothic"/>
          <w:sz w:val="16"/>
          <w:szCs w:val="16"/>
          <w:color w:val="auto"/>
        </w:rPr>
        <w:t>‑</w:t>
      </w:r>
      <w:r>
        <w:rPr>
          <w:rFonts w:ascii="Arial" w:cs="Arial" w:eastAsia="Arial" w:hAnsi="Arial"/>
          <w:sz w:val="16"/>
          <w:szCs w:val="16"/>
          <w:color w:val="auto"/>
        </w:rPr>
        <w:t>06. The results of our Phase 1 trial demonstrated that the median T</w:t>
      </w:r>
      <w:r>
        <w:rPr>
          <w:rFonts w:ascii="Arial" w:cs="Arial" w:eastAsia="Arial" w:hAnsi="Arial"/>
          <w:sz w:val="26"/>
          <w:szCs w:val="26"/>
          <w:color w:val="auto"/>
          <w:vertAlign w:val="subscript"/>
        </w:rPr>
        <w:t>max</w:t>
      </w:r>
      <w:r>
        <w:rPr>
          <w:rFonts w:ascii="Arial" w:cs="Arial" w:eastAsia="Arial" w:hAnsi="Arial"/>
          <w:sz w:val="16"/>
          <w:szCs w:val="16"/>
          <w:color w:val="auto"/>
        </w:rPr>
        <w:t xml:space="preserve"> for meloxicam, the trial’s primary endpoint, was nine times faster for AXS</w:t>
      </w:r>
      <w:r>
        <w:rPr>
          <w:rFonts w:ascii="MS PGothic" w:cs="MS PGothic" w:eastAsia="MS PGothic" w:hAnsi="MS PGothic"/>
          <w:sz w:val="16"/>
          <w:szCs w:val="16"/>
          <w:color w:val="auto"/>
        </w:rPr>
        <w:t>‑</w:t>
      </w:r>
      <w:r>
        <w:rPr>
          <w:rFonts w:ascii="Arial" w:cs="Arial" w:eastAsia="Arial" w:hAnsi="Arial"/>
          <w:sz w:val="16"/>
          <w:szCs w:val="16"/>
          <w:color w:val="auto"/>
        </w:rPr>
        <w:t>06 as compared to standard meloxicam. We</w:t>
      </w:r>
    </w:p>
    <w:p>
      <w:pPr>
        <w:spacing w:after="0" w:line="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intend to seek FDA approval for AXS</w:t>
      </w:r>
      <w:r>
        <w:rPr>
          <w:rFonts w:ascii="MS PGothic" w:cs="MS PGothic" w:eastAsia="MS PGothic" w:hAnsi="MS PGothic"/>
          <w:sz w:val="18"/>
          <w:szCs w:val="18"/>
          <w:color w:val="auto"/>
        </w:rPr>
        <w:t>‑</w:t>
      </w:r>
      <w:r>
        <w:rPr>
          <w:rFonts w:ascii="Arial" w:cs="Arial" w:eastAsia="Arial" w:hAnsi="Arial"/>
          <w:sz w:val="18"/>
          <w:szCs w:val="18"/>
          <w:color w:val="auto"/>
        </w:rPr>
        <w:t>06 utilizing the 505(b)(2) regulatory development pathway.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Our current CNS product candidate pipeline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133985</wp:posOffset>
            </wp:positionV>
            <wp:extent cx="5736590" cy="22110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4">
                      <a:extLst>
                        <a:ext uri="{28A0092B-C50C-407E-A947-70E740481C1C}"/>
                      </a:extLst>
                    </a:blip>
                    <a:srcRect/>
                    <a:stretch>
                      <a:fillRect/>
                    </a:stretch>
                  </pic:blipFill>
                  <pic:spPr bwMode="auto">
                    <a:xfrm>
                      <a:off x="0" y="0"/>
                      <a:ext cx="5736590" cy="2211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Additionally, our PPC product candidate pipeline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133985</wp:posOffset>
            </wp:positionV>
            <wp:extent cx="5736590" cy="1306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5">
                      <a:extLst>
                        <a:ext uri="{28A0092B-C50C-407E-A947-70E740481C1C}"/>
                      </a:extLst>
                    </a:blip>
                    <a:srcRect/>
                    <a:stretch>
                      <a:fillRect/>
                    </a:stretch>
                  </pic:blipFill>
                  <pic:spPr bwMode="auto">
                    <a:xfrm>
                      <a:off x="0" y="0"/>
                      <a:ext cx="5736590" cy="1306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6">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40"/>
          </w:cols>
          <w:pgMar w:left="1260" w:top="114" w:right="1299" w:bottom="1440" w:gutter="0" w:footer="0" w:header="0"/>
        </w:sectPr>
      </w:pPr>
    </w:p>
    <w:bookmarkStart w:id="27" w:name="page28"/>
    <w:bookmarkEnd w:id="27"/>
    <w:p>
      <w:pPr>
        <w:ind w:left="6"/>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4" w:lineRule="exact"/>
        <w:rPr>
          <w:sz w:val="20"/>
          <w:szCs w:val="20"/>
          <w:color w:val="auto"/>
        </w:rPr>
      </w:pPr>
    </w:p>
    <w:p>
      <w:pPr>
        <w:ind w:left="6"/>
        <w:spacing w:after="0"/>
        <w:rPr>
          <w:sz w:val="20"/>
          <w:szCs w:val="20"/>
          <w:color w:val="auto"/>
        </w:rPr>
      </w:pPr>
      <w:r>
        <w:rPr>
          <w:rFonts w:ascii="Arial" w:cs="Arial" w:eastAsia="Arial" w:hAnsi="Arial"/>
          <w:sz w:val="16"/>
          <w:szCs w:val="16"/>
          <w:color w:val="auto"/>
        </w:rPr>
        <w:t>Our principal executive offices are located at 200 Broadway, 3rd Floor, New York, New York 10038, and our telephone number is</w:t>
      </w:r>
    </w:p>
    <w:p>
      <w:pPr>
        <w:spacing w:after="0" w:line="7" w:lineRule="exact"/>
        <w:rPr>
          <w:sz w:val="20"/>
          <w:szCs w:val="20"/>
          <w:color w:val="auto"/>
        </w:rPr>
      </w:pPr>
    </w:p>
    <w:p>
      <w:pPr>
        <w:ind w:left="6" w:right="340" w:hanging="6"/>
        <w:spacing w:after="0" w:line="188" w:lineRule="exact"/>
        <w:tabs>
          <w:tab w:leader="none" w:pos="439" w:val="left"/>
        </w:tabs>
        <w:numPr>
          <w:ilvl w:val="0"/>
          <w:numId w:val="10"/>
        </w:numPr>
        <w:rPr>
          <w:rFonts w:ascii="Arial" w:cs="Arial" w:eastAsia="Arial" w:hAnsi="Arial"/>
          <w:sz w:val="17"/>
          <w:szCs w:val="17"/>
          <w:color w:val="auto"/>
        </w:rPr>
      </w:pPr>
      <w:r>
        <w:rPr>
          <w:rFonts w:ascii="Arial" w:cs="Arial" w:eastAsia="Arial" w:hAnsi="Arial"/>
          <w:sz w:val="17"/>
          <w:szCs w:val="17"/>
          <w:color w:val="auto"/>
        </w:rPr>
        <w:t>332</w:t>
      </w:r>
      <w:r>
        <w:rPr>
          <w:rFonts w:ascii="MS PGothic" w:cs="MS PGothic" w:eastAsia="MS PGothic" w:hAnsi="MS PGothic"/>
          <w:sz w:val="17"/>
          <w:szCs w:val="17"/>
          <w:color w:val="auto"/>
        </w:rPr>
        <w:t>‑</w:t>
      </w:r>
      <w:r>
        <w:rPr>
          <w:rFonts w:ascii="Arial" w:cs="Arial" w:eastAsia="Arial" w:hAnsi="Arial"/>
          <w:sz w:val="17"/>
          <w:szCs w:val="17"/>
          <w:color w:val="auto"/>
        </w:rPr>
        <w:t>3241. Our website address is www.axsome.com. The information contained on our website is not incorporated by reference into this prospectus, and you should not consider any information contained on, or that can be accessed through, our website as part of this prospectus or in deciding whether to purchase our securities.</w:t>
      </w:r>
    </w:p>
    <w:p>
      <w:pPr>
        <w:spacing w:after="0" w:line="161" w:lineRule="exact"/>
        <w:rPr>
          <w:sz w:val="20"/>
          <w:szCs w:val="20"/>
          <w:color w:val="auto"/>
        </w:rPr>
      </w:pPr>
    </w:p>
    <w:p>
      <w:pPr>
        <w:ind w:left="6" w:right="80"/>
        <w:spacing w:after="0" w:line="234" w:lineRule="auto"/>
        <w:rPr>
          <w:sz w:val="20"/>
          <w:szCs w:val="20"/>
          <w:color w:val="auto"/>
        </w:rPr>
      </w:pPr>
      <w:r>
        <w:rPr>
          <w:rFonts w:ascii="Arial" w:cs="Arial" w:eastAsia="Arial" w:hAnsi="Arial"/>
          <w:sz w:val="18"/>
          <w:szCs w:val="18"/>
          <w:color w:val="auto"/>
        </w:rPr>
        <w:t>Our filings with the SEC are posted on our website at www.axsome.com. The information found on our website is not part of this or any other report we file with or furnish to the SEC.</w:t>
      </w:r>
    </w:p>
    <w:p>
      <w:pPr>
        <w:spacing w:after="0" w:line="157" w:lineRule="exact"/>
        <w:rPr>
          <w:sz w:val="20"/>
          <w:szCs w:val="20"/>
          <w:color w:val="auto"/>
        </w:rPr>
      </w:pPr>
    </w:p>
    <w:p>
      <w:pPr>
        <w:jc w:val="center"/>
        <w:ind w:right="-45"/>
        <w:spacing w:after="0"/>
        <w:rPr>
          <w:sz w:val="20"/>
          <w:szCs w:val="20"/>
          <w:color w:val="auto"/>
        </w:rPr>
      </w:pPr>
      <w:r>
        <w:rPr>
          <w:rFonts w:ascii="Arial" w:cs="Arial" w:eastAsia="Arial" w:hAnsi="Arial"/>
          <w:sz w:val="18"/>
          <w:szCs w:val="18"/>
          <w:b w:val="1"/>
          <w:bCs w:val="1"/>
          <w:color w:val="auto"/>
        </w:rPr>
        <w:t>RISK FACTORS</w:t>
      </w:r>
    </w:p>
    <w:p>
      <w:pPr>
        <w:spacing w:after="0" w:line="187" w:lineRule="exact"/>
        <w:rPr>
          <w:sz w:val="20"/>
          <w:szCs w:val="20"/>
          <w:color w:val="auto"/>
        </w:rPr>
      </w:pPr>
    </w:p>
    <w:p>
      <w:pPr>
        <w:ind w:left="6"/>
        <w:spacing w:after="0" w:line="234" w:lineRule="auto"/>
        <w:rPr>
          <w:rFonts w:ascii="Arial" w:cs="Arial" w:eastAsia="Arial" w:hAnsi="Arial"/>
          <w:sz w:val="16"/>
          <w:szCs w:val="16"/>
          <w:color w:val="0000EE"/>
        </w:rPr>
      </w:pPr>
      <w:r>
        <w:rPr>
          <w:rFonts w:ascii="Arial" w:cs="Arial" w:eastAsia="Arial" w:hAnsi="Arial"/>
          <w:sz w:val="16"/>
          <w:szCs w:val="16"/>
          <w:color w:val="auto"/>
        </w:rPr>
        <w:t xml:space="preserve">Investing in our securities involves risk. You should carefully consider the specific risks discussed or incorporated by reference into the applicable prospectus supplement, together with all the other information contained in the prospectus supplement or incorporated by reference into this prospectus and the applicable prospectus supplement. You should also consider the risks, </w:t>
      </w:r>
      <w:hyperlink r:id="rId35">
        <w:r>
          <w:rPr>
            <w:rFonts w:ascii="Arial" w:cs="Arial" w:eastAsia="Arial" w:hAnsi="Arial"/>
            <w:sz w:val="16"/>
            <w:szCs w:val="16"/>
            <w:color w:val="auto"/>
          </w:rPr>
          <w:t xml:space="preserve">uncertainties and assumptions discussed under the caption “Risk Factors” included in our </w:t>
        </w:r>
        <w:r>
          <w:rPr>
            <w:rFonts w:ascii="Arial" w:cs="Arial" w:eastAsia="Arial" w:hAnsi="Arial"/>
            <w:sz w:val="16"/>
            <w:szCs w:val="16"/>
            <w:u w:val="single" w:color="auto"/>
            <w:color w:val="0000EE"/>
          </w:rPr>
          <w:t>Annual Report on Form 10-K for the</w:t>
        </w:r>
      </w:hyperlink>
      <w:r>
        <w:rPr>
          <w:rFonts w:ascii="Arial" w:cs="Arial" w:eastAsia="Arial" w:hAnsi="Arial"/>
          <w:sz w:val="16"/>
          <w:szCs w:val="16"/>
          <w:color w:val="auto"/>
        </w:rPr>
        <w:t xml:space="preserve"> </w:t>
      </w:r>
      <w:hyperlink r:id="rId35">
        <w:r>
          <w:rPr>
            <w:rFonts w:ascii="Arial" w:cs="Arial" w:eastAsia="Arial" w:hAnsi="Arial"/>
            <w:sz w:val="16"/>
            <w:szCs w:val="16"/>
            <w:u w:val="single" w:color="auto"/>
            <w:color w:val="0000EE"/>
          </w:rPr>
          <w:t>year ended December 31, 2018</w:t>
        </w:r>
        <w:r>
          <w:rPr>
            <w:rFonts w:ascii="Arial" w:cs="Arial" w:eastAsia="Arial" w:hAnsi="Arial"/>
            <w:sz w:val="16"/>
            <w:szCs w:val="16"/>
            <w:color w:val="0000EE"/>
          </w:rPr>
          <w:t xml:space="preserve"> </w:t>
        </w:r>
        <w:r>
          <w:rPr>
            <w:rFonts w:ascii="Arial" w:cs="Arial" w:eastAsia="Arial" w:hAnsi="Arial"/>
            <w:sz w:val="16"/>
            <w:szCs w:val="16"/>
            <w:color w:val="000000"/>
          </w:rPr>
          <w:t>and in subsequent filings, which are incorporated by reference into this prospectus. These risk</w:t>
        </w:r>
      </w:hyperlink>
      <w:r>
        <w:rPr>
          <w:rFonts w:ascii="Arial" w:cs="Arial" w:eastAsia="Arial" w:hAnsi="Arial"/>
          <w:sz w:val="16"/>
          <w:szCs w:val="16"/>
          <w:color w:val="0000EE"/>
        </w:rPr>
        <w:t xml:space="preserve"> </w:t>
      </w:r>
      <w:r>
        <w:rPr>
          <w:rFonts w:ascii="Arial" w:cs="Arial" w:eastAsia="Arial" w:hAnsi="Arial"/>
          <w:sz w:val="16"/>
          <w:szCs w:val="16"/>
          <w:color w:val="000000"/>
        </w:rPr>
        <w:t>factors may be amended, supplemented or superseded from time to time by other reports we file with the SEC in the future or by a prospectus supplement relating to a particular offering of our securities. These risks and uncertainties are not the only risks and uncertainties we face. Additional risks and uncertainties not presently known to us, or that we currently view as immaterial, may also impair our business. If any of the risks or uncertainties described in our SEC filings or any prospectus supplement or any additional risks and uncertainties actually occur, our business, financial condition and results of operations could be materially and adversely affected. In that case, the trading price of our securities could decline and you might lose all or part of your investment.</w:t>
      </w:r>
    </w:p>
    <w:p>
      <w:pPr>
        <w:spacing w:after="0" w:line="160" w:lineRule="exact"/>
        <w:rPr>
          <w:sz w:val="20"/>
          <w:szCs w:val="20"/>
          <w:color w:val="auto"/>
        </w:rPr>
      </w:pPr>
    </w:p>
    <w:p>
      <w:pPr>
        <w:jc w:val="center"/>
        <w:ind w:right="-45"/>
        <w:spacing w:after="0"/>
        <w:rPr>
          <w:sz w:val="20"/>
          <w:szCs w:val="20"/>
          <w:color w:val="auto"/>
        </w:rPr>
      </w:pPr>
      <w:r>
        <w:rPr>
          <w:rFonts w:ascii="Arial" w:cs="Arial" w:eastAsia="Arial" w:hAnsi="Arial"/>
          <w:sz w:val="18"/>
          <w:szCs w:val="18"/>
          <w:b w:val="1"/>
          <w:bCs w:val="1"/>
          <w:color w:val="auto"/>
        </w:rPr>
        <w:t>FORWARD-LOOKING STATEMENTS</w:t>
      </w:r>
    </w:p>
    <w:p>
      <w:pPr>
        <w:spacing w:after="0" w:line="187" w:lineRule="exact"/>
        <w:rPr>
          <w:sz w:val="20"/>
          <w:szCs w:val="20"/>
          <w:color w:val="auto"/>
        </w:rPr>
      </w:pPr>
    </w:p>
    <w:p>
      <w:pPr>
        <w:ind w:left="6" w:right="40"/>
        <w:spacing w:after="0" w:line="218" w:lineRule="auto"/>
        <w:rPr>
          <w:rFonts w:ascii="Arial" w:cs="Arial" w:eastAsia="Arial" w:hAnsi="Arial"/>
          <w:sz w:val="17"/>
          <w:szCs w:val="17"/>
          <w:color w:val="0000EE"/>
        </w:rPr>
      </w:pPr>
      <w:r>
        <w:rPr>
          <w:rFonts w:ascii="Arial" w:cs="Arial" w:eastAsia="Arial" w:hAnsi="Arial"/>
          <w:sz w:val="17"/>
          <w:szCs w:val="17"/>
          <w:color w:val="auto"/>
        </w:rPr>
        <w:t xml:space="preserve">From time to time, in reports filed with the Securities and Exchange Commission (including this registration statement), in press releases and in other communications to stockholders or the investment community, we may provide forward-looking statements concerning possible or anticipated future results of operations or business developments. These statements are based on our management’s current expectations or predictions of future conditions, events or results based on various assumptions and our management’s estimates of trends and economic factors in the markets in which we are active, as well as our business plans. Words such as “expects,” “anticipates,” “intends,” “plans,” “believes,” “seeks,” “estimates,” “projects,” “forecasts,” “may,” “should,” and variations of such words and similar expressions are intended to identify such forward-looking statements. The forward-looking statements may include, without limitation, statements regarding product candidate development, product candidate potential, regulatory environment, sales and marketing strategies, capital resources or operating performance. The forward-looking statements are subject to risks and uncertainties, which may cause results to differ materially from those set forth in the statements. Forward-looking statements in this registration statement should be evaluated together with the many </w:t>
      </w:r>
      <w:hyperlink r:id="rId35">
        <w:r>
          <w:rPr>
            <w:rFonts w:ascii="Arial" w:cs="Arial" w:eastAsia="Arial" w:hAnsi="Arial"/>
            <w:sz w:val="17"/>
            <w:szCs w:val="17"/>
            <w:color w:val="auto"/>
          </w:rPr>
          <w:t xml:space="preserve">uncertainties that affect our business and our market, particularly those discussed in the “Risk Factors” section of our </w:t>
        </w:r>
        <w:r>
          <w:rPr>
            <w:rFonts w:ascii="Arial" w:cs="Arial" w:eastAsia="Arial" w:hAnsi="Arial"/>
            <w:sz w:val="17"/>
            <w:szCs w:val="17"/>
            <w:u w:val="single" w:color="auto"/>
            <w:color w:val="0000EE"/>
          </w:rPr>
          <w:t>Annual</w:t>
        </w:r>
      </w:hyperlink>
      <w:r>
        <w:rPr>
          <w:rFonts w:ascii="Arial" w:cs="Arial" w:eastAsia="Arial" w:hAnsi="Arial"/>
          <w:sz w:val="17"/>
          <w:szCs w:val="17"/>
          <w:color w:val="auto"/>
        </w:rPr>
        <w:t xml:space="preserve"> </w:t>
      </w:r>
      <w:hyperlink r:id="rId35">
        <w:r>
          <w:rPr>
            <w:rFonts w:ascii="Arial" w:cs="Arial" w:eastAsia="Arial" w:hAnsi="Arial"/>
            <w:sz w:val="17"/>
            <w:szCs w:val="17"/>
            <w:u w:val="single" w:color="auto"/>
            <w:color w:val="0000EE"/>
          </w:rPr>
          <w:t>Report on Form 10-K for the year ended December 31, 2018</w:t>
        </w:r>
        <w:r>
          <w:rPr>
            <w:rFonts w:ascii="Arial" w:cs="Arial" w:eastAsia="Arial" w:hAnsi="Arial"/>
            <w:sz w:val="17"/>
            <w:szCs w:val="17"/>
            <w:color w:val="0000EE"/>
          </w:rPr>
          <w:t xml:space="preserve"> </w:t>
        </w:r>
        <w:r>
          <w:rPr>
            <w:rFonts w:ascii="Arial" w:cs="Arial" w:eastAsia="Arial" w:hAnsi="Arial"/>
            <w:sz w:val="17"/>
            <w:szCs w:val="17"/>
            <w:color w:val="000000"/>
          </w:rPr>
          <w:t xml:space="preserve">and our subsequent filings, which are incorporated by reference </w:t>
        </w:r>
      </w:hyperlink>
      <w:r>
        <w:rPr>
          <w:rFonts w:ascii="Arial" w:cs="Arial" w:eastAsia="Arial" w:hAnsi="Arial"/>
          <w:sz w:val="17"/>
          <w:szCs w:val="17"/>
          <w:color w:val="0000EE"/>
        </w:rPr>
        <w:t xml:space="preserve">into </w:t>
      </w:r>
      <w:r>
        <w:rPr>
          <w:rFonts w:ascii="Arial" w:cs="Arial" w:eastAsia="Arial" w:hAnsi="Arial"/>
          <w:sz w:val="17"/>
          <w:szCs w:val="17"/>
          <w:color w:val="000000"/>
        </w:rPr>
        <w:t>this prospectus, to better understand the risks and uncertainties inherent in our business and underlying any forward-looking statements. Forward-looking statements are not guarantees of future performance, and actual results may differ materially from those projected. The forward-looking statements are representative only as of the date of this prospectus and except as required by law, we assume no responsibility to update any forward-looking statements, whether as a result of new information, future events or otherwise.</w:t>
      </w:r>
    </w:p>
    <w:p>
      <w:pPr>
        <w:spacing w:after="0" w:line="165" w:lineRule="exact"/>
        <w:rPr>
          <w:sz w:val="20"/>
          <w:szCs w:val="20"/>
          <w:color w:val="auto"/>
        </w:rPr>
      </w:pPr>
    </w:p>
    <w:p>
      <w:pPr>
        <w:ind w:left="6" w:right="100"/>
        <w:spacing w:after="0" w:line="228" w:lineRule="auto"/>
        <w:rPr>
          <w:sz w:val="20"/>
          <w:szCs w:val="20"/>
          <w:color w:val="auto"/>
        </w:rPr>
      </w:pPr>
      <w:r>
        <w:rPr>
          <w:rFonts w:ascii="Arial" w:cs="Arial" w:eastAsia="Arial" w:hAnsi="Arial"/>
          <w:sz w:val="17"/>
          <w:szCs w:val="17"/>
          <w:color w:val="auto"/>
        </w:rPr>
        <w:t>You should read this prospectus and the documents that we reference in this prospectus and have been filed as exhibits to the registration statement of which this prospectus is a part completely and with the understanding that our actual future results may be materially different from what we expect. The information contained in this prospectus is accurate only as of the date of this prospectus, regardless of the time of delivery of this prospectus or any issuance or sale of our common shares. Except as required by law, we do not assume any obligation to update any forward-looking statements.</w:t>
      </w:r>
    </w:p>
    <w:p>
      <w:pPr>
        <w:spacing w:after="0" w:line="156" w:lineRule="exact"/>
        <w:rPr>
          <w:sz w:val="20"/>
          <w:szCs w:val="20"/>
          <w:color w:val="auto"/>
        </w:rPr>
      </w:pPr>
    </w:p>
    <w:p>
      <w:pPr>
        <w:jc w:val="center"/>
        <w:ind w:right="-45"/>
        <w:spacing w:after="0"/>
        <w:rPr>
          <w:sz w:val="20"/>
          <w:szCs w:val="20"/>
          <w:color w:val="auto"/>
        </w:rPr>
      </w:pPr>
      <w:r>
        <w:rPr>
          <w:rFonts w:ascii="Arial" w:cs="Arial" w:eastAsia="Arial" w:hAnsi="Arial"/>
          <w:sz w:val="18"/>
          <w:szCs w:val="18"/>
          <w:b w:val="1"/>
          <w:bCs w:val="1"/>
          <w:color w:val="auto"/>
        </w:rPr>
        <w:t>USE OF PROCEEDS</w:t>
      </w:r>
    </w:p>
    <w:p>
      <w:pPr>
        <w:spacing w:after="0" w:line="187" w:lineRule="exact"/>
        <w:rPr>
          <w:sz w:val="20"/>
          <w:szCs w:val="20"/>
          <w:color w:val="auto"/>
        </w:rPr>
      </w:pPr>
    </w:p>
    <w:p>
      <w:pPr>
        <w:ind w:left="6" w:right="260"/>
        <w:spacing w:after="0" w:line="215" w:lineRule="auto"/>
        <w:rPr>
          <w:sz w:val="20"/>
          <w:szCs w:val="20"/>
          <w:color w:val="auto"/>
        </w:rPr>
      </w:pPr>
      <w:r>
        <w:rPr>
          <w:rFonts w:ascii="Arial" w:cs="Arial" w:eastAsia="Arial" w:hAnsi="Arial"/>
          <w:sz w:val="18"/>
          <w:szCs w:val="18"/>
          <w:color w:val="auto"/>
        </w:rPr>
        <w:t>Unless otherwise indicated in the applicable prospectus supplement, we will use the net proceeds from the sale of the securities offered hereby for general corporate purposes, which may include, but are not limited to working capital, capital expenditures, funding the ongoing clinical development of our product candidates, general and administrative expenses or other corporate obligations. We may use a portion of the net proceeds to pay off outstanding indebtedness, if any, or acquire or invest in businesses, products and technologies.</w:t>
      </w:r>
    </w:p>
    <w:p>
      <w:pPr>
        <w:spacing w:after="0" w:line="377" w:lineRule="exact"/>
        <w:rPr>
          <w:sz w:val="20"/>
          <w:szCs w:val="20"/>
          <w:color w:val="auto"/>
        </w:rPr>
      </w:pPr>
    </w:p>
    <w:p>
      <w:pPr>
        <w:jc w:val="center"/>
        <w:ind w:right="-45"/>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338455</wp:posOffset>
            </wp:positionV>
            <wp:extent cx="596646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7">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66"/>
          </w:cols>
          <w:pgMar w:left="1254" w:top="114" w:right="127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187" w:lineRule="exact"/>
        <w:rPr>
          <w:sz w:val="20"/>
          <w:szCs w:val="20"/>
          <w:color w:val="auto"/>
        </w:rPr>
      </w:pPr>
    </w:p>
    <w:p>
      <w:pPr>
        <w:ind w:right="20"/>
        <w:spacing w:after="0" w:line="213" w:lineRule="auto"/>
        <w:rPr>
          <w:sz w:val="20"/>
          <w:szCs w:val="20"/>
          <w:color w:val="auto"/>
        </w:rPr>
      </w:pPr>
      <w:r>
        <w:rPr>
          <w:rFonts w:ascii="Arial" w:cs="Arial" w:eastAsia="Arial" w:hAnsi="Arial"/>
          <w:sz w:val="18"/>
          <w:szCs w:val="18"/>
          <w:color w:val="auto"/>
        </w:rPr>
        <w:t>The following description is a general summary of the terms of the shares of common stock or shares of preferred stock that we may issue. The description below and in any prospectus supplement does not include all of the terms of the shares of common stock or shares of preferred stock and should be read together with our Amended and Restated Certificate of Incorporation and Amended and Restated Bylaws, copies of which have been filed previously with the SEC. For more information on how you can obtain copies of our Amended and Restated Certificate of Incorporation and Amended and Restated Bylaws, see “Where You Can Find More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7" w:lineRule="exact"/>
        <w:rPr>
          <w:sz w:val="20"/>
          <w:szCs w:val="20"/>
          <w:color w:val="auto"/>
        </w:rPr>
      </w:pPr>
    </w:p>
    <w:p>
      <w:pPr>
        <w:ind w:right="60"/>
        <w:spacing w:after="0" w:line="228" w:lineRule="auto"/>
        <w:rPr>
          <w:sz w:val="20"/>
          <w:szCs w:val="20"/>
          <w:color w:val="auto"/>
        </w:rPr>
      </w:pPr>
      <w:r>
        <w:rPr>
          <w:rFonts w:ascii="Arial" w:cs="Arial" w:eastAsia="Arial" w:hAnsi="Arial"/>
          <w:sz w:val="17"/>
          <w:szCs w:val="17"/>
          <w:color w:val="auto"/>
        </w:rPr>
        <w:t>Our Amended and Restated Certificate of Incorporation provides the authority to issue 150,000,000 shares of common stock, par value $0.0001 per share. As of November 1, 2019, there were 34,508,626 shares of common stock outstanding. Each share of our common stock has the same relative rights and is identical in all respects to each other share of our common stock. The rights, preferences and privileges of holders of our common stock are subject to the rights, preferences and privileges of the holders of shares of any series of preferred stock that we have issued or may issue in the future.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holders of our common stock are entitled to one vote per share on any matter to be voted upon by our stockholders. Our Amended and Restated Certificate of Incorporation does not permit cumulative voting in connection with the election of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87"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The holders of our common stock are entitled to dividends, if any, as our board of directors may declare from time to time from funds legally available for that purpose, subject to the holders of other classes of stock, if any, at the time outstanding having prior rights as to dividends, if 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187"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Upon any voluntary or involuntary liquidation, dissolution, or winding up of our affairs, the holders of our common stock are entitled to share ratably in all assets remaining after the payment of creditors, subject to any prior liquidation distribution rights of holders of other classes of stock, if any, at the time outstanding.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187" w:lineRule="exact"/>
        <w:rPr>
          <w:sz w:val="20"/>
          <w:szCs w:val="20"/>
          <w:color w:val="auto"/>
        </w:rPr>
      </w:pPr>
    </w:p>
    <w:p>
      <w:pPr>
        <w:jc w:val="both"/>
        <w:ind w:right="140"/>
        <w:spacing w:after="0" w:line="223" w:lineRule="auto"/>
        <w:rPr>
          <w:sz w:val="20"/>
          <w:szCs w:val="20"/>
          <w:color w:val="auto"/>
        </w:rPr>
      </w:pPr>
      <w:r>
        <w:rPr>
          <w:rFonts w:ascii="Arial" w:cs="Arial" w:eastAsia="Arial" w:hAnsi="Arial"/>
          <w:sz w:val="18"/>
          <w:szCs w:val="18"/>
          <w:color w:val="auto"/>
        </w:rPr>
        <w:t>Holders of our common stock have no preemptive, conversion, redemption or sinking fund rights. The outstanding shares of our common stock are, and the shares of common stock to be offered hereby when issued will be, validly issued, fully paid and non-assessable.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Listing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Market under the symbol “AXSM.”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 LLC.</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8">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40"/>
          </w:cols>
          <w:pgMar w:left="1260" w:top="114" w:right="129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7"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Our Amended and Restated Certificate of Incorporation authorizes the issuance of up to 10,000,000 shares of preferred stock, par value $0.0001 per share, none of which are issued and outstanding as of the date of this prospectus. We may issue, from time to time in one or more series, the terms of which may be determined at the time of issuance by our board of directors, without further action by our stockholders, shares of preferred stock and such shares may include voting rights, preferences as to dividends and liquidation, conversion rights, redemption rights and sinking fund provisions. The shares of each series of preferred stock shall have preferences, limitations and relative rights, including voting rights, identical with those of other shares of the same series and, except to the extent provided in the description of such series, of those of other series of preferred stock.</w:t>
      </w:r>
    </w:p>
    <w:p>
      <w:pPr>
        <w:spacing w:after="0" w:line="161" w:lineRule="exact"/>
        <w:rPr>
          <w:sz w:val="20"/>
          <w:szCs w:val="20"/>
          <w:color w:val="auto"/>
        </w:rPr>
      </w:pPr>
    </w:p>
    <w:p>
      <w:pPr>
        <w:ind w:right="300"/>
        <w:spacing w:after="0" w:line="223" w:lineRule="auto"/>
        <w:rPr>
          <w:sz w:val="20"/>
          <w:szCs w:val="20"/>
          <w:color w:val="auto"/>
        </w:rPr>
      </w:pPr>
      <w:r>
        <w:rPr>
          <w:rFonts w:ascii="Arial" w:cs="Arial" w:eastAsia="Arial" w:hAnsi="Arial"/>
          <w:sz w:val="18"/>
          <w:szCs w:val="18"/>
          <w:color w:val="auto"/>
        </w:rPr>
        <w:t>The issuance of any preferred stock could adversely affect the rights of the holders of common stock and, therefore, reduce the value of the common stock. The ability of our board of directors to issue preferred stock could discourage, delay or prevent a takeover or change in control.</w:t>
      </w:r>
    </w:p>
    <w:p>
      <w:pPr>
        <w:spacing w:after="0" w:line="162" w:lineRule="exact"/>
        <w:rPr>
          <w:sz w:val="20"/>
          <w:szCs w:val="20"/>
          <w:color w:val="auto"/>
        </w:rPr>
      </w:pPr>
    </w:p>
    <w:p>
      <w:pPr>
        <w:ind w:right="80"/>
        <w:spacing w:after="0" w:line="218" w:lineRule="auto"/>
        <w:rPr>
          <w:sz w:val="20"/>
          <w:szCs w:val="20"/>
          <w:color w:val="auto"/>
        </w:rPr>
      </w:pPr>
      <w:r>
        <w:rPr>
          <w:rFonts w:ascii="Arial" w:cs="Arial" w:eastAsia="Arial" w:hAnsi="Arial"/>
          <w:sz w:val="18"/>
          <w:szCs w:val="18"/>
          <w:color w:val="auto"/>
        </w:rPr>
        <w:t>The description of the terms of a particular series of preferred stock in the applicable prospectus supplement will not be complete. You should refer to the applicable certificate of designation for complete information regarding a series of preferred stock. The prospectus supplement will also contain a description of U.S. federal income tax consequences relating to the preferred stock, if material.</w:t>
      </w:r>
    </w:p>
    <w:p>
      <w:pPr>
        <w:spacing w:after="0" w:line="162"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 terms of any particular series of preferred stock will be described in the prospectus supplement relating to that particular series of preferred stock, including, where applicable:</w:t>
      </w:r>
    </w:p>
    <w:p>
      <w:pPr>
        <w:spacing w:after="0" w:line="161" w:lineRule="exact"/>
        <w:rPr>
          <w:sz w:val="20"/>
          <w:szCs w:val="20"/>
          <w:color w:val="auto"/>
        </w:rPr>
      </w:pPr>
    </w:p>
    <w:p>
      <w:pPr>
        <w:ind w:left="960" w:right="480" w:hanging="320"/>
        <w:spacing w:after="0" w:line="244"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series designation, stated value and liquidation preference of such preferred stock and the number of shares offered;</w:t>
      </w:r>
    </w:p>
    <w:p>
      <w:pPr>
        <w:spacing w:after="0" w:line="170" w:lineRule="exact"/>
        <w:rPr>
          <w:rFonts w:ascii="Arial" w:cs="Arial" w:eastAsia="Arial" w:hAnsi="Arial"/>
          <w:sz w:val="18"/>
          <w:szCs w:val="18"/>
          <w:color w:val="auto"/>
        </w:rPr>
      </w:pPr>
    </w:p>
    <w:p>
      <w:pPr>
        <w:ind w:left="960" w:hanging="320"/>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offering price;</w:t>
      </w:r>
    </w:p>
    <w:p>
      <w:pPr>
        <w:spacing w:after="0" w:line="196" w:lineRule="exact"/>
        <w:rPr>
          <w:rFonts w:ascii="Arial" w:cs="Arial" w:eastAsia="Arial" w:hAnsi="Arial"/>
          <w:sz w:val="18"/>
          <w:szCs w:val="18"/>
          <w:color w:val="auto"/>
        </w:rPr>
      </w:pPr>
    </w:p>
    <w:p>
      <w:pPr>
        <w:ind w:left="960" w:right="300" w:hanging="320"/>
        <w:spacing w:after="0" w:line="234"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dividend rate or rates (or method of calculation), the date or dates from which dividends shall accrue, and whether such dividends shall be cumulative or noncumulative and, if cumulative, the dates from which dividends shall commence to cumulate;</w:t>
      </w:r>
    </w:p>
    <w:p>
      <w:pPr>
        <w:spacing w:after="0" w:line="174" w:lineRule="exact"/>
        <w:rPr>
          <w:rFonts w:ascii="Arial" w:cs="Arial" w:eastAsia="Arial" w:hAnsi="Arial"/>
          <w:sz w:val="18"/>
          <w:szCs w:val="18"/>
          <w:color w:val="auto"/>
        </w:rPr>
      </w:pPr>
    </w:p>
    <w:p>
      <w:pPr>
        <w:ind w:left="960" w:hanging="320"/>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redemption or sinking fund provisions;</w:t>
      </w:r>
    </w:p>
    <w:p>
      <w:pPr>
        <w:spacing w:after="0" w:line="196" w:lineRule="exact"/>
        <w:rPr>
          <w:rFonts w:ascii="Arial" w:cs="Arial" w:eastAsia="Arial" w:hAnsi="Arial"/>
          <w:sz w:val="18"/>
          <w:szCs w:val="18"/>
          <w:color w:val="auto"/>
        </w:rPr>
      </w:pPr>
    </w:p>
    <w:p>
      <w:pPr>
        <w:ind w:left="960" w:right="620" w:hanging="320"/>
        <w:spacing w:after="0" w:line="244"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that shares of such series shall be entitled to receive in the event of our liquidation, dissolution or winding-up;</w:t>
      </w:r>
    </w:p>
    <w:p>
      <w:pPr>
        <w:spacing w:after="0" w:line="170" w:lineRule="exact"/>
        <w:rPr>
          <w:rFonts w:ascii="Arial" w:cs="Arial" w:eastAsia="Arial" w:hAnsi="Arial"/>
          <w:sz w:val="18"/>
          <w:szCs w:val="18"/>
          <w:color w:val="auto"/>
        </w:rPr>
      </w:pPr>
    </w:p>
    <w:p>
      <w:pPr>
        <w:ind w:left="960" w:right="20" w:hanging="320"/>
        <w:spacing w:after="0" w:line="244"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terms and conditions, if any, on which shares of such series shall be convertible or exchangeable for shares of our stock of any other class or classes, or other series of the same class;</w:t>
      </w:r>
    </w:p>
    <w:p>
      <w:pPr>
        <w:spacing w:after="0" w:line="170" w:lineRule="exact"/>
        <w:rPr>
          <w:rFonts w:ascii="Arial" w:cs="Arial" w:eastAsia="Arial" w:hAnsi="Arial"/>
          <w:sz w:val="18"/>
          <w:szCs w:val="18"/>
          <w:color w:val="auto"/>
        </w:rPr>
      </w:pPr>
    </w:p>
    <w:p>
      <w:pPr>
        <w:ind w:left="960" w:right="420" w:hanging="320"/>
        <w:spacing w:after="0" w:line="244"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voting rights, if any, of shares of such series in addition to those set forth under the caption entitled, “Voting Rights” below;</w:t>
      </w:r>
    </w:p>
    <w:p>
      <w:pPr>
        <w:spacing w:after="0" w:line="170" w:lineRule="exact"/>
        <w:rPr>
          <w:rFonts w:ascii="Arial" w:cs="Arial" w:eastAsia="Arial" w:hAnsi="Arial"/>
          <w:sz w:val="18"/>
          <w:szCs w:val="18"/>
          <w:color w:val="auto"/>
        </w:rPr>
      </w:pPr>
    </w:p>
    <w:p>
      <w:pPr>
        <w:ind w:left="960" w:right="820" w:hanging="320"/>
        <w:spacing w:after="0" w:line="244"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status as to reissuance or sale of shares of such series redeemed, purchased or otherwise reacquired, or surrendered to us on conversion or exchange;</w:t>
      </w:r>
    </w:p>
    <w:p>
      <w:pPr>
        <w:spacing w:after="0" w:line="170" w:lineRule="exact"/>
        <w:rPr>
          <w:rFonts w:ascii="Arial" w:cs="Arial" w:eastAsia="Arial" w:hAnsi="Arial"/>
          <w:sz w:val="18"/>
          <w:szCs w:val="18"/>
          <w:color w:val="auto"/>
        </w:rPr>
      </w:pPr>
    </w:p>
    <w:p>
      <w:pPr>
        <w:ind w:left="960" w:right="100" w:hanging="320"/>
        <w:spacing w:after="0" w:line="245" w:lineRule="auto"/>
        <w:tabs>
          <w:tab w:leader="none" w:pos="9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conditions and restrictions, if any, on the payment of dividends or on the making of other distributions on, or the purchase, redemption or other acquisition by us, of our common stock or of any other class of our stock ranking junior to the shares of such series as to dividends or upon liquidation (including, but not limited to, at such times as there are arrearages in the payment of dividends or sinking fund installments);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9">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80"/>
          </w:cols>
          <w:pgMar w:left="1260" w:top="114" w:right="125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4" w:lineRule="exact"/>
        <w:rPr>
          <w:sz w:val="20"/>
          <w:szCs w:val="20"/>
          <w:color w:val="auto"/>
        </w:rPr>
      </w:pPr>
    </w:p>
    <w:p>
      <w:pPr>
        <w:ind w:left="960" w:right="300" w:hanging="320"/>
        <w:spacing w:after="0" w:line="305" w:lineRule="auto"/>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conditions and restrictions, if any, on the creation of Company indebtedness, or on the issue of any additional stock ranking on a parity with or prior to the shares of such series as to dividends or upon liquidation; and</w:t>
      </w:r>
    </w:p>
    <w:p>
      <w:pPr>
        <w:spacing w:after="0" w:line="123" w:lineRule="exact"/>
        <w:rPr>
          <w:rFonts w:ascii="Arial" w:cs="Arial" w:eastAsia="Arial" w:hAnsi="Arial"/>
          <w:sz w:val="16"/>
          <w:szCs w:val="16"/>
          <w:color w:val="auto"/>
        </w:rPr>
      </w:pPr>
    </w:p>
    <w:p>
      <w:pPr>
        <w:ind w:left="960" w:right="40" w:hanging="320"/>
        <w:spacing w:after="0" w:line="244"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additional dividend, liquidation, redemption, sinking or retirement fund and other rights, preferences, privileges, limitations and restrictions of such preferred stock.</w:t>
      </w:r>
    </w:p>
    <w:p>
      <w:pPr>
        <w:spacing w:after="0" w:line="171"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If we issue shares of preferred stock under this prospectus and any related prospectus supplement, the shares will be fully paid and non-assessable and will not have, or be subject to, any preemptive or similar rights.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87"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The General Corporation Law of Delaware, or the DGCL provides that the holders of preferred stock will have the right to vote separately as a class on any proposal involving fundamental changes in the rights of holders of that preferred stock. This right is in addition to any voting rights that may be provided for in the applicable certificate of designation.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transfer agent and registrar for any series of preferred stock will be set forth in the applicable prospectus supplement.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87" w:lineRule="exact"/>
        <w:rPr>
          <w:sz w:val="20"/>
          <w:szCs w:val="20"/>
          <w:color w:val="auto"/>
        </w:rPr>
      </w:pPr>
    </w:p>
    <w:p>
      <w:pPr>
        <w:jc w:val="both"/>
        <w:ind w:right="460"/>
        <w:spacing w:after="0" w:line="257" w:lineRule="auto"/>
        <w:rPr>
          <w:sz w:val="20"/>
          <w:szCs w:val="20"/>
          <w:color w:val="auto"/>
        </w:rPr>
      </w:pPr>
      <w:r>
        <w:rPr>
          <w:rFonts w:ascii="Arial" w:cs="Arial" w:eastAsia="Arial" w:hAnsi="Arial"/>
          <w:sz w:val="16"/>
          <w:szCs w:val="16"/>
          <w:color w:val="auto"/>
        </w:rPr>
        <w:t>Our issuance of preferred stock could decrease the amount of earnings and assets available for distribution to the holders of common stock or could adversely affect the rights and powers, including voting rights, of the holders of common stock. The issuance of preferred stock could have the effect of decreasing the market price of our common stock.</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Delaware Law and Certain Amended and Restated Certificate of Incorporation and Amended and Restated Bylaws Provisions</w:t>
      </w:r>
    </w:p>
    <w:p>
      <w:pPr>
        <w:spacing w:after="0" w:line="217"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w:t>
      </w:r>
    </w:p>
    <w:p>
      <w:pPr>
        <w:spacing w:after="0" w:line="162" w:lineRule="exact"/>
        <w:rPr>
          <w:sz w:val="20"/>
          <w:szCs w:val="20"/>
          <w:color w:val="auto"/>
        </w:rPr>
      </w:pPr>
    </w:p>
    <w:p>
      <w:pPr>
        <w:ind w:left="960" w:right="300" w:hanging="320"/>
        <w:spacing w:after="0" w:line="244"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Authorize the issuance of preferred stock which can be created and issued by the board of directors without prior stockholder approval, with rights senior to those of our common stock;</w:t>
      </w:r>
    </w:p>
    <w:p>
      <w:pPr>
        <w:spacing w:after="0" w:line="63" w:lineRule="exact"/>
        <w:rPr>
          <w:rFonts w:ascii="Arial" w:cs="Arial" w:eastAsia="Arial" w:hAnsi="Arial"/>
          <w:sz w:val="18"/>
          <w:szCs w:val="18"/>
          <w:color w:val="auto"/>
        </w:rPr>
      </w:pPr>
    </w:p>
    <w:p>
      <w:pPr>
        <w:ind w:left="960" w:hanging="320"/>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for a classified board of directors, with each director serving a staggered three-year term;</w:t>
      </w:r>
    </w:p>
    <w:p>
      <w:pPr>
        <w:spacing w:after="0" w:line="88" w:lineRule="exact"/>
        <w:rPr>
          <w:rFonts w:ascii="Arial" w:cs="Arial" w:eastAsia="Arial" w:hAnsi="Arial"/>
          <w:sz w:val="18"/>
          <w:szCs w:val="18"/>
          <w:color w:val="auto"/>
        </w:rPr>
      </w:pPr>
    </w:p>
    <w:p>
      <w:pPr>
        <w:ind w:left="960" w:right="440" w:hanging="320"/>
        <w:spacing w:after="0" w:line="244"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Prohibit our stockholders from filling board vacancies, calling special stockholder meetings or taking action by written consent;</w:t>
      </w:r>
    </w:p>
    <w:p>
      <w:pPr>
        <w:spacing w:after="0" w:line="63" w:lineRule="exact"/>
        <w:rPr>
          <w:rFonts w:ascii="Arial" w:cs="Arial" w:eastAsia="Arial" w:hAnsi="Arial"/>
          <w:sz w:val="18"/>
          <w:szCs w:val="18"/>
          <w:color w:val="auto"/>
        </w:rPr>
      </w:pPr>
    </w:p>
    <w:p>
      <w:pPr>
        <w:ind w:left="960" w:right="100" w:hanging="320"/>
        <w:spacing w:after="0" w:line="244"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for the removal of a director only with cause and by the affirmative vote of the holders of 66 2/3 % or more of the shares then entitled to vote at an election of our directors;</w:t>
      </w:r>
    </w:p>
    <w:p>
      <w:pPr>
        <w:spacing w:after="0" w:line="63" w:lineRule="exact"/>
        <w:rPr>
          <w:rFonts w:ascii="Arial" w:cs="Arial" w:eastAsia="Arial" w:hAnsi="Arial"/>
          <w:sz w:val="18"/>
          <w:szCs w:val="18"/>
          <w:color w:val="auto"/>
        </w:rPr>
      </w:pPr>
    </w:p>
    <w:p>
      <w:pPr>
        <w:ind w:left="960" w:hanging="320"/>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 advance written notice of stockholder proposals and director nominations; and</w:t>
      </w:r>
    </w:p>
    <w:p>
      <w:pPr>
        <w:spacing w:after="0" w:line="88" w:lineRule="exact"/>
        <w:rPr>
          <w:rFonts w:ascii="Arial" w:cs="Arial" w:eastAsia="Arial" w:hAnsi="Arial"/>
          <w:sz w:val="18"/>
          <w:szCs w:val="18"/>
          <w:color w:val="auto"/>
        </w:rPr>
      </w:pPr>
    </w:p>
    <w:p>
      <w:pPr>
        <w:ind w:left="960" w:right="160" w:hanging="320"/>
        <w:spacing w:after="0" w:line="244"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 any action instituted against our officers or directors in connection with their service to us to be brought in the state of Delaware.</w:t>
      </w:r>
    </w:p>
    <w:p>
      <w:pPr>
        <w:spacing w:after="0" w:line="171" w:lineRule="exact"/>
        <w:rPr>
          <w:sz w:val="20"/>
          <w:szCs w:val="20"/>
          <w:color w:val="auto"/>
        </w:rPr>
      </w:pPr>
    </w:p>
    <w:p>
      <w:pPr>
        <w:ind w:right="100"/>
        <w:spacing w:after="0" w:line="210" w:lineRule="auto"/>
        <w:rPr>
          <w:sz w:val="20"/>
          <w:szCs w:val="20"/>
          <w:color w:val="auto"/>
        </w:rPr>
      </w:pPr>
      <w:r>
        <w:rPr>
          <w:rFonts w:ascii="Arial" w:cs="Arial" w:eastAsia="Arial" w:hAnsi="Arial"/>
          <w:sz w:val="18"/>
          <w:szCs w:val="18"/>
          <w:color w:val="auto"/>
        </w:rPr>
        <w:t>In addition, we are subject to the provisions of Section 203 of the DGCL, which may prohibit certain business combinations with stockholders owning 15% or more of our outstanding voting stock. These and other provisions in our Amended and Restated Certificate of Incorporation, Amended and Restated Bylaws and the DGCL could make it more difficult for stockholders or potential acquirors to obtain control of our board of directors or initiate actions that are opposed by our then-current board of directors, including a merger, tender offer or proxy contest involving our company. This provision could have the effect of delaying or preventing a change of control, whether or not it is desired by or beneficial to our stockholders. Any delay or prevention of a change of control transaction or changes in our board of directors could cause the market price of our common stock to decline.</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0">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60"/>
          </w:cols>
          <w:pgMar w:left="1260" w:top="114" w:right="127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4"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Further, our Amended and Restated Certificate of Incorporation provides that, unless we consent in writing to the selection of an alternative forum, the Court of Chancery of the State of Delaware shall be the sole and exclusive forum for (1) any derivative action or proceeding brought on behalf of our company, (2) any action asserting a claim of breach of a fiduciary duty owed by any of our directors, officers, employees or agents to our company or our stockholders, (3) any action asserting a claim arising pursuant to any provision of the DGCL, or (4) any action asserting a claim governed by the internal affairs doctrine, in each such case subject to such Court of Chancery having personal jurisdiction over the indispensable parties named as defendants therein.</w:t>
      </w:r>
    </w:p>
    <w:p>
      <w:pPr>
        <w:spacing w:after="0" w:line="164" w:lineRule="exact"/>
        <w:rPr>
          <w:sz w:val="20"/>
          <w:szCs w:val="20"/>
          <w:color w:val="auto"/>
        </w:rPr>
      </w:pPr>
    </w:p>
    <w:p>
      <w:pPr>
        <w:spacing w:after="0" w:line="232" w:lineRule="auto"/>
        <w:rPr>
          <w:sz w:val="20"/>
          <w:szCs w:val="20"/>
          <w:color w:val="auto"/>
        </w:rPr>
      </w:pPr>
      <w:r>
        <w:rPr>
          <w:rFonts w:ascii="Arial" w:cs="Arial" w:eastAsia="Arial" w:hAnsi="Arial"/>
          <w:sz w:val="16"/>
          <w:szCs w:val="16"/>
          <w:color w:val="auto"/>
        </w:rPr>
        <w:t>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or agents, which may discourage such lawsuits against us and our directors, officers, employees and agents.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87" w:lineRule="exact"/>
        <w:rPr>
          <w:sz w:val="20"/>
          <w:szCs w:val="20"/>
          <w:color w:val="auto"/>
        </w:rPr>
      </w:pPr>
    </w:p>
    <w:p>
      <w:pPr>
        <w:ind w:right="140"/>
        <w:spacing w:after="0" w:line="222" w:lineRule="auto"/>
        <w:rPr>
          <w:sz w:val="20"/>
          <w:szCs w:val="20"/>
          <w:color w:val="auto"/>
        </w:rPr>
      </w:pPr>
      <w:r>
        <w:rPr>
          <w:rFonts w:ascii="Arial" w:cs="Arial" w:eastAsia="Arial" w:hAnsi="Arial"/>
          <w:sz w:val="17"/>
          <w:szCs w:val="17"/>
          <w:color w:val="auto"/>
        </w:rPr>
        <w:t>Our Amended and Restated Certificate of Incorporation contains provisions permitted under the DGCL relating to the liability of directors. The provisions eliminate, to the extent legally permissible, a director’s liability for monetary damages for a breach of fiduciary duty, except in circumstances involving wrongful acts, such as the breach of a director’s duty of loyalty or acts or omissions that involve intentional misconduct or a knowing violation of law. The limitation of liability described above does not alter the liability of our directors and officers under federal securities laws. Furthermore, our certificate of incorporation contains provisions to indemnify our directors and officers to the fullest extent permitted by the DGCL. These provisions do not limit or eliminate our right or the right of any stockholder of ours to seek non-monetary relief, such as an injunction or rescission in the event of a breach by a director or an officer of his duty of care to us. We believe that these provisions assist us in attracting and retaining qualified individuals to serve as directors.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187" w:lineRule="exact"/>
        <w:rPr>
          <w:sz w:val="20"/>
          <w:szCs w:val="20"/>
          <w:color w:val="auto"/>
        </w:rPr>
      </w:pPr>
    </w:p>
    <w:p>
      <w:pPr>
        <w:ind w:right="60"/>
        <w:spacing w:after="0" w:line="218" w:lineRule="auto"/>
        <w:rPr>
          <w:sz w:val="20"/>
          <w:szCs w:val="20"/>
          <w:color w:val="auto"/>
        </w:rPr>
      </w:pPr>
      <w:r>
        <w:rPr>
          <w:rFonts w:ascii="Arial" w:cs="Arial" w:eastAsia="Arial" w:hAnsi="Arial"/>
          <w:sz w:val="18"/>
          <w:szCs w:val="18"/>
          <w:color w:val="auto"/>
        </w:rPr>
        <w:t>We may issue warrants for the purchase of shares of our common stock, shares of our preferred stock or debt securities. The following description sets forth certain general terms and provisions of the warrants that we may offer pursuant to this prospectus. The particular terms of the warrants and the extent, if any, to which the general terms and provisions may apply to the warrants so offered will be described in the applicable prospectus supplement.</w:t>
      </w:r>
    </w:p>
    <w:p>
      <w:pPr>
        <w:spacing w:after="0" w:line="162" w:lineRule="exact"/>
        <w:rPr>
          <w:sz w:val="20"/>
          <w:szCs w:val="20"/>
          <w:color w:val="auto"/>
        </w:rPr>
      </w:pPr>
    </w:p>
    <w:p>
      <w:pPr>
        <w:ind w:right="180"/>
        <w:spacing w:after="0" w:line="247" w:lineRule="auto"/>
        <w:rPr>
          <w:sz w:val="20"/>
          <w:szCs w:val="20"/>
          <w:color w:val="auto"/>
        </w:rPr>
      </w:pPr>
      <w:r>
        <w:rPr>
          <w:rFonts w:ascii="Arial" w:cs="Arial" w:eastAsia="Arial" w:hAnsi="Arial"/>
          <w:sz w:val="16"/>
          <w:szCs w:val="16"/>
          <w:color w:val="auto"/>
        </w:rPr>
        <w:t>Warrants may be issued independently or together with other securities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and will not have any obligation or relationship of agency or trust for or with any holders or beneficial owners of warrants.</w:t>
      </w:r>
    </w:p>
    <w:p>
      <w:pPr>
        <w:spacing w:after="0" w:line="157" w:lineRule="exact"/>
        <w:rPr>
          <w:sz w:val="20"/>
          <w:szCs w:val="20"/>
          <w:color w:val="auto"/>
        </w:rPr>
      </w:pPr>
    </w:p>
    <w:p>
      <w:pPr>
        <w:ind w:right="100"/>
        <w:spacing w:after="0" w:line="218" w:lineRule="auto"/>
        <w:rPr>
          <w:sz w:val="20"/>
          <w:szCs w:val="20"/>
          <w:color w:val="auto"/>
        </w:rPr>
      </w:pPr>
      <w:r>
        <w:rPr>
          <w:rFonts w:ascii="Arial" w:cs="Arial" w:eastAsia="Arial" w:hAnsi="Arial"/>
          <w:sz w:val="18"/>
          <w:szCs w:val="18"/>
          <w:color w:val="auto"/>
        </w:rPr>
        <w:t>A copy of the forms of the warrant agreement and the warrant certificate relating to any particular issue of warrants will be filed with the SEC each time we issue warrants, and you should read those documents for provisions that may be important to you. For more information on how you can obtain copies of the forms of the warrant agreement and the related warrant certificate, see “Where You Can Find More Information.”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1">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80"/>
          </w:cols>
          <w:pgMar w:left="1260" w:top="114" w:right="125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Warrants</w:t>
      </w:r>
    </w:p>
    <w:p>
      <w:pPr>
        <w:spacing w:after="0" w:line="187"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The prospectus supplement relating to a particular issue of warrants to issue shares of our common stock or shares of our preferred stock will describe the terms of the common share warrants and preferred share warrants, including the following:</w:t>
      </w:r>
    </w:p>
    <w:p>
      <w:pPr>
        <w:spacing w:after="0" w:line="148" w:lineRule="exact"/>
        <w:rPr>
          <w:sz w:val="20"/>
          <w:szCs w:val="20"/>
          <w:color w:val="auto"/>
        </w:rPr>
      </w:pPr>
    </w:p>
    <w:p>
      <w:pPr>
        <w:ind w:left="960" w:hanging="320"/>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196" w:lineRule="exact"/>
        <w:rPr>
          <w:rFonts w:ascii="Arial" w:cs="Arial" w:eastAsia="Arial" w:hAnsi="Arial"/>
          <w:sz w:val="18"/>
          <w:szCs w:val="18"/>
          <w:color w:val="auto"/>
        </w:rPr>
      </w:pPr>
    </w:p>
    <w:p>
      <w:pPr>
        <w:ind w:left="960" w:right="260" w:hanging="320"/>
        <w:spacing w:after="0" w:line="244"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designation and terms of the shares of common stock or shares of preferred stock that may be purchased upon exercise of the warrants;</w:t>
      </w:r>
    </w:p>
    <w:p>
      <w:pPr>
        <w:spacing w:after="0" w:line="170" w:lineRule="exact"/>
        <w:rPr>
          <w:rFonts w:ascii="Arial" w:cs="Arial" w:eastAsia="Arial" w:hAnsi="Arial"/>
          <w:sz w:val="18"/>
          <w:szCs w:val="18"/>
          <w:color w:val="auto"/>
        </w:rPr>
      </w:pPr>
    </w:p>
    <w:p>
      <w:pPr>
        <w:ind w:left="960" w:hanging="320"/>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terms for changes or adjustments to the exercise price of the warrants;</w:t>
      </w:r>
    </w:p>
    <w:p>
      <w:pPr>
        <w:spacing w:after="0" w:line="196" w:lineRule="exact"/>
        <w:rPr>
          <w:rFonts w:ascii="Arial" w:cs="Arial" w:eastAsia="Arial" w:hAnsi="Arial"/>
          <w:sz w:val="18"/>
          <w:szCs w:val="18"/>
          <w:color w:val="auto"/>
        </w:rPr>
      </w:pPr>
    </w:p>
    <w:p>
      <w:pPr>
        <w:ind w:left="960" w:right="20" w:hanging="320"/>
        <w:spacing w:after="0" w:line="244"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that the warrants are issued with and the number of warrants issued with each security;</w:t>
      </w:r>
    </w:p>
    <w:p>
      <w:pPr>
        <w:spacing w:after="0" w:line="170" w:lineRule="exact"/>
        <w:rPr>
          <w:rFonts w:ascii="Arial" w:cs="Arial" w:eastAsia="Arial" w:hAnsi="Arial"/>
          <w:sz w:val="18"/>
          <w:szCs w:val="18"/>
          <w:color w:val="auto"/>
        </w:rPr>
      </w:pPr>
    </w:p>
    <w:p>
      <w:pPr>
        <w:ind w:left="960" w:right="740" w:hanging="320"/>
        <w:spacing w:after="0" w:line="244"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any securities issued with the warrants will be separately transferable;</w:t>
      </w:r>
    </w:p>
    <w:p>
      <w:pPr>
        <w:spacing w:after="0" w:line="170" w:lineRule="exact"/>
        <w:rPr>
          <w:rFonts w:ascii="Arial" w:cs="Arial" w:eastAsia="Arial" w:hAnsi="Arial"/>
          <w:sz w:val="18"/>
          <w:szCs w:val="18"/>
          <w:color w:val="auto"/>
        </w:rPr>
      </w:pPr>
    </w:p>
    <w:p>
      <w:pPr>
        <w:ind w:left="960" w:hanging="320"/>
        <w:spacing w:after="0" w:line="244"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shares of common stock or shares of preferred stock that may be purchased upon exercise of a warrant and the price at which the shares may be purchased upon exercise;</w:t>
      </w:r>
    </w:p>
    <w:p>
      <w:pPr>
        <w:spacing w:after="0" w:line="170" w:lineRule="exact"/>
        <w:rPr>
          <w:rFonts w:ascii="Arial" w:cs="Arial" w:eastAsia="Arial" w:hAnsi="Arial"/>
          <w:sz w:val="18"/>
          <w:szCs w:val="18"/>
          <w:color w:val="auto"/>
        </w:rPr>
      </w:pPr>
    </w:p>
    <w:p>
      <w:pPr>
        <w:ind w:left="960" w:hanging="320"/>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commence and expire;</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anti-dilution provisions of the warrants, if any;</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redemption or call provisions, if any, applicable to the warrants;</w:t>
      </w:r>
    </w:p>
    <w:p>
      <w:pPr>
        <w:spacing w:after="0" w:line="196" w:lineRule="exact"/>
        <w:rPr>
          <w:rFonts w:ascii="Arial" w:cs="Arial" w:eastAsia="Arial" w:hAnsi="Arial"/>
          <w:sz w:val="18"/>
          <w:szCs w:val="18"/>
          <w:color w:val="auto"/>
        </w:rPr>
      </w:pPr>
    </w:p>
    <w:p>
      <w:pPr>
        <w:ind w:left="960" w:right="560" w:hanging="320"/>
        <w:spacing w:after="0" w:line="244"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and exercise of the warrants; and</w:t>
      </w:r>
    </w:p>
    <w:p>
      <w:pPr>
        <w:spacing w:after="0" w:line="170" w:lineRule="exact"/>
        <w:rPr>
          <w:rFonts w:ascii="Arial" w:cs="Arial" w:eastAsia="Arial" w:hAnsi="Arial"/>
          <w:sz w:val="18"/>
          <w:szCs w:val="18"/>
          <w:color w:val="auto"/>
        </w:rPr>
      </w:pPr>
    </w:p>
    <w:p>
      <w:pPr>
        <w:ind w:left="960" w:hanging="320"/>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information we think is important about the warrants.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Warrants</w:t>
      </w:r>
    </w:p>
    <w:p>
      <w:pPr>
        <w:spacing w:after="0" w:line="187" w:lineRule="exact"/>
        <w:rPr>
          <w:sz w:val="20"/>
          <w:szCs w:val="20"/>
          <w:color w:val="auto"/>
        </w:rPr>
      </w:pPr>
    </w:p>
    <w:p>
      <w:pPr>
        <w:ind w:right="560"/>
        <w:spacing w:after="0" w:line="234" w:lineRule="auto"/>
        <w:rPr>
          <w:sz w:val="20"/>
          <w:szCs w:val="20"/>
          <w:color w:val="auto"/>
        </w:rPr>
      </w:pPr>
      <w:r>
        <w:rPr>
          <w:rFonts w:ascii="Arial" w:cs="Arial" w:eastAsia="Arial" w:hAnsi="Arial"/>
          <w:sz w:val="18"/>
          <w:szCs w:val="18"/>
          <w:color w:val="auto"/>
        </w:rPr>
        <w:t>The prospectus supplement relating to a particular issue of warrants to issue debt securities will describe the terms of those warrants, including the following:</w:t>
      </w:r>
    </w:p>
    <w:p>
      <w:pPr>
        <w:spacing w:after="0" w:line="161" w:lineRule="exact"/>
        <w:rPr>
          <w:sz w:val="20"/>
          <w:szCs w:val="20"/>
          <w:color w:val="auto"/>
        </w:rPr>
      </w:pPr>
    </w:p>
    <w:p>
      <w:pPr>
        <w:ind w:left="960" w:hanging="320"/>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2">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60"/>
          </w:cols>
          <w:pgMar w:left="1260" w:top="114" w:right="127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4" w:lineRule="exact"/>
        <w:rPr>
          <w:sz w:val="20"/>
          <w:szCs w:val="20"/>
          <w:color w:val="auto"/>
        </w:rPr>
      </w:pPr>
    </w:p>
    <w:p>
      <w:pPr>
        <w:ind w:left="960" w:hanging="320"/>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designation and terms of the debt securities purchasable upon exercise of the warrants;</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terms for changes or adjustments to the exercise price of the warrants;</w:t>
      </w:r>
    </w:p>
    <w:p>
      <w:pPr>
        <w:spacing w:after="0" w:line="196" w:lineRule="exact"/>
        <w:rPr>
          <w:rFonts w:ascii="Arial" w:cs="Arial" w:eastAsia="Arial" w:hAnsi="Arial"/>
          <w:sz w:val="18"/>
          <w:szCs w:val="18"/>
          <w:color w:val="auto"/>
        </w:rPr>
      </w:pPr>
    </w:p>
    <w:p>
      <w:pPr>
        <w:ind w:left="960" w:right="360" w:hanging="320"/>
        <w:spacing w:after="0" w:line="244"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applicable, the designation and terms of the debt securities that the warrants are issued with and the number of warrants issued with each debt security;</w:t>
      </w:r>
    </w:p>
    <w:p>
      <w:pPr>
        <w:spacing w:after="0" w:line="170" w:lineRule="exact"/>
        <w:rPr>
          <w:rFonts w:ascii="Arial" w:cs="Arial" w:eastAsia="Arial" w:hAnsi="Arial"/>
          <w:sz w:val="18"/>
          <w:szCs w:val="18"/>
          <w:color w:val="auto"/>
        </w:rPr>
      </w:pPr>
    </w:p>
    <w:p>
      <w:pPr>
        <w:ind w:left="960" w:right="140" w:hanging="320"/>
        <w:spacing w:after="0" w:line="244"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any debt securities issued with them will be separately transferable;</w:t>
      </w:r>
    </w:p>
    <w:p>
      <w:pPr>
        <w:spacing w:after="0" w:line="170" w:lineRule="exact"/>
        <w:rPr>
          <w:rFonts w:ascii="Arial" w:cs="Arial" w:eastAsia="Arial" w:hAnsi="Arial"/>
          <w:sz w:val="18"/>
          <w:szCs w:val="18"/>
          <w:color w:val="auto"/>
        </w:rPr>
      </w:pPr>
    </w:p>
    <w:p>
      <w:pPr>
        <w:ind w:left="960" w:right="180" w:hanging="320"/>
        <w:spacing w:after="0" w:line="244"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warrant and the price at which the debt securities may be purchased upon exercise;</w:t>
      </w:r>
    </w:p>
    <w:p>
      <w:pPr>
        <w:spacing w:after="0" w:line="170" w:lineRule="exact"/>
        <w:rPr>
          <w:rFonts w:ascii="Arial" w:cs="Arial" w:eastAsia="Arial" w:hAnsi="Arial"/>
          <w:sz w:val="18"/>
          <w:szCs w:val="18"/>
          <w:color w:val="auto"/>
        </w:rPr>
      </w:pPr>
    </w:p>
    <w:p>
      <w:pPr>
        <w:ind w:left="960" w:hanging="320"/>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196" w:lineRule="exact"/>
        <w:rPr>
          <w:rFonts w:ascii="Arial" w:cs="Arial" w:eastAsia="Arial" w:hAnsi="Arial"/>
          <w:sz w:val="18"/>
          <w:szCs w:val="18"/>
          <w:color w:val="auto"/>
        </w:rPr>
      </w:pPr>
    </w:p>
    <w:p>
      <w:pPr>
        <w:ind w:left="960" w:hanging="320"/>
        <w:spacing w:after="0" w:line="244"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warrants represented by the warrant certificates or debt securities that may be issued upon exercise of the warrants will be issued in registered or bearer form;</w:t>
      </w:r>
    </w:p>
    <w:p>
      <w:pPr>
        <w:spacing w:after="0" w:line="170" w:lineRule="exact"/>
        <w:rPr>
          <w:rFonts w:ascii="Arial" w:cs="Arial" w:eastAsia="Arial" w:hAnsi="Arial"/>
          <w:sz w:val="18"/>
          <w:szCs w:val="18"/>
          <w:color w:val="auto"/>
        </w:rPr>
      </w:pPr>
    </w:p>
    <w:p>
      <w:pPr>
        <w:ind w:left="960" w:hanging="320"/>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information relating to book-entry procedures, if any;</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anti-dilution provisions of the warrants, if any;</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redemption or call provisions, if any, applicable to the warrants;</w:t>
      </w:r>
    </w:p>
    <w:p>
      <w:pPr>
        <w:spacing w:after="0" w:line="196" w:lineRule="exact"/>
        <w:rPr>
          <w:rFonts w:ascii="Arial" w:cs="Arial" w:eastAsia="Arial" w:hAnsi="Arial"/>
          <w:sz w:val="18"/>
          <w:szCs w:val="18"/>
          <w:color w:val="auto"/>
        </w:rPr>
      </w:pPr>
    </w:p>
    <w:p>
      <w:pPr>
        <w:ind w:left="960" w:right="580" w:hanging="320"/>
        <w:spacing w:after="0" w:line="244"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and exercise of the warrants; and</w:t>
      </w:r>
    </w:p>
    <w:p>
      <w:pPr>
        <w:spacing w:after="0" w:line="170" w:lineRule="exact"/>
        <w:rPr>
          <w:rFonts w:ascii="Arial" w:cs="Arial" w:eastAsia="Arial" w:hAnsi="Arial"/>
          <w:sz w:val="18"/>
          <w:szCs w:val="18"/>
          <w:color w:val="auto"/>
        </w:rPr>
      </w:pPr>
    </w:p>
    <w:p>
      <w:pPr>
        <w:ind w:left="960" w:hanging="320"/>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information we think is important about the warrants.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187" w:lineRule="exact"/>
        <w:rPr>
          <w:sz w:val="20"/>
          <w:szCs w:val="20"/>
          <w:color w:val="auto"/>
        </w:rPr>
      </w:pPr>
    </w:p>
    <w:p>
      <w:pPr>
        <w:ind w:right="280"/>
        <w:spacing w:after="0" w:line="228" w:lineRule="auto"/>
        <w:rPr>
          <w:sz w:val="20"/>
          <w:szCs w:val="20"/>
          <w:color w:val="auto"/>
        </w:rPr>
      </w:pPr>
      <w:r>
        <w:rPr>
          <w:rFonts w:ascii="Arial" w:cs="Arial" w:eastAsia="Arial" w:hAnsi="Arial"/>
          <w:sz w:val="17"/>
          <w:szCs w:val="17"/>
          <w:color w:val="auto"/>
        </w:rPr>
        <w:t>Each warrant will entitle the holder of the warrant to purchase at the exercise price set forth in the applicable prospectus supplement the number of shares of common stock, shares of preferred stock or the principal amount of debt securities being offered. Holders may exercise warrants at any time up to the close of business on the expiration date set forth in the applicable prospectus supplement. After the close of business on the expiration date, unexercised warrants are void. Holders may exercise warrants as set forth in the prospectus supplement relating to the warrants being offered.</w:t>
      </w:r>
    </w:p>
    <w:p>
      <w:pPr>
        <w:spacing w:after="0" w:line="160" w:lineRule="exact"/>
        <w:rPr>
          <w:sz w:val="20"/>
          <w:szCs w:val="20"/>
          <w:color w:val="auto"/>
        </w:rPr>
      </w:pPr>
    </w:p>
    <w:p>
      <w:pPr>
        <w:ind w:right="140"/>
        <w:spacing w:after="0" w:line="223" w:lineRule="auto"/>
        <w:rPr>
          <w:sz w:val="20"/>
          <w:szCs w:val="20"/>
          <w:color w:val="auto"/>
        </w:rPr>
      </w:pPr>
      <w:r>
        <w:rPr>
          <w:rFonts w:ascii="Arial" w:cs="Arial" w:eastAsia="Arial" w:hAnsi="Arial"/>
          <w:sz w:val="18"/>
          <w:szCs w:val="18"/>
          <w:color w:val="auto"/>
        </w:rPr>
        <w:t>Until a holder exercises the warrants to purchase our shares of common stock, shares of preferred stock or debt securities, the holder will not have any rights as a holder of our shares of common stock, shares of preferred stock or debt securities, as the case may be, by virtue of ownership of warrants.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187" w:lineRule="exact"/>
        <w:rPr>
          <w:sz w:val="20"/>
          <w:szCs w:val="20"/>
          <w:color w:val="auto"/>
        </w:rPr>
      </w:pPr>
    </w:p>
    <w:p>
      <w:pPr>
        <w:ind w:right="100"/>
        <w:spacing w:after="0" w:line="223" w:lineRule="auto"/>
        <w:rPr>
          <w:sz w:val="20"/>
          <w:szCs w:val="20"/>
          <w:color w:val="auto"/>
        </w:rPr>
      </w:pPr>
      <w:r>
        <w:rPr>
          <w:rFonts w:ascii="Arial" w:cs="Arial" w:eastAsia="Arial" w:hAnsi="Arial"/>
          <w:sz w:val="18"/>
          <w:szCs w:val="18"/>
          <w:color w:val="auto"/>
        </w:rPr>
        <w:t>The following is a general description of the terms of debt securities we may issue from time to time unless we provide otherwise in the applicable prospectus supplement. Particular terms of any debt securities we offer will be described in the prospectus supplement relating to such debt securities.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3">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80"/>
          </w:cols>
          <w:pgMar w:left="1260" w:top="114" w:right="125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4" w:lineRule="exact"/>
        <w:rPr>
          <w:sz w:val="20"/>
          <w:szCs w:val="20"/>
          <w:color w:val="auto"/>
        </w:rPr>
      </w:pPr>
    </w:p>
    <w:p>
      <w:pPr>
        <w:ind w:right="80"/>
        <w:spacing w:after="0" w:line="236" w:lineRule="auto"/>
        <w:rPr>
          <w:sz w:val="20"/>
          <w:szCs w:val="20"/>
          <w:color w:val="auto"/>
        </w:rPr>
      </w:pPr>
      <w:r>
        <w:rPr>
          <w:rFonts w:ascii="Arial" w:cs="Arial" w:eastAsia="Arial" w:hAnsi="Arial"/>
          <w:sz w:val="16"/>
          <w:szCs w:val="16"/>
          <w:color w:val="auto"/>
        </w:rPr>
        <w:t>As required by Federal law for all bonds and notes of companies that are publicly offered, any debt securities we issue will be governed by a document called an “indenture,” the form of which is filed as an exhibit to the registration statement of which this prospectus forms a part. We have summarized the general features of the debt securities to be governed by the indenture. The summary is not complete. An indenture is a contract between us and a financial institution acting as trustee on behalf of the holders of the debt securities, and is subject to and governed by the Trust Indenture Act of 1939, as amended. The trustee has two main roles. First, the trustee can enforce holders’ rights against us if we default. There are some limitations on the extent to which the trustee acts on holders’ behalf, described in the second paragraph under “Description of Debt Securities—Events of Default.” Second, the trustee performs certain administrative duties, such as sending interest and principal payments to holders.</w:t>
      </w:r>
    </w:p>
    <w:p>
      <w:pPr>
        <w:spacing w:after="0" w:line="166"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Because this section is a summary, it does not describe every aspect of any debt securities we may issue or the indenture governing any such debt securities. Particular terms of any debt securities we offer will be described in the prospectus supplement relating to such debt securities, and we urge you to read the applicable executed indenture, which will be filed with the SEC at the time of any offering of debt securities, because it, and not this description, will define the rights of holders of such debt securities.</w:t>
      </w:r>
    </w:p>
    <w:p>
      <w:pPr>
        <w:spacing w:after="0" w:line="157"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A prospectus supplement will describe the particular terms of any series of debt securities we may issue, including some or all of the following:</w:t>
      </w:r>
    </w:p>
    <w:p>
      <w:pPr>
        <w:spacing w:after="0" w:line="161" w:lineRule="exact"/>
        <w:rPr>
          <w:sz w:val="20"/>
          <w:szCs w:val="20"/>
          <w:color w:val="auto"/>
        </w:rPr>
      </w:pPr>
    </w:p>
    <w:p>
      <w:pPr>
        <w:ind w:left="960" w:hanging="32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96" w:lineRule="exact"/>
        <w:rPr>
          <w:rFonts w:ascii="Arial" w:cs="Arial" w:eastAsia="Arial" w:hAnsi="Arial"/>
          <w:sz w:val="18"/>
          <w:szCs w:val="18"/>
          <w:color w:val="auto"/>
        </w:rPr>
      </w:pPr>
    </w:p>
    <w:p>
      <w:pPr>
        <w:ind w:left="960" w:right="100" w:hanging="320"/>
        <w:spacing w:after="0" w:line="305" w:lineRule="auto"/>
        <w:tabs>
          <w:tab w:leader="none" w:pos="9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total principal amount of the series of debt securities, the denominations in which the offered debt securities will be issued and whether the offering may be reopened for additional securities of that series and on what terms;</w:t>
      </w:r>
    </w:p>
    <w:p>
      <w:pPr>
        <w:spacing w:after="0" w:line="123" w:lineRule="exact"/>
        <w:rPr>
          <w:rFonts w:ascii="Arial" w:cs="Arial" w:eastAsia="Arial" w:hAnsi="Arial"/>
          <w:sz w:val="16"/>
          <w:szCs w:val="16"/>
          <w:color w:val="auto"/>
        </w:rPr>
      </w:pPr>
    </w:p>
    <w:p>
      <w:pPr>
        <w:ind w:left="960" w:hanging="32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96" w:lineRule="exact"/>
        <w:rPr>
          <w:rFonts w:ascii="Arial" w:cs="Arial" w:eastAsia="Arial" w:hAnsi="Arial"/>
          <w:sz w:val="18"/>
          <w:szCs w:val="18"/>
          <w:color w:val="auto"/>
        </w:rPr>
      </w:pPr>
    </w:p>
    <w:p>
      <w:pPr>
        <w:ind w:left="960" w:right="540" w:hanging="320"/>
        <w:spacing w:after="0" w:line="244"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70" w:lineRule="exact"/>
        <w:rPr>
          <w:rFonts w:ascii="Arial" w:cs="Arial" w:eastAsia="Arial" w:hAnsi="Arial"/>
          <w:sz w:val="18"/>
          <w:szCs w:val="18"/>
          <w:color w:val="auto"/>
        </w:rPr>
      </w:pPr>
    </w:p>
    <w:p>
      <w:pPr>
        <w:ind w:left="960" w:hanging="320"/>
        <w:spacing w:after="0" w:line="244"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170" w:lineRule="exact"/>
        <w:rPr>
          <w:rFonts w:ascii="Arial" w:cs="Arial" w:eastAsia="Arial" w:hAnsi="Arial"/>
          <w:sz w:val="18"/>
          <w:szCs w:val="18"/>
          <w:color w:val="auto"/>
        </w:rPr>
      </w:pPr>
    </w:p>
    <w:p>
      <w:pPr>
        <w:ind w:left="960" w:hanging="32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96" w:lineRule="exact"/>
        <w:rPr>
          <w:rFonts w:ascii="Arial" w:cs="Arial" w:eastAsia="Arial" w:hAnsi="Arial"/>
          <w:sz w:val="18"/>
          <w:szCs w:val="18"/>
          <w:color w:val="auto"/>
        </w:rPr>
      </w:pPr>
    </w:p>
    <w:p>
      <w:pPr>
        <w:ind w:left="960" w:right="540" w:hanging="320"/>
        <w:spacing w:after="0" w:line="305" w:lineRule="auto"/>
        <w:tabs>
          <w:tab w:leader="none" w:pos="9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whether the amount of payments of principal, interest or premium, if any, on a series of debt securities will be determined with reference to an index, formula or other method and how these amounts will be determined;</w:t>
      </w:r>
    </w:p>
    <w:p>
      <w:pPr>
        <w:spacing w:after="0" w:line="123" w:lineRule="exact"/>
        <w:rPr>
          <w:rFonts w:ascii="Arial" w:cs="Arial" w:eastAsia="Arial" w:hAnsi="Arial"/>
          <w:sz w:val="16"/>
          <w:szCs w:val="16"/>
          <w:color w:val="auto"/>
        </w:rPr>
      </w:pPr>
    </w:p>
    <w:p>
      <w:pPr>
        <w:ind w:left="960" w:hanging="32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place or places of payment, transfer, conversion and/or exchange of the debt securities;</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events of default;</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provisions for legal defeasance or covenant defeasance;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4">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80"/>
          </w:cols>
          <w:pgMar w:left="1260" w:top="114" w:right="125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4" w:lineRule="exact"/>
        <w:rPr>
          <w:sz w:val="20"/>
          <w:szCs w:val="20"/>
          <w:color w:val="auto"/>
        </w:rPr>
      </w:pPr>
    </w:p>
    <w:p>
      <w:pPr>
        <w:ind w:left="960" w:right="340" w:hanging="320"/>
        <w:spacing w:after="0" w:line="234"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174" w:lineRule="exact"/>
        <w:rPr>
          <w:rFonts w:ascii="Arial" w:cs="Arial" w:eastAsia="Arial" w:hAnsi="Arial"/>
          <w:sz w:val="18"/>
          <w:szCs w:val="18"/>
          <w:color w:val="auto"/>
        </w:rPr>
      </w:pPr>
    </w:p>
    <w:p>
      <w:pPr>
        <w:ind w:left="960" w:hanging="320"/>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listing of the debt securities on any securities exchange;</w:t>
      </w:r>
    </w:p>
    <w:p>
      <w:pPr>
        <w:spacing w:after="0" w:line="196" w:lineRule="exact"/>
        <w:rPr>
          <w:rFonts w:ascii="Arial" w:cs="Arial" w:eastAsia="Arial" w:hAnsi="Arial"/>
          <w:sz w:val="18"/>
          <w:szCs w:val="18"/>
          <w:color w:val="auto"/>
        </w:rPr>
      </w:pPr>
    </w:p>
    <w:p>
      <w:pPr>
        <w:ind w:left="960" w:right="60" w:hanging="320"/>
        <w:spacing w:after="0" w:line="244"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including those related to original issue discount, if applicable; and</w:t>
      </w:r>
    </w:p>
    <w:p>
      <w:pPr>
        <w:spacing w:after="0" w:line="170" w:lineRule="exact"/>
        <w:rPr>
          <w:rFonts w:ascii="Arial" w:cs="Arial" w:eastAsia="Arial" w:hAnsi="Arial"/>
          <w:sz w:val="18"/>
          <w:szCs w:val="18"/>
          <w:color w:val="auto"/>
        </w:rPr>
      </w:pPr>
    </w:p>
    <w:p>
      <w:pPr>
        <w:ind w:left="960" w:hanging="320"/>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material terms.</w:t>
      </w:r>
    </w:p>
    <w:p>
      <w:pPr>
        <w:spacing w:after="0" w:line="196"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The debt securities may be secured or unsecured obligations. Unless the prospectus supplement states otherwise, principal, interest and premium, if any, will be paid by us in immediately available funds.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7" w:lineRule="exact"/>
        <w:rPr>
          <w:sz w:val="20"/>
          <w:szCs w:val="20"/>
          <w:color w:val="auto"/>
        </w:rPr>
      </w:pPr>
    </w:p>
    <w:p>
      <w:pPr>
        <w:ind w:right="560"/>
        <w:spacing w:after="0" w:line="257" w:lineRule="auto"/>
        <w:rPr>
          <w:sz w:val="20"/>
          <w:szCs w:val="20"/>
          <w:color w:val="auto"/>
        </w:rPr>
      </w:pPr>
      <w:r>
        <w:rPr>
          <w:rFonts w:ascii="Arial" w:cs="Arial" w:eastAsia="Arial" w:hAnsi="Arial"/>
          <w:sz w:val="16"/>
          <w:szCs w:val="16"/>
          <w:color w:val="auto"/>
        </w:rPr>
        <w:t>The indenture may provide that any debt securities proposed to be sold under this prospectus and the applicable prospectus supplement relating to such debt securities (“offered debt securities”) and any debt securities issuable upon conversion or exchange of other offered securities (“underlying debt securities”) may be issued under the indenture in one or more series.</w:t>
      </w:r>
    </w:p>
    <w:p>
      <w:pPr>
        <w:spacing w:after="0" w:line="148"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For purposes of this prospectus, any reference to the payment of principal of, or interest or premium, if any, on, debt securities will include additional amounts if required by the terms of the debt securities.</w:t>
      </w:r>
    </w:p>
    <w:p>
      <w:pPr>
        <w:spacing w:after="0" w:line="161" w:lineRule="exact"/>
        <w:rPr>
          <w:sz w:val="20"/>
          <w:szCs w:val="20"/>
          <w:color w:val="auto"/>
        </w:rPr>
      </w:pPr>
    </w:p>
    <w:p>
      <w:pPr>
        <w:spacing w:after="0" w:line="222" w:lineRule="auto"/>
        <w:rPr>
          <w:sz w:val="20"/>
          <w:szCs w:val="20"/>
          <w:color w:val="auto"/>
        </w:rPr>
      </w:pPr>
      <w:r>
        <w:rPr>
          <w:rFonts w:ascii="Arial" w:cs="Arial" w:eastAsia="Arial" w:hAnsi="Arial"/>
          <w:sz w:val="17"/>
          <w:szCs w:val="17"/>
          <w:color w:val="auto"/>
        </w:rPr>
        <w:t>Debt securities issued under an indenture, when a single trustee is acting for all debt securities issued under the indenture, are called the “indenture securities.” The indenture may also provide that there may be more than one trustee thereunder, each with respect to one or more different series of securities issued thereunder. See “Description of Debt Securities—Resignation of Trustee” below. At a time when two or more trustees are acting under an indenture, each with respect to only certain series, the term “indenture securities” means the one or more series of debt securities with respect to which each respective trustee is acting. In the event that there is more than one trustee under an indenture, the powers and trust obligations of each trustee described in this prospectus will extend only to the one or more series of indenture securities for which it is trustee. If two or more trustees are acting under an indenture, then the indenture securities for which each trustee is acting would be treated as if issued under separate indentures.</w:t>
      </w:r>
    </w:p>
    <w:p>
      <w:pPr>
        <w:spacing w:after="0" w:line="161" w:lineRule="exact"/>
        <w:rPr>
          <w:sz w:val="20"/>
          <w:szCs w:val="20"/>
          <w:color w:val="auto"/>
        </w:rPr>
      </w:pPr>
    </w:p>
    <w:p>
      <w:pPr>
        <w:ind w:right="300"/>
        <w:spacing w:after="0" w:line="218" w:lineRule="auto"/>
        <w:rPr>
          <w:sz w:val="20"/>
          <w:szCs w:val="20"/>
          <w:color w:val="auto"/>
        </w:rPr>
      </w:pPr>
      <w:r>
        <w:rPr>
          <w:rFonts w:ascii="Arial" w:cs="Arial" w:eastAsia="Arial" w:hAnsi="Arial"/>
          <w:sz w:val="18"/>
          <w:szCs w:val="18"/>
          <w:color w:val="auto"/>
        </w:rPr>
        <w:t>We refer you to the applicable prospectus supplement relating to any debt securities we may issue from time to time for information with respect to any deletions from, modifications of or additions to the Events of Default or covenants that are described below, including any addition of a covenant or other provision providing event risk or similar protection, that will be applicable with respect to such debt securities.</w:t>
      </w:r>
    </w:p>
    <w:p>
      <w:pPr>
        <w:spacing w:after="0" w:line="162" w:lineRule="exact"/>
        <w:rPr>
          <w:sz w:val="20"/>
          <w:szCs w:val="20"/>
          <w:color w:val="auto"/>
        </w:rPr>
      </w:pPr>
    </w:p>
    <w:p>
      <w:pPr>
        <w:ind w:right="420"/>
        <w:spacing w:after="0" w:line="257" w:lineRule="auto"/>
        <w:rPr>
          <w:sz w:val="20"/>
          <w:szCs w:val="20"/>
          <w:color w:val="auto"/>
        </w:rPr>
      </w:pPr>
      <w:r>
        <w:rPr>
          <w:rFonts w:ascii="Arial" w:cs="Arial" w:eastAsia="Arial" w:hAnsi="Arial"/>
          <w:sz w:val="16"/>
          <w:szCs w:val="16"/>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187"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If any debt securities are convertible into or exchangeable for other securities, the related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5">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80"/>
          </w:cols>
          <w:pgMar w:left="1260" w:top="114" w:right="125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187" w:lineRule="exact"/>
        <w:rPr>
          <w:sz w:val="20"/>
          <w:szCs w:val="20"/>
          <w:color w:val="auto"/>
        </w:rPr>
      </w:pPr>
    </w:p>
    <w:p>
      <w:pPr>
        <w:ind w:right="20"/>
        <w:spacing w:after="0" w:line="224" w:lineRule="auto"/>
        <w:rPr>
          <w:sz w:val="20"/>
          <w:szCs w:val="20"/>
          <w:color w:val="auto"/>
        </w:rPr>
      </w:pPr>
      <w:r>
        <w:rPr>
          <w:rFonts w:ascii="Arial" w:cs="Arial" w:eastAsia="Arial" w:hAnsi="Arial"/>
          <w:sz w:val="17"/>
          <w:szCs w:val="17"/>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approximately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87"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Holders of debt securities of any series will have rights if an Event of Default occurs in respect of the debt securities of such series and is not cured, as described later in this subsection. The term “Event of Default” in respect of the debt securities of any series means any of the following:</w:t>
      </w:r>
    </w:p>
    <w:p>
      <w:pPr>
        <w:spacing w:after="0" w:line="162" w:lineRule="exact"/>
        <w:rPr>
          <w:sz w:val="20"/>
          <w:szCs w:val="20"/>
          <w:color w:val="auto"/>
        </w:rPr>
      </w:pPr>
    </w:p>
    <w:p>
      <w:pPr>
        <w:ind w:left="960" w:hanging="320"/>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196" w:lineRule="exact"/>
        <w:rPr>
          <w:rFonts w:ascii="Arial" w:cs="Arial" w:eastAsia="Arial" w:hAnsi="Arial"/>
          <w:sz w:val="18"/>
          <w:szCs w:val="18"/>
          <w:color w:val="auto"/>
        </w:rPr>
      </w:pPr>
    </w:p>
    <w:p>
      <w:pPr>
        <w:ind w:left="960" w:right="180" w:hanging="320"/>
        <w:spacing w:after="0" w:line="244"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 and we do not cure this default within five days;</w:t>
      </w:r>
    </w:p>
    <w:p>
      <w:pPr>
        <w:spacing w:after="0" w:line="170" w:lineRule="exact"/>
        <w:rPr>
          <w:rFonts w:ascii="Arial" w:cs="Arial" w:eastAsia="Arial" w:hAnsi="Arial"/>
          <w:sz w:val="18"/>
          <w:szCs w:val="18"/>
          <w:color w:val="auto"/>
        </w:rPr>
      </w:pPr>
    </w:p>
    <w:p>
      <w:pPr>
        <w:ind w:left="960" w:right="160" w:hanging="320"/>
        <w:spacing w:after="0" w:line="234"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remain in breach of a covenant in respect of debt securities of the series for 90 days after we receive a written notice of default stating we are in breach. The notice must be sent by either the trustee or holders of at least 25% of the principal amount of debt securities of the series;</w:t>
      </w:r>
    </w:p>
    <w:p>
      <w:pPr>
        <w:spacing w:after="0" w:line="174" w:lineRule="exact"/>
        <w:rPr>
          <w:rFonts w:ascii="Arial" w:cs="Arial" w:eastAsia="Arial" w:hAnsi="Arial"/>
          <w:sz w:val="18"/>
          <w:szCs w:val="18"/>
          <w:color w:val="auto"/>
        </w:rPr>
      </w:pPr>
    </w:p>
    <w:p>
      <w:pPr>
        <w:ind w:left="960" w:hanging="320"/>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other Event of Default occurs in respect of debt securities of the series described in the prospectus supplement.</w:t>
      </w:r>
    </w:p>
    <w:p>
      <w:pPr>
        <w:spacing w:after="0" w:line="219" w:lineRule="exact"/>
        <w:rPr>
          <w:sz w:val="20"/>
          <w:szCs w:val="20"/>
          <w:color w:val="auto"/>
        </w:rPr>
      </w:pPr>
    </w:p>
    <w:p>
      <w:pPr>
        <w:spacing w:after="0" w:line="218"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Remedies if an Event of Default Occurs</w:t>
      </w:r>
    </w:p>
    <w:p>
      <w:pPr>
        <w:spacing w:after="0" w:line="183" w:lineRule="exact"/>
        <w:rPr>
          <w:sz w:val="20"/>
          <w:szCs w:val="20"/>
          <w:color w:val="auto"/>
        </w:rPr>
      </w:pPr>
    </w:p>
    <w:p>
      <w:pPr>
        <w:spacing w:after="0" w:line="215" w:lineRule="auto"/>
        <w:rPr>
          <w:sz w:val="20"/>
          <w:szCs w:val="20"/>
          <w:color w:val="auto"/>
        </w:rPr>
      </w:pPr>
      <w:r>
        <w:rPr>
          <w:rFonts w:ascii="Arial" w:cs="Arial" w:eastAsia="Arial" w:hAnsi="Arial"/>
          <w:sz w:val="18"/>
          <w:szCs w:val="18"/>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62" w:lineRule="exact"/>
        <w:rPr>
          <w:sz w:val="20"/>
          <w:szCs w:val="20"/>
          <w:color w:val="auto"/>
        </w:rPr>
      </w:pPr>
    </w:p>
    <w:p>
      <w:pPr>
        <w:ind w:right="60"/>
        <w:spacing w:after="0" w:line="242" w:lineRule="auto"/>
        <w:rPr>
          <w:sz w:val="20"/>
          <w:szCs w:val="20"/>
          <w:color w:val="auto"/>
        </w:rPr>
      </w:pPr>
      <w:r>
        <w:rPr>
          <w:rFonts w:ascii="Arial" w:cs="Arial" w:eastAsia="Arial" w:hAnsi="Arial"/>
          <w:sz w:val="16"/>
          <w:szCs w:val="16"/>
          <w:color w:val="auto"/>
        </w:rPr>
        <w:t>Except in cases of default, where the trustee has some special duties, the trustee typically is not required to take any action under an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w:t>
      </w:r>
    </w:p>
    <w:p>
      <w:pPr>
        <w:spacing w:after="0" w:line="161"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Before a holder is allowed to bypass the trustee and bring its own lawsuit or other formal legal action or take other steps to enforce its rights or protect its interests relating to any debt securities, the following must occur:</w:t>
      </w:r>
    </w:p>
    <w:p>
      <w:pPr>
        <w:spacing w:after="0" w:line="161" w:lineRule="exact"/>
        <w:rPr>
          <w:sz w:val="20"/>
          <w:szCs w:val="20"/>
          <w:color w:val="auto"/>
        </w:rPr>
      </w:pPr>
    </w:p>
    <w:p>
      <w:pPr>
        <w:ind w:left="960" w:hanging="320"/>
        <w:spacing w:after="0"/>
        <w:tabs>
          <w:tab w:leader="none" w:pos="9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holder must give the trustee written notice that an Event of Default has occurred and remains uncured;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37" w:lineRule="exact"/>
        <w:rPr>
          <w:rFonts w:ascii="Arial" w:cs="Arial" w:eastAsia="Arial" w:hAnsi="Arial"/>
          <w:sz w:val="17"/>
          <w:szCs w:val="17"/>
          <w:color w:val="auto"/>
        </w:rPr>
      </w:pPr>
    </w:p>
    <w:p>
      <w:pPr>
        <w:ind w:left="4600"/>
        <w:spacing w:after="0"/>
        <w:rPr>
          <w:rFonts w:ascii="Arial" w:cs="Arial" w:eastAsia="Arial" w:hAnsi="Arial"/>
          <w:sz w:val="17"/>
          <w:szCs w:val="17"/>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6">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80"/>
          </w:cols>
          <w:pgMar w:left="1260" w:top="114" w:right="125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4" w:lineRule="exact"/>
        <w:rPr>
          <w:sz w:val="20"/>
          <w:szCs w:val="20"/>
          <w:color w:val="auto"/>
        </w:rPr>
      </w:pPr>
    </w:p>
    <w:p>
      <w:pPr>
        <w:jc w:val="both"/>
        <w:ind w:left="960" w:right="100" w:hanging="320"/>
        <w:spacing w:after="0" w:line="234"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174" w:lineRule="exact"/>
        <w:rPr>
          <w:rFonts w:ascii="Arial" w:cs="Arial" w:eastAsia="Arial" w:hAnsi="Arial"/>
          <w:sz w:val="18"/>
          <w:szCs w:val="18"/>
          <w:color w:val="auto"/>
        </w:rPr>
      </w:pPr>
    </w:p>
    <w:p>
      <w:pPr>
        <w:ind w:left="960" w:hanging="320"/>
        <w:spacing w:after="0"/>
        <w:tabs>
          <w:tab w:leader="none" w:pos="9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trustee must not have taken action for 60 days after receipt of the above notice and offer of indemnity; and</w:t>
      </w:r>
    </w:p>
    <w:p>
      <w:pPr>
        <w:spacing w:after="0" w:line="207" w:lineRule="exact"/>
        <w:rPr>
          <w:rFonts w:ascii="Arial" w:cs="Arial" w:eastAsia="Arial" w:hAnsi="Arial"/>
          <w:sz w:val="17"/>
          <w:szCs w:val="17"/>
          <w:color w:val="auto"/>
        </w:rPr>
      </w:pPr>
    </w:p>
    <w:p>
      <w:pPr>
        <w:ind w:left="960" w:right="520" w:hanging="320"/>
        <w:spacing w:after="0" w:line="209" w:lineRule="exact"/>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w:t>
      </w:r>
      <w:r>
        <w:rPr>
          <w:rFonts w:ascii="MS PGothic" w:cs="MS PGothic" w:eastAsia="MS PGothic" w:hAnsi="MS PGothic"/>
          <w:sz w:val="18"/>
          <w:szCs w:val="18"/>
          <w:color w:val="auto"/>
        </w:rPr>
        <w:t>‑</w:t>
      </w:r>
      <w:r>
        <w:rPr>
          <w:rFonts w:ascii="Arial" w:cs="Arial" w:eastAsia="Arial" w:hAnsi="Arial"/>
          <w:sz w:val="18"/>
          <w:szCs w:val="18"/>
          <w:color w:val="auto"/>
        </w:rPr>
        <w:t>day period.</w:t>
      </w:r>
    </w:p>
    <w:p>
      <w:pPr>
        <w:spacing w:after="0" w:line="174" w:lineRule="exact"/>
        <w:rPr>
          <w:sz w:val="20"/>
          <w:szCs w:val="20"/>
          <w:color w:val="auto"/>
        </w:rPr>
      </w:pPr>
    </w:p>
    <w:p>
      <w:pPr>
        <w:jc w:val="both"/>
        <w:ind w:right="20"/>
        <w:spacing w:after="0" w:line="237" w:lineRule="auto"/>
        <w:rPr>
          <w:sz w:val="20"/>
          <w:szCs w:val="20"/>
          <w:color w:val="auto"/>
        </w:rPr>
      </w:pPr>
      <w:r>
        <w:rPr>
          <w:rFonts w:ascii="Arial" w:cs="Arial" w:eastAsia="Arial" w:hAnsi="Arial"/>
          <w:sz w:val="17"/>
          <w:szCs w:val="17"/>
          <w:color w:val="auto"/>
        </w:rPr>
        <w:t>However, a holder is entitled at any time to bring a lawsuit for the payment of money due on its debt securities on or after the due date. Each year, we will furnish to each trustee a written statement of certain of our officers certifying that to their knowledge we are in compliance with the indenture and the debt securities, or else specifying any default.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Waiver of Default</w:t>
      </w:r>
    </w:p>
    <w:p>
      <w:pPr>
        <w:spacing w:after="0" w:line="183" w:lineRule="exact"/>
        <w:rPr>
          <w:sz w:val="20"/>
          <w:szCs w:val="20"/>
          <w:color w:val="auto"/>
        </w:rPr>
      </w:pPr>
    </w:p>
    <w:p>
      <w:pPr>
        <w:ind w:right="240"/>
        <w:spacing w:after="0" w:line="223"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such series of debt securities. If this happens, the default will be treated as if it had not occurred. No one can waive a payment default on a holder’s debt security, however, without the holder’s approval.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187" w:lineRule="exact"/>
        <w:rPr>
          <w:sz w:val="20"/>
          <w:szCs w:val="20"/>
          <w:color w:val="auto"/>
        </w:rPr>
      </w:pPr>
    </w:p>
    <w:p>
      <w:pPr>
        <w:jc w:val="both"/>
        <w:ind w:right="180"/>
        <w:spacing w:after="0" w:line="223" w:lineRule="auto"/>
        <w:rPr>
          <w:sz w:val="20"/>
          <w:szCs w:val="20"/>
          <w:color w:val="auto"/>
        </w:rPr>
      </w:pPr>
      <w:r>
        <w:rPr>
          <w:rFonts w:ascii="Arial" w:cs="Arial" w:eastAsia="Arial" w:hAnsi="Arial"/>
          <w:sz w:val="18"/>
          <w:szCs w:val="18"/>
          <w:color w:val="auto"/>
        </w:rPr>
        <w:t>Under the terms of an indenture, we may be permitted to consolidate or merge with another entity. We may also be permitted to sell all or substantially all of our assets to another entity. However, typically we may not take any of these actions unless all the following conditions are met:</w:t>
      </w:r>
    </w:p>
    <w:p>
      <w:pPr>
        <w:spacing w:after="0" w:line="162" w:lineRule="exact"/>
        <w:rPr>
          <w:sz w:val="20"/>
          <w:szCs w:val="20"/>
          <w:color w:val="auto"/>
        </w:rPr>
      </w:pPr>
    </w:p>
    <w:p>
      <w:pPr>
        <w:ind w:left="960" w:hanging="320"/>
        <w:spacing w:after="0" w:line="257" w:lineRule="auto"/>
        <w:tabs>
          <w:tab w:leader="none" w:pos="9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if we do not survive such transaction or we convey, transfer or lease our properties and assets substantially as an entirety, the acquiring company must be a corporation, limited liability company, partnership or trust, or other corporate form, organized under the laws of any state of the United States or the District of Columbia, and such company must agree to be legally responsible for our debt securities, and, if not already subject to the jurisdiction of any state of the United States or the District of Columbia, the new company must submit to such jurisdiction for all purposes with respect to the debt securities and appoint an agent for service of process;</w:t>
      </w:r>
    </w:p>
    <w:p>
      <w:pPr>
        <w:spacing w:after="0" w:line="162" w:lineRule="exact"/>
        <w:rPr>
          <w:rFonts w:ascii="Arial" w:cs="Arial" w:eastAsia="Arial" w:hAnsi="Arial"/>
          <w:sz w:val="16"/>
          <w:szCs w:val="16"/>
          <w:color w:val="auto"/>
        </w:rPr>
      </w:pPr>
    </w:p>
    <w:p>
      <w:pPr>
        <w:ind w:left="960" w:hanging="320"/>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196" w:lineRule="exact"/>
        <w:rPr>
          <w:rFonts w:ascii="Arial" w:cs="Arial" w:eastAsia="Arial" w:hAnsi="Arial"/>
          <w:sz w:val="18"/>
          <w:szCs w:val="18"/>
          <w:color w:val="auto"/>
        </w:rPr>
      </w:pPr>
    </w:p>
    <w:p>
      <w:pPr>
        <w:ind w:left="960" w:right="80" w:hanging="320"/>
        <w:spacing w:after="0" w:line="244"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There are three types of changes we may make to an indenture and the debt securities issued thereunder.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Requiring Approval</w:t>
      </w:r>
    </w:p>
    <w:p>
      <w:pPr>
        <w:spacing w:after="0" w:line="183"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First, there are changes that we cannot make to debt securities without specific approval of all of the holders. The following is a list of the types of changes that may require specific approval:</w:t>
      </w:r>
    </w:p>
    <w:p>
      <w:pPr>
        <w:spacing w:after="0" w:line="161" w:lineRule="exact"/>
        <w:rPr>
          <w:sz w:val="20"/>
          <w:szCs w:val="20"/>
          <w:color w:val="auto"/>
        </w:rPr>
      </w:pPr>
    </w:p>
    <w:p>
      <w:pPr>
        <w:ind w:left="960" w:hanging="320"/>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rate of interest on a debt security;</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7">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00"/>
          </w:cols>
          <w:pgMar w:left="1260" w:top="114" w:right="133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4" w:lineRule="exact"/>
        <w:rPr>
          <w:sz w:val="20"/>
          <w:szCs w:val="20"/>
          <w:color w:val="auto"/>
        </w:rPr>
      </w:pPr>
    </w:p>
    <w:p>
      <w:pPr>
        <w:ind w:left="960" w:hanging="320"/>
        <w:spacing w:after="0"/>
        <w:tabs>
          <w:tab w:leader="none" w:pos="9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at any time after a change of control has occurred, reduce any premium payable upon a change of control;</w:t>
      </w:r>
    </w:p>
    <w:p>
      <w:pPr>
        <w:spacing w:after="0" w:line="207" w:lineRule="exact"/>
        <w:rPr>
          <w:rFonts w:ascii="Arial" w:cs="Arial" w:eastAsia="Arial" w:hAnsi="Arial"/>
          <w:sz w:val="17"/>
          <w:szCs w:val="17"/>
          <w:color w:val="auto"/>
        </w:rPr>
      </w:pPr>
    </w:p>
    <w:p>
      <w:pPr>
        <w:ind w:left="960" w:right="480" w:hanging="320"/>
        <w:spacing w:after="0" w:line="244"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 the place or currency of payment on a debt security (except as otherwise described in the prospectus or prospectus supplement);</w:t>
      </w:r>
    </w:p>
    <w:p>
      <w:pPr>
        <w:spacing w:after="0" w:line="170" w:lineRule="exact"/>
        <w:rPr>
          <w:rFonts w:ascii="Arial" w:cs="Arial" w:eastAsia="Arial" w:hAnsi="Arial"/>
          <w:sz w:val="18"/>
          <w:szCs w:val="18"/>
          <w:color w:val="auto"/>
        </w:rPr>
      </w:pPr>
    </w:p>
    <w:p>
      <w:pPr>
        <w:ind w:left="960" w:hanging="320"/>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impair the right of holders to sue for payment;</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reduce the percentage of holders of debt securities whose consent is needed to modify or amend the indenture;</w:t>
      </w:r>
    </w:p>
    <w:p>
      <w:pPr>
        <w:spacing w:after="0" w:line="207" w:lineRule="exact"/>
        <w:rPr>
          <w:rFonts w:ascii="Arial" w:cs="Arial" w:eastAsia="Arial" w:hAnsi="Arial"/>
          <w:sz w:val="17"/>
          <w:szCs w:val="17"/>
          <w:color w:val="auto"/>
        </w:rPr>
      </w:pPr>
    </w:p>
    <w:p>
      <w:pPr>
        <w:ind w:left="960" w:right="560" w:hanging="320"/>
        <w:spacing w:after="0" w:line="244"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170" w:lineRule="exact"/>
        <w:rPr>
          <w:rFonts w:ascii="Arial" w:cs="Arial" w:eastAsia="Arial" w:hAnsi="Arial"/>
          <w:sz w:val="18"/>
          <w:szCs w:val="18"/>
          <w:color w:val="auto"/>
        </w:rPr>
      </w:pPr>
    </w:p>
    <w:p>
      <w:pPr>
        <w:ind w:left="960" w:right="200" w:hanging="320"/>
        <w:spacing w:after="0" w:line="305" w:lineRule="auto"/>
        <w:tabs>
          <w:tab w:leader="none" w:pos="9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123" w:lineRule="exact"/>
        <w:rPr>
          <w:rFonts w:ascii="Arial" w:cs="Arial" w:eastAsia="Arial" w:hAnsi="Arial"/>
          <w:sz w:val="16"/>
          <w:szCs w:val="16"/>
          <w:color w:val="auto"/>
        </w:rPr>
      </w:pPr>
    </w:p>
    <w:p>
      <w:pPr>
        <w:ind w:left="960" w:hanging="320"/>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Not Requiring Approval</w:t>
      </w:r>
    </w:p>
    <w:p>
      <w:pPr>
        <w:spacing w:after="0" w:line="183" w:lineRule="exact"/>
        <w:rPr>
          <w:sz w:val="20"/>
          <w:szCs w:val="20"/>
          <w:color w:val="auto"/>
        </w:rPr>
      </w:pPr>
    </w:p>
    <w:p>
      <w:pPr>
        <w:spacing w:after="0" w:line="218"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including the addition of covenants and guarantees. We also do not need any approval to make any change that affects only debt securities to be issued under the indenture after the change takes effect.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Requiring Majority Approval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Any other change to the indenture and the debt securities may require the following approval:</w:t>
      </w:r>
    </w:p>
    <w:p>
      <w:pPr>
        <w:spacing w:after="0" w:line="183" w:lineRule="exact"/>
        <w:rPr>
          <w:sz w:val="20"/>
          <w:szCs w:val="20"/>
          <w:color w:val="auto"/>
        </w:rPr>
      </w:pPr>
    </w:p>
    <w:p>
      <w:pPr>
        <w:ind w:left="960" w:right="160" w:hanging="320"/>
        <w:spacing w:after="0" w:line="244"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the change affects only one series of debt securities, it must be approved by the holders of a majority in principal amount of that series; and</w:t>
      </w:r>
    </w:p>
    <w:p>
      <w:pPr>
        <w:spacing w:after="0" w:line="170" w:lineRule="exact"/>
        <w:rPr>
          <w:rFonts w:ascii="Arial" w:cs="Arial" w:eastAsia="Arial" w:hAnsi="Arial"/>
          <w:sz w:val="18"/>
          <w:szCs w:val="18"/>
          <w:color w:val="auto"/>
        </w:rPr>
      </w:pPr>
    </w:p>
    <w:p>
      <w:pPr>
        <w:ind w:left="960" w:hanging="320"/>
        <w:spacing w:after="0" w:line="234"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74" w:lineRule="exact"/>
        <w:rPr>
          <w:sz w:val="20"/>
          <w:szCs w:val="20"/>
          <w:color w:val="auto"/>
        </w:rPr>
      </w:pPr>
    </w:p>
    <w:p>
      <w:pPr>
        <w:ind w:right="240"/>
        <w:spacing w:after="0" w:line="231" w:lineRule="auto"/>
        <w:rPr>
          <w:sz w:val="20"/>
          <w:szCs w:val="20"/>
          <w:color w:val="auto"/>
        </w:rPr>
      </w:pPr>
      <w:r>
        <w:rPr>
          <w:rFonts w:ascii="Arial" w:cs="Arial" w:eastAsia="Arial" w:hAnsi="Arial"/>
          <w:sz w:val="17"/>
          <w:szCs w:val="17"/>
          <w:color w:val="auto"/>
        </w:rPr>
        <w:t>The holders of a majority in principal amount of all of the series of debt securities issued under an indenture, voting together as one class for this purpose, may waive our compliance obligations with respect to some of our covenants in that indenture. However, we cannot obtain a waiver of a payment default or of any of the matters covered by the bullet points included above under “Description of Debt Securities—Modification or Waiver—Changes Requiring Approval.”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Further Details Concerning Voting</w:t>
      </w:r>
    </w:p>
    <w:p>
      <w:pPr>
        <w:spacing w:after="0" w:line="183" w:lineRule="exact"/>
        <w:rPr>
          <w:sz w:val="20"/>
          <w:szCs w:val="20"/>
          <w:color w:val="auto"/>
        </w:rPr>
      </w:pPr>
    </w:p>
    <w:p>
      <w:pPr>
        <w:ind w:right="240"/>
        <w:spacing w:after="0" w:line="234" w:lineRule="auto"/>
        <w:rPr>
          <w:sz w:val="20"/>
          <w:szCs w:val="20"/>
          <w:color w:val="auto"/>
        </w:rPr>
      </w:pPr>
      <w:r>
        <w:rPr>
          <w:rFonts w:ascii="Arial" w:cs="Arial" w:eastAsia="Arial" w:hAnsi="Arial"/>
          <w:sz w:val="18"/>
          <w:szCs w:val="18"/>
          <w:color w:val="auto"/>
        </w:rPr>
        <w:t>When taking a vote on proposed changes to the indenture and the debt securities, we expect to use the following rules to decide how much principal to attribute to a debt security:</w:t>
      </w:r>
    </w:p>
    <w:p>
      <w:pPr>
        <w:spacing w:after="0" w:line="161" w:lineRule="exact"/>
        <w:rPr>
          <w:sz w:val="20"/>
          <w:szCs w:val="20"/>
          <w:color w:val="auto"/>
        </w:rPr>
      </w:pPr>
    </w:p>
    <w:p>
      <w:pPr>
        <w:ind w:left="960" w:right="160" w:hanging="320"/>
        <w:spacing w:after="0" w:line="273" w:lineRule="auto"/>
        <w:tabs>
          <w:tab w:leader="none" w:pos="9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for original issue discount securities, we will use the principal amount that would be due and payable on the voting date if the maturity of these debt securities were accelerated to that date because of a default;</w:t>
      </w:r>
    </w:p>
    <w:p>
      <w:pPr>
        <w:spacing w:after="0" w:line="39" w:lineRule="exact"/>
        <w:rPr>
          <w:rFonts w:ascii="Arial" w:cs="Arial" w:eastAsia="Arial" w:hAnsi="Arial"/>
          <w:sz w:val="17"/>
          <w:szCs w:val="17"/>
          <w:color w:val="auto"/>
        </w:rPr>
      </w:pPr>
    </w:p>
    <w:p>
      <w:pPr>
        <w:ind w:left="960" w:right="20" w:hanging="320"/>
        <w:spacing w:after="0" w:line="244"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related prospectus supplement; and</w:t>
      </w:r>
    </w:p>
    <w:p>
      <w:pPr>
        <w:spacing w:after="0" w:line="63" w:lineRule="exact"/>
        <w:rPr>
          <w:rFonts w:ascii="Arial" w:cs="Arial" w:eastAsia="Arial" w:hAnsi="Arial"/>
          <w:sz w:val="18"/>
          <w:szCs w:val="18"/>
          <w:color w:val="auto"/>
        </w:rPr>
      </w:pPr>
    </w:p>
    <w:p>
      <w:pPr>
        <w:ind w:left="960" w:hanging="320"/>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8">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60"/>
          </w:cols>
          <w:pgMar w:left="1260" w:top="114" w:right="127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4" w:lineRule="exact"/>
        <w:rPr>
          <w:sz w:val="20"/>
          <w:szCs w:val="20"/>
          <w:color w:val="auto"/>
        </w:rPr>
      </w:pPr>
    </w:p>
    <w:p>
      <w:pPr>
        <w:ind w:right="360"/>
        <w:spacing w:after="0" w:line="223" w:lineRule="auto"/>
        <w:rPr>
          <w:sz w:val="20"/>
          <w:szCs w:val="20"/>
          <w:color w:val="auto"/>
        </w:rPr>
      </w:pPr>
      <w:r>
        <w:rPr>
          <w:rFonts w:ascii="Arial" w:cs="Arial" w:eastAsia="Arial" w:hAnsi="Arial"/>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Debt Securities—Defeasance—Legal Defeasance.”</w:t>
      </w:r>
    </w:p>
    <w:p>
      <w:pPr>
        <w:spacing w:after="0" w:line="162"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We generally will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11 months following the record date.</w:t>
      </w:r>
    </w:p>
    <w:p>
      <w:pPr>
        <w:spacing w:after="0" w:line="157"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Book-entry and other indirect holders will need to consult their banks or brokers for information on how approval may be granted or denied if we seek to change the indenture or the debt securities or request a waiver.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187" w:lineRule="exact"/>
        <w:rPr>
          <w:sz w:val="20"/>
          <w:szCs w:val="20"/>
          <w:color w:val="auto"/>
        </w:rPr>
      </w:pPr>
    </w:p>
    <w:p>
      <w:pPr>
        <w:ind w:right="780"/>
        <w:spacing w:after="0" w:line="287" w:lineRule="auto"/>
        <w:rPr>
          <w:sz w:val="20"/>
          <w:szCs w:val="20"/>
          <w:color w:val="auto"/>
        </w:rPr>
      </w:pPr>
      <w:r>
        <w:rPr>
          <w:rFonts w:ascii="Arial" w:cs="Arial" w:eastAsia="Arial" w:hAnsi="Arial"/>
          <w:sz w:val="16"/>
          <w:szCs w:val="16"/>
          <w:color w:val="auto"/>
        </w:rPr>
        <w:t>The following provisions will be applicable to each series of debt securities unless we state in the applicable prospectus supplement that the provisions of covenant defeasance and legal defeasance will not be applicable to that series.</w:t>
      </w:r>
    </w:p>
    <w:p>
      <w:pPr>
        <w:spacing w:after="0" w:line="12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Covenant Defeasance</w:t>
      </w:r>
    </w:p>
    <w:p>
      <w:pPr>
        <w:spacing w:after="0" w:line="183" w:lineRule="exact"/>
        <w:rPr>
          <w:sz w:val="20"/>
          <w:szCs w:val="20"/>
          <w:color w:val="auto"/>
        </w:rPr>
      </w:pPr>
    </w:p>
    <w:p>
      <w:pPr>
        <w:ind w:left="640" w:right="140"/>
        <w:spacing w:after="0" w:line="225" w:lineRule="auto"/>
        <w:rPr>
          <w:sz w:val="20"/>
          <w:szCs w:val="20"/>
          <w:color w:val="auto"/>
        </w:rPr>
      </w:pPr>
      <w:r>
        <w:rPr>
          <w:rFonts w:ascii="Arial" w:cs="Arial" w:eastAsia="Arial" w:hAnsi="Arial"/>
          <w:sz w:val="17"/>
          <w:szCs w:val="17"/>
          <w:color w:val="auto"/>
        </w:rPr>
        <w:t>We can make the deposit described below and be released from some of the restrictive covenants in the indenture under which the particular series was issued. This is called “covenant defeasance.” In that event, the holders would lose the protection of those restrictive covenants but would gain the protection of having money and government securities set aside in trust to repay holders’ debt securities. If applicable, a holder also would be released from the subordination provisions described under “Description of Debt Securities—Indenture Provisions—Subordination” below. In order to achieve covenant defeasance, we must do the following:</w:t>
      </w:r>
    </w:p>
    <w:p>
      <w:pPr>
        <w:spacing w:after="0" w:line="164" w:lineRule="exact"/>
        <w:rPr>
          <w:sz w:val="20"/>
          <w:szCs w:val="20"/>
          <w:color w:val="auto"/>
        </w:rPr>
      </w:pPr>
    </w:p>
    <w:p>
      <w:pPr>
        <w:ind w:left="960" w:hanging="320"/>
        <w:spacing w:after="0" w:line="230"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66" w:lineRule="exact"/>
        <w:rPr>
          <w:rFonts w:ascii="Arial" w:cs="Arial" w:eastAsia="Arial" w:hAnsi="Arial"/>
          <w:sz w:val="18"/>
          <w:szCs w:val="18"/>
          <w:color w:val="auto"/>
        </w:rPr>
      </w:pPr>
    </w:p>
    <w:p>
      <w:pPr>
        <w:ind w:left="960" w:hanging="320"/>
        <w:spacing w:after="0" w:line="230"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the holders to be taxed on the debt securities any differently than if we did not make the deposit and just repaid the debt securities ourselves at maturity; and</w:t>
      </w:r>
    </w:p>
    <w:p>
      <w:pPr>
        <w:spacing w:after="0" w:line="66" w:lineRule="exact"/>
        <w:rPr>
          <w:rFonts w:ascii="Arial" w:cs="Arial" w:eastAsia="Arial" w:hAnsi="Arial"/>
          <w:sz w:val="18"/>
          <w:szCs w:val="18"/>
          <w:color w:val="auto"/>
        </w:rPr>
      </w:pPr>
    </w:p>
    <w:p>
      <w:pPr>
        <w:ind w:left="960" w:right="300" w:hanging="320"/>
        <w:spacing w:after="0" w:line="244"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must deliver to the trustee certain documentation stating that all conditions precedent to covenant defeasance have been complied with.</w:t>
      </w:r>
    </w:p>
    <w:p>
      <w:pPr>
        <w:spacing w:after="0" w:line="171" w:lineRule="exact"/>
        <w:rPr>
          <w:sz w:val="20"/>
          <w:szCs w:val="20"/>
          <w:color w:val="auto"/>
        </w:rPr>
      </w:pPr>
    </w:p>
    <w:p>
      <w:pPr>
        <w:ind w:left="640" w:right="40"/>
        <w:spacing w:after="0" w:line="247" w:lineRule="auto"/>
        <w:rPr>
          <w:sz w:val="20"/>
          <w:szCs w:val="20"/>
          <w:color w:val="auto"/>
        </w:rPr>
      </w:pPr>
      <w:r>
        <w:rPr>
          <w:rFonts w:ascii="Arial" w:cs="Arial" w:eastAsia="Arial" w:hAnsi="Arial"/>
          <w:sz w:val="16"/>
          <w:szCs w:val="16"/>
          <w:color w:val="auto"/>
        </w:rPr>
        <w:t>If we accomplish covenant defeasance, holders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holders may not be able to obtain payment of the shortfall.</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Legal Defeasance</w:t>
      </w:r>
    </w:p>
    <w:p>
      <w:pPr>
        <w:spacing w:after="0" w:line="183" w:lineRule="exact"/>
        <w:rPr>
          <w:sz w:val="20"/>
          <w:szCs w:val="20"/>
          <w:color w:val="auto"/>
        </w:rPr>
      </w:pPr>
    </w:p>
    <w:p>
      <w:pPr>
        <w:jc w:val="both"/>
        <w:ind w:left="640" w:right="200"/>
        <w:spacing w:after="0" w:line="231" w:lineRule="auto"/>
        <w:rPr>
          <w:sz w:val="20"/>
          <w:szCs w:val="20"/>
          <w:color w:val="auto"/>
        </w:rPr>
      </w:pPr>
      <w:r>
        <w:rPr>
          <w:rFonts w:ascii="Arial" w:cs="Arial" w:eastAsia="Arial" w:hAnsi="Arial"/>
          <w:sz w:val="17"/>
          <w:szCs w:val="17"/>
          <w:color w:val="auto"/>
        </w:rPr>
        <w:t>As described below, we can legally release ourselves from all payment and other obligations on the debt securities of a particular series (called “legal defeasance”), (1) if there is a change in U.S. Federal tax law that allows us to effect the release without causing the holders to be taxed any differently than if the release had not occurred, and (2) if we put in place the following other arrangements for holders to be repaid:</w:t>
      </w:r>
    </w:p>
    <w:p>
      <w:pPr>
        <w:spacing w:after="0" w:line="162" w:lineRule="exact"/>
        <w:rPr>
          <w:sz w:val="20"/>
          <w:szCs w:val="20"/>
          <w:color w:val="auto"/>
        </w:rPr>
      </w:pPr>
    </w:p>
    <w:p>
      <w:pPr>
        <w:ind w:left="960" w:hanging="320"/>
        <w:spacing w:after="0" w:line="230"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9">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40"/>
          </w:cols>
          <w:pgMar w:left="1260" w:top="114" w:right="129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4" w:lineRule="exact"/>
        <w:rPr>
          <w:sz w:val="20"/>
          <w:szCs w:val="20"/>
          <w:color w:val="auto"/>
        </w:rPr>
      </w:pPr>
    </w:p>
    <w:p>
      <w:pPr>
        <w:ind w:left="960" w:hanging="320"/>
        <w:spacing w:after="0" w:line="238" w:lineRule="auto"/>
        <w:tabs>
          <w:tab w:leader="none" w:pos="9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may be required to deliver to the trustee a legal opinion confirming that there has been a change in current U.S. Federal tax law or an Internal Revenue Service ruling that allows us to make the above deposit without causing the holders to be taxed on the debt securities any differently than if we did not make the deposit and just repaid the debt securities ourselves at maturity. Under current U.S. Federal tax law, the deposit and our legal release from the debt securities would be treated as though we paid each holder its share of the cash and notes or bonds at the time the cash and notes or bonds were deposited in trust in exchange for its debt securities and holders would recognize gain or loss on the debt securities at the time of the deposit; and</w:t>
      </w:r>
    </w:p>
    <w:p>
      <w:pPr>
        <w:spacing w:after="0" w:line="108" w:lineRule="exact"/>
        <w:rPr>
          <w:rFonts w:ascii="Arial" w:cs="Arial" w:eastAsia="Arial" w:hAnsi="Arial"/>
          <w:sz w:val="17"/>
          <w:szCs w:val="17"/>
          <w:color w:val="auto"/>
        </w:rPr>
      </w:pPr>
    </w:p>
    <w:p>
      <w:pPr>
        <w:ind w:left="960" w:right="280" w:hanging="320"/>
        <w:spacing w:after="0" w:line="244"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must deliver to the trustee a legal opinion and officers’ certificate stating that all conditions precedent to legal defeasance have been complied with.</w:t>
      </w:r>
    </w:p>
    <w:p>
      <w:pPr>
        <w:spacing w:after="0" w:line="171" w:lineRule="exact"/>
        <w:rPr>
          <w:sz w:val="20"/>
          <w:szCs w:val="20"/>
          <w:color w:val="auto"/>
        </w:rPr>
      </w:pPr>
    </w:p>
    <w:p>
      <w:pPr>
        <w:ind w:left="640" w:right="80"/>
        <w:spacing w:after="0" w:line="228" w:lineRule="auto"/>
        <w:rPr>
          <w:sz w:val="20"/>
          <w:szCs w:val="20"/>
          <w:color w:val="auto"/>
        </w:rPr>
      </w:pPr>
      <w:r>
        <w:rPr>
          <w:rFonts w:ascii="Arial" w:cs="Arial" w:eastAsia="Arial" w:hAnsi="Arial"/>
          <w:sz w:val="17"/>
          <w:szCs w:val="17"/>
          <w:color w:val="auto"/>
        </w:rPr>
        <w:t>If we ever did accomplish legal defeasance, as described above, holders would have to rely solely on the trust deposit for repayment of the debt securities. Holders could not look to us for repayment in the unlikely event of any shortfall. Conversely, the trust deposit would most likely be protected from claims of our lenders and other creditors if we ever became bankrupt or insolvent. If applicable, holders would also be released from the subordination provisions described later under “Description of Debt Securities—Indenture Provisions—Subordination.”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187" w:lineRule="exact"/>
        <w:rPr>
          <w:sz w:val="20"/>
          <w:szCs w:val="20"/>
          <w:color w:val="auto"/>
        </w:rPr>
      </w:pPr>
    </w:p>
    <w:p>
      <w:pPr>
        <w:ind w:right="120"/>
        <w:spacing w:after="0" w:line="218" w:lineRule="auto"/>
        <w:rPr>
          <w:sz w:val="20"/>
          <w:szCs w:val="20"/>
          <w:color w:val="auto"/>
        </w:rPr>
      </w:pPr>
      <w:r>
        <w:rPr>
          <w:rFonts w:ascii="Arial" w:cs="Arial" w:eastAsia="Arial" w:hAnsi="Arial"/>
          <w:sz w:val="18"/>
          <w:szCs w:val="18"/>
          <w:color w:val="auto"/>
        </w:rPr>
        <w:t>Each trustee may resign or be removed with respect to one or more series of indenture securities provided that a successor trustee is appointed to act with respect to such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187" w:lineRule="exact"/>
        <w:rPr>
          <w:sz w:val="20"/>
          <w:szCs w:val="20"/>
          <w:color w:val="auto"/>
        </w:rPr>
      </w:pPr>
    </w:p>
    <w:p>
      <w:pPr>
        <w:ind w:right="20"/>
        <w:spacing w:after="0" w:line="222" w:lineRule="auto"/>
        <w:rPr>
          <w:sz w:val="20"/>
          <w:szCs w:val="20"/>
          <w:color w:val="auto"/>
        </w:rPr>
      </w:pPr>
      <w:r>
        <w:rPr>
          <w:rFonts w:ascii="Arial" w:cs="Arial" w:eastAsia="Arial" w:hAnsi="Arial"/>
          <w:sz w:val="17"/>
          <w:szCs w:val="17"/>
          <w:color w:val="auto"/>
        </w:rPr>
        <w:t>Upon any distribution of our assets upon our dissolution, winding up, liquidation or reorganization, the payment of the principal of (and premium, if any) and interest on any indenture securities denominated as subordinated debt securities is to be subordinated to the extent provided in the indenture in right of payment to the prior payment in full of all Senior Indebtedness (defined below), but our obligation to holders to make payment of the principal of (and premium, if any) and interest on such subordinated debt securities will not otherwise be affected. In addition, no payment on account of principal (or premium, if any), interest or sinking fund, if any, may be made on such subordinated debt securities at any time unless full payment of all amounts due in respect of the principal (and premium, if any), interest and sinking fund, if any, on Senior Indebtedness has been made or duly provided for in money or money’s worth.</w:t>
      </w:r>
    </w:p>
    <w:p>
      <w:pPr>
        <w:spacing w:after="0" w:line="167" w:lineRule="exact"/>
        <w:rPr>
          <w:sz w:val="20"/>
          <w:szCs w:val="20"/>
          <w:color w:val="auto"/>
        </w:rPr>
      </w:pPr>
    </w:p>
    <w:p>
      <w:pPr>
        <w:ind w:right="160"/>
        <w:spacing w:after="0" w:line="210" w:lineRule="auto"/>
        <w:rPr>
          <w:sz w:val="20"/>
          <w:szCs w:val="20"/>
          <w:color w:val="auto"/>
        </w:rPr>
      </w:pPr>
      <w:r>
        <w:rPr>
          <w:rFonts w:ascii="Arial" w:cs="Arial" w:eastAsia="Arial" w:hAnsi="Arial"/>
          <w:sz w:val="18"/>
          <w:szCs w:val="18"/>
          <w:color w:val="auto"/>
        </w:rPr>
        <w:t>In the event that, notwithstanding the foregoing, any payment from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64"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By reason of this subordination, in the event of a distribution of our assets upon our insolvency, certain of our senior creditors may recover more, ratably, than holders of any subordinated debt securities. The related indenture will provide that these subordination provisions will not apply to money and securities held in trust under the defeasance provisions of the indenture.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0">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80"/>
          </w:cols>
          <w:pgMar w:left="1260" w:top="114" w:right="125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“Senior Indebtedness” will be defined in an applicable indenture as the principal of (and premium, if any) and unpaid interest on:</w:t>
      </w:r>
    </w:p>
    <w:p>
      <w:pPr>
        <w:spacing w:after="0" w:line="206" w:lineRule="exact"/>
        <w:rPr>
          <w:sz w:val="20"/>
          <w:szCs w:val="20"/>
          <w:color w:val="auto"/>
        </w:rPr>
      </w:pPr>
    </w:p>
    <w:p>
      <w:pPr>
        <w:ind w:left="960" w:right="240" w:hanging="320"/>
        <w:spacing w:after="0" w:line="227"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177" w:lineRule="exact"/>
        <w:rPr>
          <w:rFonts w:ascii="Arial" w:cs="Arial" w:eastAsia="Arial" w:hAnsi="Arial"/>
          <w:sz w:val="18"/>
          <w:szCs w:val="18"/>
          <w:color w:val="auto"/>
        </w:rPr>
      </w:pPr>
    </w:p>
    <w:p>
      <w:pPr>
        <w:ind w:left="960" w:hanging="320"/>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such indebtedness.</w:t>
      </w:r>
    </w:p>
    <w:p>
      <w:pPr>
        <w:spacing w:after="0" w:line="196"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The prospectus supplement accompanying any series of indenture securities denominated as subordinated debt securities will set forth the approximate amount of our Senior Indebtedness outstanding as of a recent date.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Trustee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intend to name the indenture trustee for each series of indenture securities in the related prospectus supplement.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87" w:lineRule="exact"/>
        <w:rPr>
          <w:sz w:val="20"/>
          <w:szCs w:val="20"/>
          <w:color w:val="auto"/>
        </w:rPr>
      </w:pPr>
    </w:p>
    <w:p>
      <w:pPr>
        <w:ind w:right="80"/>
        <w:spacing w:after="0" w:line="218" w:lineRule="auto"/>
        <w:rPr>
          <w:sz w:val="20"/>
          <w:szCs w:val="20"/>
          <w:color w:val="auto"/>
        </w:rPr>
      </w:pPr>
      <w:r>
        <w:rPr>
          <w:rFonts w:ascii="Arial" w:cs="Arial" w:eastAsia="Arial" w:hAnsi="Arial"/>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RIGHTS</w:t>
      </w:r>
    </w:p>
    <w:p>
      <w:pPr>
        <w:spacing w:after="0" w:line="187"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The following is a general description of the terms of the rights we may issue from time to time unless we provide otherwise in the applicable prospectus supplement. Particular terms of any rights we offer will be described in the prospectus supplement relating to such rights.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7" w:lineRule="exact"/>
        <w:rPr>
          <w:sz w:val="20"/>
          <w:szCs w:val="20"/>
          <w:color w:val="auto"/>
        </w:rPr>
      </w:pPr>
    </w:p>
    <w:p>
      <w:pPr>
        <w:ind w:right="20"/>
        <w:spacing w:after="0" w:line="224" w:lineRule="auto"/>
        <w:rPr>
          <w:sz w:val="20"/>
          <w:szCs w:val="20"/>
          <w:color w:val="auto"/>
        </w:rPr>
      </w:pPr>
      <w:r>
        <w:rPr>
          <w:rFonts w:ascii="Arial" w:cs="Arial" w:eastAsia="Arial" w:hAnsi="Arial"/>
          <w:sz w:val="17"/>
          <w:szCs w:val="17"/>
          <w:color w:val="auto"/>
        </w:rPr>
        <w:t>We may issue rights to purchase common stock, preferred stock, debt securities or units. Rights may be issued independently or together with other securities and may or may not be transferable by the person purchasing or receiving the rights. In connection with any rights offering to our stockholders, we may enter into a standby underwriting, backstop or other arrangement with one or more underwriters or other persons pursuant to which such underwriters or other persons would purchase any offered securities remaining unsubscribed for after such rights offering. In connection with a rights offering to our stockholders, we would distribute certificates evidencing the rights and a prospectus supplement to our stockholders on or about the record date that we set for receiving rights in such rights offering.</w:t>
      </w:r>
    </w:p>
    <w:p>
      <w:pPr>
        <w:spacing w:after="0" w:line="161"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The applicable prospectus supplement will describe the following terms of any rights we may issue, including some or all of the following:</w:t>
      </w:r>
    </w:p>
    <w:p>
      <w:pPr>
        <w:spacing w:after="0" w:line="161" w:lineRule="exact"/>
        <w:rPr>
          <w:sz w:val="20"/>
          <w:szCs w:val="20"/>
          <w:color w:val="auto"/>
        </w:rPr>
      </w:pPr>
    </w:p>
    <w:p>
      <w:pPr>
        <w:ind w:left="960" w:hanging="320"/>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title and aggregate number of the rights;</w:t>
      </w:r>
    </w:p>
    <w:p>
      <w:pPr>
        <w:spacing w:after="0" w:line="88" w:lineRule="exact"/>
        <w:rPr>
          <w:rFonts w:ascii="Arial" w:cs="Arial" w:eastAsia="Arial" w:hAnsi="Arial"/>
          <w:sz w:val="18"/>
          <w:szCs w:val="18"/>
          <w:color w:val="auto"/>
        </w:rPr>
      </w:pPr>
    </w:p>
    <w:p>
      <w:pPr>
        <w:ind w:left="960" w:right="180" w:hanging="320"/>
        <w:spacing w:after="0" w:line="244"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subscription price or a formula for the determination of the subscription price for the rights and the currency or currencies in which the subscription price may be payable;</w:t>
      </w:r>
    </w:p>
    <w:p>
      <w:pPr>
        <w:spacing w:after="0" w:line="63" w:lineRule="exact"/>
        <w:rPr>
          <w:rFonts w:ascii="Arial" w:cs="Arial" w:eastAsia="Arial" w:hAnsi="Arial"/>
          <w:sz w:val="18"/>
          <w:szCs w:val="18"/>
          <w:color w:val="auto"/>
        </w:rPr>
      </w:pPr>
    </w:p>
    <w:p>
      <w:pPr>
        <w:ind w:left="960" w:right="280" w:hanging="320"/>
        <w:spacing w:after="0" w:line="244"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rights are issued and the number of rights issued with each such security or each principal amount of such security;</w:t>
      </w:r>
    </w:p>
    <w:p>
      <w:pPr>
        <w:spacing w:after="0" w:line="63" w:lineRule="exact"/>
        <w:rPr>
          <w:rFonts w:ascii="Arial" w:cs="Arial" w:eastAsia="Arial" w:hAnsi="Arial"/>
          <w:sz w:val="18"/>
          <w:szCs w:val="18"/>
          <w:color w:val="auto"/>
        </w:rPr>
      </w:pPr>
    </w:p>
    <w:p>
      <w:pPr>
        <w:ind w:left="960" w:hanging="320"/>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the rights issued to each stockholder;</w:t>
      </w:r>
    </w:p>
    <w:p>
      <w:pPr>
        <w:spacing w:after="0" w:line="88" w:lineRule="exact"/>
        <w:rPr>
          <w:rFonts w:ascii="Arial" w:cs="Arial" w:eastAsia="Arial" w:hAnsi="Arial"/>
          <w:sz w:val="18"/>
          <w:szCs w:val="18"/>
          <w:color w:val="auto"/>
        </w:rPr>
      </w:pPr>
    </w:p>
    <w:p>
      <w:pPr>
        <w:ind w:left="960" w:hanging="320"/>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extent to which the rights are transferable;</w:t>
      </w:r>
    </w:p>
    <w:p>
      <w:pPr>
        <w:spacing w:after="0" w:line="88" w:lineRule="exact"/>
        <w:rPr>
          <w:rFonts w:ascii="Arial" w:cs="Arial" w:eastAsia="Arial" w:hAnsi="Arial"/>
          <w:sz w:val="18"/>
          <w:szCs w:val="18"/>
          <w:color w:val="auto"/>
        </w:rPr>
      </w:pPr>
    </w:p>
    <w:p>
      <w:pPr>
        <w:ind w:left="960" w:right="80" w:hanging="320"/>
        <w:spacing w:after="0" w:line="244"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case of rights to purchase debt securities, the principal amount of debt securities purchasable upon exercise of one right;</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1">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60"/>
          </w:cols>
          <w:pgMar w:left="1260" w:top="114" w:right="127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4" w:lineRule="exact"/>
        <w:rPr>
          <w:sz w:val="20"/>
          <w:szCs w:val="20"/>
          <w:color w:val="auto"/>
        </w:rPr>
      </w:pPr>
    </w:p>
    <w:p>
      <w:pPr>
        <w:ind w:left="960" w:right="240" w:hanging="320"/>
        <w:spacing w:after="0" w:line="244"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case of rights to purchase common stock or preferred stock, the type of stock and number of shares of stock purchasable upon exercise of one right;</w:t>
      </w:r>
    </w:p>
    <w:p>
      <w:pPr>
        <w:spacing w:after="0" w:line="63" w:lineRule="exact"/>
        <w:rPr>
          <w:rFonts w:ascii="Arial" w:cs="Arial" w:eastAsia="Arial" w:hAnsi="Arial"/>
          <w:sz w:val="18"/>
          <w:szCs w:val="18"/>
          <w:color w:val="auto"/>
        </w:rPr>
      </w:pPr>
    </w:p>
    <w:p>
      <w:pPr>
        <w:ind w:left="960" w:hanging="320"/>
        <w:spacing w:after="0" w:line="244"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rights will expire (subject to any extension);</w:t>
      </w:r>
    </w:p>
    <w:p>
      <w:pPr>
        <w:spacing w:after="0" w:line="63" w:lineRule="exact"/>
        <w:rPr>
          <w:rFonts w:ascii="Arial" w:cs="Arial" w:eastAsia="Arial" w:hAnsi="Arial"/>
          <w:sz w:val="18"/>
          <w:szCs w:val="18"/>
          <w:color w:val="auto"/>
        </w:rPr>
      </w:pPr>
    </w:p>
    <w:p>
      <w:pPr>
        <w:ind w:left="960" w:hanging="320"/>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rights that may be exercised at any one time;</w:t>
      </w:r>
    </w:p>
    <w:p>
      <w:pPr>
        <w:spacing w:after="0" w:line="88" w:lineRule="exact"/>
        <w:rPr>
          <w:rFonts w:ascii="Arial" w:cs="Arial" w:eastAsia="Arial" w:hAnsi="Arial"/>
          <w:sz w:val="18"/>
          <w:szCs w:val="18"/>
          <w:color w:val="auto"/>
        </w:rPr>
      </w:pPr>
    </w:p>
    <w:p>
      <w:pPr>
        <w:ind w:left="960" w:hanging="320"/>
        <w:spacing w:after="0"/>
        <w:tabs>
          <w:tab w:leader="none" w:pos="9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extent to which such rights include an over-subscription privilege with respect to unsubscribed securities;</w:t>
      </w:r>
    </w:p>
    <w:p>
      <w:pPr>
        <w:spacing w:after="0" w:line="100" w:lineRule="exact"/>
        <w:rPr>
          <w:rFonts w:ascii="Arial" w:cs="Arial" w:eastAsia="Arial" w:hAnsi="Arial"/>
          <w:sz w:val="17"/>
          <w:szCs w:val="17"/>
          <w:color w:val="auto"/>
        </w:rPr>
      </w:pPr>
    </w:p>
    <w:p>
      <w:pPr>
        <w:ind w:left="960" w:right="60" w:hanging="320"/>
        <w:spacing w:after="0" w:line="275" w:lineRule="auto"/>
        <w:tabs>
          <w:tab w:leader="none" w:pos="9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if applicable, the procedures for adjusting the subscription price and number of shares of common stock or preferred stock purchasable upon the exercise of each right upon the occurrence of certain events, including stock splits, reverse stock splits, combinations, subdivisions or reclassifications of common stock or preferred stock;</w:t>
      </w:r>
    </w:p>
    <w:p>
      <w:pPr>
        <w:spacing w:after="0" w:line="39" w:lineRule="exact"/>
        <w:rPr>
          <w:rFonts w:ascii="Arial" w:cs="Arial" w:eastAsia="Arial" w:hAnsi="Arial"/>
          <w:sz w:val="16"/>
          <w:szCs w:val="16"/>
          <w:color w:val="auto"/>
        </w:rPr>
      </w:pPr>
    </w:p>
    <w:p>
      <w:pPr>
        <w:ind w:left="960" w:hanging="320"/>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effect on the rights of any merger, consolidation, sale or other disposition of our business;</w:t>
      </w:r>
    </w:p>
    <w:p>
      <w:pPr>
        <w:spacing w:after="0" w:line="88" w:lineRule="exact"/>
        <w:rPr>
          <w:rFonts w:ascii="Arial" w:cs="Arial" w:eastAsia="Arial" w:hAnsi="Arial"/>
          <w:sz w:val="18"/>
          <w:szCs w:val="18"/>
          <w:color w:val="auto"/>
        </w:rPr>
      </w:pPr>
    </w:p>
    <w:p>
      <w:pPr>
        <w:ind w:left="960" w:hanging="320"/>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terms of any rights to redeem or call the rights;</w:t>
      </w:r>
    </w:p>
    <w:p>
      <w:pPr>
        <w:spacing w:after="0" w:line="88" w:lineRule="exact"/>
        <w:rPr>
          <w:rFonts w:ascii="Arial" w:cs="Arial" w:eastAsia="Arial" w:hAnsi="Arial"/>
          <w:sz w:val="18"/>
          <w:szCs w:val="18"/>
          <w:color w:val="auto"/>
        </w:rPr>
      </w:pPr>
    </w:p>
    <w:p>
      <w:pPr>
        <w:ind w:left="960" w:hanging="320"/>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88" w:lineRule="exact"/>
        <w:rPr>
          <w:rFonts w:ascii="Arial" w:cs="Arial" w:eastAsia="Arial" w:hAnsi="Arial"/>
          <w:sz w:val="18"/>
          <w:szCs w:val="18"/>
          <w:color w:val="auto"/>
        </w:rPr>
      </w:pPr>
    </w:p>
    <w:p>
      <w:pPr>
        <w:ind w:left="960" w:hanging="320"/>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rights;</w:t>
      </w:r>
    </w:p>
    <w:p>
      <w:pPr>
        <w:spacing w:after="0" w:line="88" w:lineRule="exact"/>
        <w:rPr>
          <w:rFonts w:ascii="Arial" w:cs="Arial" w:eastAsia="Arial" w:hAnsi="Arial"/>
          <w:sz w:val="18"/>
          <w:szCs w:val="18"/>
          <w:color w:val="auto"/>
        </w:rPr>
      </w:pPr>
    </w:p>
    <w:p>
      <w:pPr>
        <w:ind w:left="960" w:right="180" w:hanging="320"/>
        <w:spacing w:after="0" w:line="244"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backstop or other purchase arrangement that we may enter into in connection with the rights offering;</w:t>
      </w:r>
    </w:p>
    <w:p>
      <w:pPr>
        <w:spacing w:after="0" w:line="63" w:lineRule="exact"/>
        <w:rPr>
          <w:rFonts w:ascii="Arial" w:cs="Arial" w:eastAsia="Arial" w:hAnsi="Arial"/>
          <w:sz w:val="18"/>
          <w:szCs w:val="18"/>
          <w:color w:val="auto"/>
        </w:rPr>
      </w:pPr>
    </w:p>
    <w:p>
      <w:pPr>
        <w:ind w:left="960" w:hanging="320"/>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88" w:lineRule="exact"/>
        <w:rPr>
          <w:rFonts w:ascii="Arial" w:cs="Arial" w:eastAsia="Arial" w:hAnsi="Arial"/>
          <w:sz w:val="18"/>
          <w:szCs w:val="18"/>
          <w:color w:val="auto"/>
        </w:rPr>
      </w:pPr>
    </w:p>
    <w:p>
      <w:pPr>
        <w:ind w:left="960" w:right="20" w:hanging="320"/>
        <w:spacing w:after="0" w:line="244"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exchange and exercise of the rights.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Rights</w:t>
      </w:r>
    </w:p>
    <w:p>
      <w:pPr>
        <w:spacing w:after="0" w:line="187"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Each right will entitle the holder to purchase for cash or other consideration such shares of stock or principal amount of securities at the subscription price as shall in each case be set forth in, or be determinable as set forth in, the prospectus supplement relating to the rights offered thereby. Rights may be exercised as set forth in the applicable prospectus supplement beginning on the date specified therein and continuing until the close of business on the expiration date set forth in the prospectus supplement relating to the rights offered thereby. After the close of business on the expiration date, unexercised rights will become void.</w:t>
      </w:r>
    </w:p>
    <w:p>
      <w:pPr>
        <w:spacing w:after="0" w:line="161" w:lineRule="exact"/>
        <w:rPr>
          <w:sz w:val="20"/>
          <w:szCs w:val="20"/>
          <w:color w:val="auto"/>
        </w:rPr>
      </w:pPr>
    </w:p>
    <w:p>
      <w:pPr>
        <w:ind w:right="60"/>
        <w:spacing w:after="0" w:line="228" w:lineRule="auto"/>
        <w:rPr>
          <w:sz w:val="20"/>
          <w:szCs w:val="20"/>
          <w:color w:val="auto"/>
        </w:rPr>
      </w:pPr>
      <w:r>
        <w:rPr>
          <w:rFonts w:ascii="Arial" w:cs="Arial" w:eastAsia="Arial" w:hAnsi="Arial"/>
          <w:sz w:val="17"/>
          <w:szCs w:val="17"/>
          <w:color w:val="auto"/>
        </w:rPr>
        <w:t>Upon receipt of payment and a subscription certificate properly completed and duly executed at the corporate trust office of the subscription agent or any other office indicated in the prospectus supplement, we will, as soon as practicable, forward the securities purchasable upon such exercise. If less than all of the rights represented by such subscription certificate are exercised, a new subscription certificate will be issued for the remaining rights. If we so indicate in the applicable prospectus supplement, holders of the rights may surrender securities as all or part of the exercise price for rights.</w:t>
      </w:r>
    </w:p>
    <w:p>
      <w:pPr>
        <w:spacing w:after="0" w:line="160" w:lineRule="exact"/>
        <w:rPr>
          <w:sz w:val="20"/>
          <w:szCs w:val="20"/>
          <w:color w:val="auto"/>
        </w:rPr>
      </w:pPr>
    </w:p>
    <w:p>
      <w:pPr>
        <w:ind w:right="260"/>
        <w:spacing w:after="0" w:line="237" w:lineRule="auto"/>
        <w:rPr>
          <w:sz w:val="20"/>
          <w:szCs w:val="20"/>
          <w:color w:val="auto"/>
        </w:rPr>
      </w:pPr>
      <w:r>
        <w:rPr>
          <w:rFonts w:ascii="Arial" w:cs="Arial" w:eastAsia="Arial" w:hAnsi="Arial"/>
          <w:sz w:val="17"/>
          <w:szCs w:val="17"/>
          <w:color w:val="auto"/>
        </w:rPr>
        <w:t>We may determine to offer any unsubscribed offered securities directly to stockholders, persons other than stockholders, to or through agents, underwriters or dealers or through a combination of such methods, including pursuant to standby underwriting, backstop or other arrangements, as set forth in the applicable prospectus supplement.</w:t>
      </w:r>
    </w:p>
    <w:p>
      <w:pPr>
        <w:spacing w:after="0" w:line="160" w:lineRule="exact"/>
        <w:rPr>
          <w:sz w:val="20"/>
          <w:szCs w:val="20"/>
          <w:color w:val="auto"/>
        </w:rPr>
      </w:pPr>
    </w:p>
    <w:p>
      <w:pPr>
        <w:ind w:right="40"/>
        <w:spacing w:after="0" w:line="215" w:lineRule="auto"/>
        <w:rPr>
          <w:sz w:val="20"/>
          <w:szCs w:val="20"/>
          <w:color w:val="auto"/>
        </w:rPr>
      </w:pPr>
      <w:r>
        <w:rPr>
          <w:rFonts w:ascii="Arial" w:cs="Arial" w:eastAsia="Arial" w:hAnsi="Arial"/>
          <w:sz w:val="18"/>
          <w:szCs w:val="18"/>
          <w:color w:val="auto"/>
        </w:rPr>
        <w:t>Prior to exercising their rights, holders of rights will not have any of the rights of holders of the securities purchasable upon subscription, including, in the case of rights to purchase common stock or preferred stock, the right to receive dividends, if any, or payments upon our liquidation, dissolution or winding up or to exercise any voting rights or, in the case of rights to purchase debt securities, the right to receive principal, premium, if any, or interest payments, on the debt securities purchasable upon exercise or to enforce covenants in the applicable indenture.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2">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60"/>
          </w:cols>
          <w:pgMar w:left="1260" w:top="114" w:right="127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UNITS</w:t>
      </w:r>
    </w:p>
    <w:p>
      <w:pPr>
        <w:spacing w:after="0" w:line="187" w:lineRule="exact"/>
        <w:rPr>
          <w:sz w:val="20"/>
          <w:szCs w:val="20"/>
          <w:color w:val="auto"/>
        </w:rPr>
      </w:pPr>
    </w:p>
    <w:p>
      <w:pPr>
        <w:ind w:right="40"/>
        <w:spacing w:after="0" w:line="218" w:lineRule="auto"/>
        <w:rPr>
          <w:sz w:val="20"/>
          <w:szCs w:val="20"/>
          <w:color w:val="auto"/>
        </w:rPr>
      </w:pPr>
      <w:r>
        <w:rPr>
          <w:rFonts w:ascii="Arial" w:cs="Arial" w:eastAsia="Arial" w:hAnsi="Arial"/>
          <w:sz w:val="18"/>
          <w:szCs w:val="18"/>
          <w:color w:val="auto"/>
        </w:rPr>
        <w:t>We may issue units comprising one or more securities described in this prospectus in any combination.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62" w:lineRule="exact"/>
        <w:rPr>
          <w:sz w:val="20"/>
          <w:szCs w:val="20"/>
          <w:color w:val="auto"/>
        </w:rPr>
      </w:pPr>
    </w:p>
    <w:p>
      <w:pPr>
        <w:spacing w:after="0" w:line="224" w:lineRule="auto"/>
        <w:rPr>
          <w:sz w:val="20"/>
          <w:szCs w:val="20"/>
          <w:color w:val="auto"/>
        </w:rPr>
      </w:pPr>
      <w:r>
        <w:rPr>
          <w:rFonts w:ascii="Arial" w:cs="Arial" w:eastAsia="Arial" w:hAnsi="Arial"/>
          <w:sz w:val="17"/>
          <w:szCs w:val="17"/>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“Where You Can Find More Information.”</w:t>
      </w:r>
    </w:p>
    <w:p>
      <w:pPr>
        <w:spacing w:after="0" w:line="161" w:lineRule="exact"/>
        <w:rPr>
          <w:sz w:val="20"/>
          <w:szCs w:val="20"/>
          <w:color w:val="auto"/>
        </w:rPr>
      </w:pPr>
    </w:p>
    <w:p>
      <w:pPr>
        <w:ind w:right="440"/>
        <w:spacing w:after="0" w:line="234" w:lineRule="auto"/>
        <w:rPr>
          <w:sz w:val="20"/>
          <w:szCs w:val="20"/>
          <w:color w:val="auto"/>
        </w:rPr>
      </w:pPr>
      <w:r>
        <w:rPr>
          <w:rFonts w:ascii="Arial" w:cs="Arial" w:eastAsia="Arial" w:hAnsi="Arial"/>
          <w:sz w:val="18"/>
          <w:szCs w:val="18"/>
          <w:color w:val="auto"/>
        </w:rPr>
        <w:t>The prospectus supplement relating to any particular issuance of units will describe the terms of those units, including, to the extent applicable, the following:</w:t>
      </w:r>
    </w:p>
    <w:p>
      <w:pPr>
        <w:spacing w:after="0" w:line="161" w:lineRule="exact"/>
        <w:rPr>
          <w:sz w:val="20"/>
          <w:szCs w:val="20"/>
          <w:color w:val="auto"/>
        </w:rPr>
      </w:pPr>
    </w:p>
    <w:p>
      <w:pPr>
        <w:ind w:left="960" w:right="400" w:hanging="320"/>
        <w:spacing w:after="0" w:line="244"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designation and terms of the units and the securities comprising the units, including whether and under what circumstances those securities may be held or transferred separately;</w:t>
      </w:r>
    </w:p>
    <w:p>
      <w:pPr>
        <w:spacing w:after="0" w:line="170" w:lineRule="exact"/>
        <w:rPr>
          <w:rFonts w:ascii="Arial" w:cs="Arial" w:eastAsia="Arial" w:hAnsi="Arial"/>
          <w:sz w:val="18"/>
          <w:szCs w:val="18"/>
          <w:color w:val="auto"/>
        </w:rPr>
      </w:pPr>
    </w:p>
    <w:p>
      <w:pPr>
        <w:ind w:left="960" w:right="100" w:hanging="320"/>
        <w:spacing w:after="0" w:line="244"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provision for the issuance, payment, settlement, transfer or exchange of the units or of the securities comprising the units; and</w:t>
      </w:r>
    </w:p>
    <w:p>
      <w:pPr>
        <w:spacing w:after="0" w:line="170" w:lineRule="exact"/>
        <w:rPr>
          <w:rFonts w:ascii="Arial" w:cs="Arial" w:eastAsia="Arial" w:hAnsi="Arial"/>
          <w:sz w:val="18"/>
          <w:szCs w:val="18"/>
          <w:color w:val="auto"/>
        </w:rPr>
      </w:pPr>
    </w:p>
    <w:p>
      <w:pPr>
        <w:ind w:left="960" w:hanging="320"/>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192"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PLAN OF DISTRIBUTION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may sell the securities offered by this prospectus in any one or more of the following ways from time to time:</w:t>
      </w:r>
    </w:p>
    <w:p>
      <w:pPr>
        <w:spacing w:after="0" w:line="183" w:lineRule="exact"/>
        <w:rPr>
          <w:sz w:val="20"/>
          <w:szCs w:val="20"/>
          <w:color w:val="auto"/>
        </w:rPr>
      </w:pPr>
    </w:p>
    <w:p>
      <w:pPr>
        <w:ind w:left="960" w:hanging="320"/>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or through one or more underwriters, initial purchasers, brokers or dealers;</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through agents to investors or the public;</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short or long transactions;</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through put or call option transactions relating to our common stock;</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directly to agents or other purchasers;</w:t>
      </w:r>
    </w:p>
    <w:p>
      <w:pPr>
        <w:spacing w:after="0" w:line="196" w:lineRule="exact"/>
        <w:rPr>
          <w:rFonts w:ascii="Arial" w:cs="Arial" w:eastAsia="Arial" w:hAnsi="Arial"/>
          <w:sz w:val="18"/>
          <w:szCs w:val="18"/>
          <w:color w:val="auto"/>
        </w:rPr>
      </w:pPr>
    </w:p>
    <w:p>
      <w:pPr>
        <w:ind w:left="960" w:right="20" w:hanging="320"/>
        <w:spacing w:after="0" w:line="244"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 to or through a market maker or into an existing trading market, on an exchange or otherwise;</w:t>
      </w:r>
    </w:p>
    <w:p>
      <w:pPr>
        <w:spacing w:after="0" w:line="170" w:lineRule="exact"/>
        <w:rPr>
          <w:rFonts w:ascii="Arial" w:cs="Arial" w:eastAsia="Arial" w:hAnsi="Arial"/>
          <w:sz w:val="18"/>
          <w:szCs w:val="18"/>
          <w:color w:val="auto"/>
        </w:rPr>
      </w:pPr>
    </w:p>
    <w:p>
      <w:pPr>
        <w:ind w:left="960" w:hanging="320"/>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though a combination of any such methods of sale; or</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through any other method described in the applicable prospectus supplement.</w:t>
      </w:r>
    </w:p>
    <w:p>
      <w:pPr>
        <w:spacing w:after="0" w:line="196" w:lineRule="exact"/>
        <w:rPr>
          <w:sz w:val="20"/>
          <w:szCs w:val="20"/>
          <w:color w:val="auto"/>
        </w:rPr>
      </w:pPr>
    </w:p>
    <w:p>
      <w:pPr>
        <w:ind w:right="160"/>
        <w:spacing w:after="0" w:line="256" w:lineRule="auto"/>
        <w:rPr>
          <w:sz w:val="20"/>
          <w:szCs w:val="20"/>
          <w:color w:val="auto"/>
        </w:rPr>
      </w:pPr>
      <w:r>
        <w:rPr>
          <w:rFonts w:ascii="Arial" w:cs="Arial" w:eastAsia="Arial" w:hAnsi="Arial"/>
          <w:sz w:val="17"/>
          <w:szCs w:val="17"/>
          <w:color w:val="auto"/>
        </w:rPr>
        <w:t>The applicable prospectus supplement will set forth the terms of the offering and the method of distribution and will identify any firms acting as underwriters, initial purchasers, dealers or agents in connection with the offering, including:</w:t>
      </w:r>
    </w:p>
    <w:p>
      <w:pPr>
        <w:spacing w:after="0" w:line="148" w:lineRule="exact"/>
        <w:rPr>
          <w:sz w:val="20"/>
          <w:szCs w:val="20"/>
          <w:color w:val="auto"/>
        </w:rPr>
      </w:pPr>
    </w:p>
    <w:p>
      <w:pPr>
        <w:ind w:left="960" w:hanging="320"/>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88" w:lineRule="exact"/>
        <w:rPr>
          <w:rFonts w:ascii="Arial" w:cs="Arial" w:eastAsia="Arial" w:hAnsi="Arial"/>
          <w:sz w:val="18"/>
          <w:szCs w:val="18"/>
          <w:color w:val="auto"/>
        </w:rPr>
      </w:pPr>
    </w:p>
    <w:p>
      <w:pPr>
        <w:ind w:left="960" w:hanging="320"/>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names of any underwriters, dealers or agents;</w:t>
      </w:r>
    </w:p>
    <w:p>
      <w:pPr>
        <w:spacing w:after="0" w:line="88" w:lineRule="exact"/>
        <w:rPr>
          <w:rFonts w:ascii="Arial" w:cs="Arial" w:eastAsia="Arial" w:hAnsi="Arial"/>
          <w:sz w:val="18"/>
          <w:szCs w:val="18"/>
          <w:color w:val="auto"/>
        </w:rPr>
      </w:pPr>
    </w:p>
    <w:p>
      <w:pPr>
        <w:ind w:left="960" w:hanging="320"/>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name or names of any managing underwriter or underwriters;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3">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80"/>
          </w:cols>
          <w:pgMar w:left="1260" w:top="114" w:right="125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4" w:lineRule="exact"/>
        <w:rPr>
          <w:sz w:val="20"/>
          <w:szCs w:val="20"/>
          <w:color w:val="auto"/>
        </w:rPr>
      </w:pPr>
    </w:p>
    <w:p>
      <w:pPr>
        <w:ind w:left="960" w:hanging="320"/>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to us from the sale;</w:t>
      </w:r>
    </w:p>
    <w:p>
      <w:pPr>
        <w:spacing w:after="0" w:line="88" w:lineRule="exact"/>
        <w:rPr>
          <w:rFonts w:ascii="Arial" w:cs="Arial" w:eastAsia="Arial" w:hAnsi="Arial"/>
          <w:sz w:val="18"/>
          <w:szCs w:val="18"/>
          <w:color w:val="auto"/>
        </w:rPr>
      </w:pPr>
    </w:p>
    <w:p>
      <w:pPr>
        <w:ind w:left="960" w:hanging="320"/>
        <w:spacing w:after="0"/>
        <w:tabs>
          <w:tab w:leader="none" w:pos="9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over-allotment options under which the underwriters may purchase additional shares of common stock from us;</w:t>
      </w:r>
    </w:p>
    <w:p>
      <w:pPr>
        <w:spacing w:after="0" w:line="111" w:lineRule="exact"/>
        <w:rPr>
          <w:rFonts w:ascii="Arial" w:cs="Arial" w:eastAsia="Arial" w:hAnsi="Arial"/>
          <w:sz w:val="16"/>
          <w:szCs w:val="16"/>
          <w:color w:val="auto"/>
        </w:rPr>
      </w:pPr>
    </w:p>
    <w:p>
      <w:pPr>
        <w:ind w:left="960" w:right="160" w:hanging="320"/>
        <w:spacing w:after="0" w:line="244"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underwriting discounts, concessions, commissions or agency fees and other items constituting compensation to underwriters, dealers or agents;</w:t>
      </w:r>
    </w:p>
    <w:p>
      <w:pPr>
        <w:spacing w:after="0" w:line="63" w:lineRule="exact"/>
        <w:rPr>
          <w:rFonts w:ascii="Arial" w:cs="Arial" w:eastAsia="Arial" w:hAnsi="Arial"/>
          <w:sz w:val="18"/>
          <w:szCs w:val="18"/>
          <w:color w:val="auto"/>
        </w:rPr>
      </w:pPr>
    </w:p>
    <w:p>
      <w:pPr>
        <w:ind w:left="960" w:hanging="320"/>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88" w:lineRule="exact"/>
        <w:rPr>
          <w:rFonts w:ascii="Arial" w:cs="Arial" w:eastAsia="Arial" w:hAnsi="Arial"/>
          <w:sz w:val="18"/>
          <w:szCs w:val="18"/>
          <w:color w:val="auto"/>
        </w:rPr>
      </w:pPr>
    </w:p>
    <w:p>
      <w:pPr>
        <w:ind w:left="960" w:hanging="320"/>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88" w:lineRule="exact"/>
        <w:rPr>
          <w:rFonts w:ascii="Arial" w:cs="Arial" w:eastAsia="Arial" w:hAnsi="Arial"/>
          <w:sz w:val="18"/>
          <w:szCs w:val="18"/>
          <w:color w:val="auto"/>
        </w:rPr>
      </w:pPr>
    </w:p>
    <w:p>
      <w:pPr>
        <w:ind w:left="960" w:hanging="320"/>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by underwriters or dealers to other dealers; or</w:t>
      </w:r>
    </w:p>
    <w:p>
      <w:pPr>
        <w:spacing w:after="0" w:line="88" w:lineRule="exact"/>
        <w:rPr>
          <w:rFonts w:ascii="Arial" w:cs="Arial" w:eastAsia="Arial" w:hAnsi="Arial"/>
          <w:sz w:val="18"/>
          <w:szCs w:val="18"/>
          <w:color w:val="auto"/>
        </w:rPr>
      </w:pPr>
    </w:p>
    <w:p>
      <w:pPr>
        <w:ind w:left="960" w:hanging="320"/>
        <w:spacing w:after="0"/>
        <w:tabs>
          <w:tab w:leader="none" w:pos="9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securities exchange or market on which the common stock offered in the prospectus supplement may be listed.</w:t>
      </w:r>
    </w:p>
    <w:p>
      <w:pPr>
        <w:spacing w:after="0" w:line="219" w:lineRule="exact"/>
        <w:rPr>
          <w:sz w:val="20"/>
          <w:szCs w:val="20"/>
          <w:color w:val="auto"/>
        </w:rPr>
      </w:pPr>
    </w:p>
    <w:p>
      <w:pPr>
        <w:spacing w:after="0" w:line="222" w:lineRule="auto"/>
        <w:rPr>
          <w:sz w:val="20"/>
          <w:szCs w:val="20"/>
          <w:color w:val="auto"/>
        </w:rPr>
      </w:pPr>
      <w:r>
        <w:rPr>
          <w:rFonts w:ascii="Arial" w:cs="Arial" w:eastAsia="Arial" w:hAnsi="Arial"/>
          <w:sz w:val="17"/>
          <w:szCs w:val="17"/>
          <w:color w:val="auto"/>
        </w:rPr>
        <w:t>If we use underwriters for a sale of securities, the underwriters will acquire the securities for their own account for resale to the public, either on a firm commitment basis or a best efforts basis. The underwriters may resell the securities in one or more transactions, including negotiated transactions, at a fixed public offering price or at varying prices determined at the time of sale. Underwriters may offer the securities to the public either through underwriting syndicates represented by one or more managing underwriters or directly by one or more firms acting as underwriters. If an underwriter or underwriters are used in the sale of securities hereunder, an underwriting agreement will be executed with the underwriter or underwriters at the time an agreement for sale is reached. Unless we inform you otherwise in the applicable prospectus supplement, the obligations of the underwriters to purchase the securities will be subject to certain conditions. We may change from time to time any public offering price and any discounts or concessions the underwriters allow or pay to dealers.</w:t>
      </w:r>
    </w:p>
    <w:p>
      <w:pPr>
        <w:spacing w:after="0" w:line="161"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During and after an offering through underwriters, the underwriters may purchase and sell the securities in the open market. These transactions may include overallotment and stabilizing transactions and purchases to cover syndicate short positions created in connection with the offering. The underwriters may also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w:t>
      </w:r>
    </w:p>
    <w:p>
      <w:pPr>
        <w:spacing w:after="0" w:line="161" w:lineRule="exact"/>
        <w:rPr>
          <w:sz w:val="20"/>
          <w:szCs w:val="20"/>
          <w:color w:val="auto"/>
        </w:rPr>
      </w:pPr>
    </w:p>
    <w:p>
      <w:pPr>
        <w:ind w:right="220"/>
        <w:spacing w:after="0" w:line="231" w:lineRule="auto"/>
        <w:rPr>
          <w:sz w:val="20"/>
          <w:szCs w:val="20"/>
          <w:color w:val="auto"/>
        </w:rPr>
      </w:pPr>
      <w:r>
        <w:rPr>
          <w:rFonts w:ascii="Arial" w:cs="Arial" w:eastAsia="Arial" w:hAnsi="Arial"/>
          <w:sz w:val="17"/>
          <w:szCs w:val="17"/>
          <w:color w:val="auto"/>
        </w:rPr>
        <w:t>Some or all of the securities that we offer though this prospectus may be new issues of securities with no established trading market.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w:t>
      </w:r>
    </w:p>
    <w:p>
      <w:pPr>
        <w:spacing w:after="0" w:line="162" w:lineRule="exact"/>
        <w:rPr>
          <w:sz w:val="20"/>
          <w:szCs w:val="20"/>
          <w:color w:val="auto"/>
        </w:rPr>
      </w:pPr>
    </w:p>
    <w:p>
      <w:pPr>
        <w:jc w:val="both"/>
        <w:ind w:right="240"/>
        <w:spacing w:after="0" w:line="237" w:lineRule="auto"/>
        <w:rPr>
          <w:sz w:val="20"/>
          <w:szCs w:val="20"/>
          <w:color w:val="auto"/>
        </w:rPr>
      </w:pPr>
      <w:r>
        <w:rPr>
          <w:rFonts w:ascii="Arial" w:cs="Arial" w:eastAsia="Arial" w:hAnsi="Arial"/>
          <w:sz w:val="17"/>
          <w:szCs w:val="17"/>
          <w:color w:val="auto"/>
        </w:rPr>
        <w:t>If dealers are used for the sale of securities, we, or an underwriter, will sell the securities to them as principals. The dealers may then resell those securities to the public at varying prices determined by the dealers at the time of resale. We will include in the applicable prospectus supplement the names of the dealers and the terms of the transaction.</w:t>
      </w:r>
    </w:p>
    <w:p>
      <w:pPr>
        <w:spacing w:after="0" w:line="160" w:lineRule="exact"/>
        <w:rPr>
          <w:sz w:val="20"/>
          <w:szCs w:val="20"/>
          <w:color w:val="auto"/>
        </w:rPr>
      </w:pPr>
    </w:p>
    <w:p>
      <w:pPr>
        <w:ind w:right="80"/>
        <w:spacing w:after="0" w:line="218" w:lineRule="auto"/>
        <w:rPr>
          <w:sz w:val="20"/>
          <w:szCs w:val="20"/>
          <w:color w:val="auto"/>
        </w:rPr>
      </w:pPr>
      <w:r>
        <w:rPr>
          <w:rFonts w:ascii="Arial" w:cs="Arial" w:eastAsia="Arial" w:hAnsi="Arial"/>
          <w:sz w:val="18"/>
          <w:szCs w:val="18"/>
          <w:color w:val="auto"/>
        </w:rPr>
        <w:t>We may also sell the securities through agents designated from time to time. In the applicable prospectus supplement, we will name any agent involved in the offer or sale of the offered securities, and we will describe any commissions payable to the agent. Unless we inform you otherwise in the applicable prospectus supplement, any agent will agree to use its reasonable best efforts to solicit purchases for the period of its appointment.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We may sell the securities directly in transactions not involving underwriters, dealers or agents.</w:t>
      </w:r>
    </w:p>
    <w:p>
      <w:pPr>
        <w:spacing w:after="0" w:line="183" w:lineRule="exact"/>
        <w:rPr>
          <w:sz w:val="20"/>
          <w:szCs w:val="20"/>
          <w:color w:val="auto"/>
        </w:rPr>
      </w:pPr>
    </w:p>
    <w:p>
      <w:pPr>
        <w:ind w:right="180"/>
        <w:spacing w:after="0" w:line="223" w:lineRule="auto"/>
        <w:rPr>
          <w:sz w:val="20"/>
          <w:szCs w:val="20"/>
          <w:color w:val="auto"/>
        </w:rPr>
      </w:pPr>
      <w:r>
        <w:rPr>
          <w:rFonts w:ascii="Arial" w:cs="Arial" w:eastAsia="Arial" w:hAnsi="Arial"/>
          <w:sz w:val="18"/>
          <w:szCs w:val="18"/>
          <w:color w:val="auto"/>
        </w:rPr>
        <w:t>We may sell the securities directly to institutional investors or others who may be deemed to be underwriters within the meaning of the Securities Act with respect to any sale of those securities. We will describe the terms of any such sales in the prospectus supplement.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4">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80"/>
          </w:cols>
          <w:pgMar w:left="1260" w:top="114" w:right="125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4" w:lineRule="exact"/>
        <w:rPr>
          <w:sz w:val="20"/>
          <w:szCs w:val="20"/>
          <w:color w:val="auto"/>
        </w:rPr>
      </w:pPr>
    </w:p>
    <w:p>
      <w:pPr>
        <w:ind w:right="100"/>
        <w:spacing w:after="0" w:line="213" w:lineRule="auto"/>
        <w:rPr>
          <w:sz w:val="20"/>
          <w:szCs w:val="20"/>
          <w:color w:val="auto"/>
        </w:rPr>
      </w:pPr>
      <w:r>
        <w:rPr>
          <w:rFonts w:ascii="Arial" w:cs="Arial" w:eastAsia="Arial" w:hAnsi="Arial"/>
          <w:sz w:val="18"/>
          <w:szCs w:val="18"/>
          <w:color w:val="auto"/>
        </w:rPr>
        <w:t>Underwriters, dealers and agents that participate in the distribution of the securities may be underwriters as defined in the applicable securities laws and any discounts or commissions they receive from us and any profit on their resale of the securities may be treated as underwriting discounts and commissions under the applicable securities laws.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applicable securities laws.</w:t>
      </w:r>
    </w:p>
    <w:p>
      <w:pPr>
        <w:spacing w:after="0" w:line="161" w:lineRule="exact"/>
        <w:rPr>
          <w:sz w:val="20"/>
          <w:szCs w:val="20"/>
          <w:color w:val="auto"/>
        </w:rPr>
      </w:pPr>
    </w:p>
    <w:p>
      <w:pPr>
        <w:ind w:right="600"/>
        <w:spacing w:after="0" w:line="234" w:lineRule="auto"/>
        <w:rPr>
          <w:sz w:val="20"/>
          <w:szCs w:val="20"/>
          <w:color w:val="auto"/>
        </w:rPr>
      </w:pPr>
      <w:r>
        <w:rPr>
          <w:rFonts w:ascii="Arial" w:cs="Arial" w:eastAsia="Arial" w:hAnsi="Arial"/>
          <w:sz w:val="18"/>
          <w:szCs w:val="18"/>
          <w:color w:val="auto"/>
        </w:rPr>
        <w:t>Underwriters, dealers and agents may engage in transactions with or perform services for us in the ordinary course of their businesses for which they may receive customary fees and reimbursement of expenses.</w:t>
      </w:r>
    </w:p>
    <w:p>
      <w:pPr>
        <w:spacing w:after="0" w:line="161" w:lineRule="exact"/>
        <w:rPr>
          <w:sz w:val="20"/>
          <w:szCs w:val="20"/>
          <w:color w:val="auto"/>
        </w:rPr>
      </w:pPr>
    </w:p>
    <w:p>
      <w:pPr>
        <w:ind w:right="480"/>
        <w:spacing w:after="0" w:line="234" w:lineRule="auto"/>
        <w:rPr>
          <w:sz w:val="20"/>
          <w:szCs w:val="20"/>
          <w:color w:val="auto"/>
        </w:rPr>
      </w:pPr>
      <w:r>
        <w:rPr>
          <w:rFonts w:ascii="Arial" w:cs="Arial" w:eastAsia="Arial" w:hAnsi="Arial"/>
          <w:sz w:val="18"/>
          <w:szCs w:val="18"/>
          <w:color w:val="auto"/>
        </w:rPr>
        <w:t>We may use underwriters with whom we have a material relationship. We will describe the nature of such relationship in the applicable prospectus supplement.</w:t>
      </w:r>
    </w:p>
    <w:p>
      <w:pPr>
        <w:spacing w:after="0" w:line="161" w:lineRule="exact"/>
        <w:rPr>
          <w:sz w:val="20"/>
          <w:szCs w:val="20"/>
          <w:color w:val="auto"/>
        </w:rPr>
      </w:pPr>
    </w:p>
    <w:p>
      <w:pPr>
        <w:ind w:right="660"/>
        <w:spacing w:after="0" w:line="234" w:lineRule="auto"/>
        <w:rPr>
          <w:sz w:val="20"/>
          <w:szCs w:val="20"/>
          <w:color w:val="auto"/>
        </w:rPr>
      </w:pPr>
      <w:r>
        <w:rPr>
          <w:rFonts w:ascii="Arial" w:cs="Arial" w:eastAsia="Arial" w:hAnsi="Arial"/>
          <w:sz w:val="18"/>
          <w:szCs w:val="18"/>
          <w:color w:val="auto"/>
        </w:rPr>
        <w:t>Under the securities laws of some states, the securities offered by this prospectus may be sold in those states only through registered or licensed brokers or dealers.</w:t>
      </w:r>
    </w:p>
    <w:p>
      <w:pPr>
        <w:spacing w:after="0" w:line="161" w:lineRule="exact"/>
        <w:rPr>
          <w:sz w:val="20"/>
          <w:szCs w:val="20"/>
          <w:color w:val="auto"/>
        </w:rPr>
      </w:pPr>
    </w:p>
    <w:p>
      <w:pPr>
        <w:ind w:right="60"/>
        <w:spacing w:after="0" w:line="239" w:lineRule="auto"/>
        <w:rPr>
          <w:sz w:val="20"/>
          <w:szCs w:val="20"/>
          <w:color w:val="auto"/>
        </w:rPr>
      </w:pPr>
      <w:r>
        <w:rPr>
          <w:rFonts w:ascii="Arial" w:cs="Arial" w:eastAsia="Arial" w:hAnsi="Arial"/>
          <w:sz w:val="16"/>
          <w:szCs w:val="16"/>
          <w:color w:val="auto"/>
        </w:rPr>
        <w:t>We may enter into hedging transactions with broker-dealers and the broker-dealers may engage in short sales of the securities in the course of hedging the positions they assume with us, including, without limitation, in connection with distributions of the securities by those broker-dealers. We may enter into option or other transactions with broker-dealers that involve the delivery of the securities offered hereby to the broker-dealers, who may then resell or otherwise transfer those securities. We may also loan or pledge the securities offered hereby to a broker-dealer and the broker-dealer may sell the securities offered hereby so loaned or upon a default may sell or otherwise transfer the pledged securities offered hereby.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87"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The validity of the securities being offered hereby will be passed upon for us by DLA Piper LLP (US), Short Hills, New Jersey.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87" w:lineRule="exact"/>
        <w:rPr>
          <w:sz w:val="20"/>
          <w:szCs w:val="20"/>
          <w:color w:val="auto"/>
        </w:rPr>
      </w:pPr>
    </w:p>
    <w:p>
      <w:pPr>
        <w:ind w:right="120"/>
        <w:spacing w:after="0" w:line="247" w:lineRule="auto"/>
        <w:rPr>
          <w:rFonts w:ascii="Arial" w:cs="Arial" w:eastAsia="Arial" w:hAnsi="Arial"/>
          <w:sz w:val="16"/>
          <w:szCs w:val="16"/>
          <w:color w:val="auto"/>
        </w:rPr>
      </w:pPr>
      <w:r>
        <w:rPr>
          <w:rFonts w:ascii="Arial" w:cs="Arial" w:eastAsia="Arial" w:hAnsi="Arial"/>
          <w:sz w:val="16"/>
          <w:szCs w:val="16"/>
          <w:color w:val="auto"/>
        </w:rPr>
        <w:t xml:space="preserve">Ernst &amp; Young LLP, independent registered public accounting firm, has audited our consolidated financial statements included in our </w:t>
      </w:r>
      <w:hyperlink r:id="rId35">
        <w:r>
          <w:rPr>
            <w:rFonts w:ascii="Arial" w:cs="Arial" w:eastAsia="Arial" w:hAnsi="Arial"/>
            <w:sz w:val="16"/>
            <w:szCs w:val="16"/>
            <w:u w:val="single" w:color="auto"/>
            <w:color w:val="0000EE"/>
          </w:rPr>
          <w:t>Annual Report on Form 10-K for the year ended December 31, 2018,</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87" w:lineRule="exact"/>
        <w:rPr>
          <w:sz w:val="20"/>
          <w:szCs w:val="20"/>
          <w:color w:val="auto"/>
        </w:rPr>
      </w:pPr>
    </w:p>
    <w:p>
      <w:pPr>
        <w:spacing w:after="0" w:line="215" w:lineRule="auto"/>
        <w:rPr>
          <w:sz w:val="20"/>
          <w:szCs w:val="20"/>
          <w:color w:val="auto"/>
        </w:rPr>
      </w:pPr>
      <w:r>
        <w:rPr>
          <w:rFonts w:ascii="Arial" w:cs="Arial" w:eastAsia="Arial" w:hAnsi="Arial"/>
          <w:sz w:val="18"/>
          <w:szCs w:val="18"/>
          <w:color w:val="auto"/>
        </w:rPr>
        <w:t>We file annual, quarterly and other reports, proxy and information statements and other information with the Securities and Exchange Commission. The SEC maintains a website that contains reports, proxy statements and other information regarding us. The address of the SEC website is www.sec.gov. We maintain a website at www.axsome.com. Information contained on our website is not incorporated into this prospectus and you should not consider information contained on our website to be part of this prospectus or any prospectus supplement.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5">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80"/>
          </w:cols>
          <w:pgMar w:left="1260" w:top="114" w:right="125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187" w:lineRule="exact"/>
        <w:rPr>
          <w:sz w:val="20"/>
          <w:szCs w:val="20"/>
          <w:color w:val="auto"/>
        </w:rPr>
      </w:pPr>
    </w:p>
    <w:p>
      <w:pPr>
        <w:ind w:right="80"/>
        <w:spacing w:after="0" w:line="181" w:lineRule="exact"/>
        <w:rPr>
          <w:sz w:val="20"/>
          <w:szCs w:val="20"/>
          <w:color w:val="auto"/>
        </w:rPr>
      </w:pPr>
      <w:r>
        <w:rPr>
          <w:rFonts w:ascii="Arial" w:cs="Arial" w:eastAsia="Arial" w:hAnsi="Arial"/>
          <w:sz w:val="16"/>
          <w:szCs w:val="16"/>
          <w:color w:val="auto"/>
        </w:rPr>
        <w:t>The SEC allows us to “incorporate by reference” into this prospectus the information contained in documents that we file with them,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before the date of this prospectus, while information that we file later with the SEC will automatically update and supersede prior information. Any information so updated and superseded shall not be deemed, except as so updated and superseded, to constitute a part of this prospectus. We incorporate by reference the documents listed below and any future filings we will make with the SEC under Sections 13(a), 13(c), 14 or 15(d) of the Securities Exchange Act of 1934, as amended, prior to the termination of the offering. Notwithstanding the foregoing, unless specifically stated to the contrary, none of the information that is not deemed “filed” with the SEC, including information furnished under Items 2.02 or 7.01 of any Current Report on Form 8</w:t>
      </w:r>
      <w:r>
        <w:rPr>
          <w:rFonts w:ascii="MS PGothic" w:cs="MS PGothic" w:eastAsia="MS PGothic" w:hAnsi="MS PGothic"/>
          <w:sz w:val="16"/>
          <w:szCs w:val="16"/>
          <w:color w:val="auto"/>
        </w:rPr>
        <w:t>‑</w:t>
      </w:r>
      <w:r>
        <w:rPr>
          <w:rFonts w:ascii="Arial" w:cs="Arial" w:eastAsia="Arial" w:hAnsi="Arial"/>
          <w:sz w:val="16"/>
          <w:szCs w:val="16"/>
          <w:color w:val="auto"/>
        </w:rPr>
        <w:t>K, will be incorporated by reference into, or otherwise included in, this prospectus:</w:t>
      </w:r>
    </w:p>
    <w:p>
      <w:pPr>
        <w:spacing w:after="0" w:line="161" w:lineRule="exact"/>
        <w:rPr>
          <w:sz w:val="20"/>
          <w:szCs w:val="20"/>
          <w:color w:val="auto"/>
        </w:rPr>
      </w:pPr>
    </w:p>
    <w:p>
      <w:pPr>
        <w:ind w:left="960" w:right="400" w:hanging="320"/>
        <w:spacing w:after="0" w:line="234" w:lineRule="auto"/>
        <w:tabs>
          <w:tab w:leader="none" w:pos="960" w:val="left"/>
        </w:tabs>
        <w:numPr>
          <w:ilvl w:val="0"/>
          <w:numId w:val="37"/>
        </w:numPr>
        <w:rPr>
          <w:rFonts w:ascii="Arial" w:cs="Arial" w:eastAsia="Arial" w:hAnsi="Arial"/>
          <w:sz w:val="18"/>
          <w:szCs w:val="18"/>
          <w:u w:val="single" w:color="auto"/>
          <w:color w:val="0000EE"/>
        </w:rPr>
      </w:pPr>
      <w:hyperlink r:id="rId35">
        <w:r>
          <w:rPr>
            <w:rFonts w:ascii="Arial" w:cs="Arial" w:eastAsia="Arial" w:hAnsi="Arial"/>
            <w:sz w:val="18"/>
            <w:szCs w:val="18"/>
            <w:u w:val="single" w:color="auto"/>
            <w:color w:val="0000EE"/>
          </w:rPr>
          <w:t>our Annual Report on Form 10-K for the fiscal year ended December 31, 2018 filed with the SEC on March 15,</w:t>
        </w:r>
      </w:hyperlink>
      <w:r>
        <w:rPr>
          <w:rFonts w:ascii="Arial" w:cs="Arial" w:eastAsia="Arial" w:hAnsi="Arial"/>
          <w:sz w:val="18"/>
          <w:szCs w:val="18"/>
          <w:u w:val="single" w:color="auto"/>
          <w:color w:val="0000EE"/>
        </w:rPr>
        <w:t xml:space="preserve"> </w:t>
      </w:r>
      <w:hyperlink r:id="rId35">
        <w:r>
          <w:rPr>
            <w:rFonts w:ascii="Arial" w:cs="Arial" w:eastAsia="Arial" w:hAnsi="Arial"/>
            <w:sz w:val="18"/>
            <w:szCs w:val="18"/>
            <w:u w:val="single" w:color="auto"/>
            <w:color w:val="0000EE"/>
          </w:rPr>
          <w:t>2019;</w:t>
        </w:r>
      </w:hyperlink>
    </w:p>
    <w:p>
      <w:pPr>
        <w:spacing w:after="0" w:line="160" w:lineRule="exact"/>
        <w:rPr>
          <w:rFonts w:ascii="Arial" w:cs="Arial" w:eastAsia="Arial" w:hAnsi="Arial"/>
          <w:sz w:val="18"/>
          <w:szCs w:val="18"/>
          <w:u w:val="single" w:color="auto"/>
          <w:color w:val="0000EE"/>
        </w:rPr>
      </w:pPr>
    </w:p>
    <w:p>
      <w:pPr>
        <w:ind w:left="960" w:right="40" w:hanging="320"/>
        <w:spacing w:after="0" w:line="223" w:lineRule="auto"/>
        <w:tabs>
          <w:tab w:leader="none" w:pos="960" w:val="left"/>
        </w:tabs>
        <w:numPr>
          <w:ilvl w:val="0"/>
          <w:numId w:val="37"/>
        </w:numPr>
        <w:rPr>
          <w:rFonts w:ascii="Arial" w:cs="Arial" w:eastAsia="Arial" w:hAnsi="Arial"/>
          <w:sz w:val="18"/>
          <w:szCs w:val="18"/>
          <w:color w:val="0000EE"/>
        </w:rPr>
      </w:pPr>
      <w:hyperlink r:id="rId37">
        <w:r>
          <w:rPr>
            <w:rFonts w:ascii="Arial" w:cs="Arial" w:eastAsia="Arial" w:hAnsi="Arial"/>
            <w:sz w:val="18"/>
            <w:szCs w:val="18"/>
            <w:u w:val="single" w:color="auto"/>
            <w:color w:val="0000EE"/>
          </w:rPr>
          <w:t>the information contained in our definitive proxy statement on Schedule 14A for our 2019 annual meeting of</w:t>
        </w:r>
      </w:hyperlink>
      <w:r>
        <w:rPr>
          <w:rFonts w:ascii="Arial" w:cs="Arial" w:eastAsia="Arial" w:hAnsi="Arial"/>
          <w:sz w:val="18"/>
          <w:szCs w:val="18"/>
          <w:u w:val="single" w:color="auto"/>
          <w:color w:val="0000EE"/>
        </w:rPr>
        <w:t xml:space="preserve"> </w:t>
      </w:r>
      <w:hyperlink r:id="rId37">
        <w:r>
          <w:rPr>
            <w:rFonts w:ascii="Arial" w:cs="Arial" w:eastAsia="Arial" w:hAnsi="Arial"/>
            <w:sz w:val="18"/>
            <w:szCs w:val="18"/>
            <w:u w:val="single" w:color="auto"/>
            <w:color w:val="0000EE"/>
          </w:rPr>
          <w:t>stockholders filed with the SEC on April 26, 2019, to the extent incorporated by reference in Part III of the Form 10-</w:t>
        </w:r>
      </w:hyperlink>
      <w:hyperlink r:id="rId37">
        <w:r>
          <w:rPr>
            <w:rFonts w:ascii="Arial" w:cs="Arial" w:eastAsia="Arial" w:hAnsi="Arial"/>
            <w:sz w:val="18"/>
            <w:szCs w:val="18"/>
            <w:u w:val="single" w:color="auto"/>
            <w:color w:val="0000EE"/>
          </w:rPr>
          <w:t>K for the fiscal year ended December 31, 2018</w:t>
        </w:r>
        <w:r>
          <w:rPr>
            <w:rFonts w:ascii="Arial" w:cs="Arial" w:eastAsia="Arial" w:hAnsi="Arial"/>
            <w:sz w:val="18"/>
            <w:szCs w:val="18"/>
            <w:color w:val="000000"/>
          </w:rPr>
          <w:t>;</w:t>
        </w:r>
      </w:hyperlink>
    </w:p>
    <w:p>
      <w:pPr>
        <w:spacing w:after="0" w:line="162" w:lineRule="exact"/>
        <w:rPr>
          <w:rFonts w:ascii="Arial" w:cs="Arial" w:eastAsia="Arial" w:hAnsi="Arial"/>
          <w:sz w:val="18"/>
          <w:szCs w:val="18"/>
          <w:color w:val="0000EE"/>
        </w:rPr>
      </w:pPr>
    </w:p>
    <w:p>
      <w:pPr>
        <w:ind w:left="960" w:hanging="320"/>
        <w:spacing w:after="0"/>
        <w:tabs>
          <w:tab w:leader="none" w:pos="960" w:val="left"/>
        </w:tabs>
        <w:numPr>
          <w:ilvl w:val="0"/>
          <w:numId w:val="37"/>
        </w:numPr>
        <w:rPr>
          <w:rFonts w:ascii="Arial" w:cs="Arial" w:eastAsia="Arial" w:hAnsi="Arial"/>
          <w:sz w:val="17"/>
          <w:szCs w:val="17"/>
          <w:u w:val="single" w:color="auto"/>
          <w:color w:val="0000EE"/>
        </w:rPr>
      </w:pPr>
      <w:hyperlink r:id="rId38">
        <w:r>
          <w:rPr>
            <w:rFonts w:ascii="Arial" w:cs="Arial" w:eastAsia="Arial" w:hAnsi="Arial"/>
            <w:sz w:val="17"/>
            <w:szCs w:val="17"/>
            <w:u w:val="single" w:color="auto"/>
            <w:color w:val="0000EE"/>
          </w:rPr>
          <w:t>our Quarterly Report on Form 10-Q for the quarter ended March 31, 2019 filed with the SEC on May 9, 2019;</w:t>
        </w:r>
      </w:hyperlink>
    </w:p>
    <w:p>
      <w:pPr>
        <w:spacing w:after="0" w:line="194" w:lineRule="exact"/>
        <w:rPr>
          <w:rFonts w:ascii="Arial" w:cs="Arial" w:eastAsia="Arial" w:hAnsi="Arial"/>
          <w:sz w:val="17"/>
          <w:szCs w:val="17"/>
          <w:u w:val="single" w:color="auto"/>
          <w:color w:val="0000EE"/>
        </w:rPr>
      </w:pPr>
    </w:p>
    <w:p>
      <w:pPr>
        <w:ind w:left="960" w:hanging="320"/>
        <w:spacing w:after="0"/>
        <w:tabs>
          <w:tab w:leader="none" w:pos="960" w:val="left"/>
        </w:tabs>
        <w:numPr>
          <w:ilvl w:val="0"/>
          <w:numId w:val="37"/>
        </w:numPr>
        <w:rPr>
          <w:rFonts w:ascii="Arial" w:cs="Arial" w:eastAsia="Arial" w:hAnsi="Arial"/>
          <w:sz w:val="17"/>
          <w:szCs w:val="17"/>
          <w:u w:val="single" w:color="auto"/>
          <w:color w:val="0000EE"/>
        </w:rPr>
      </w:pPr>
      <w:hyperlink r:id="rId39">
        <w:r>
          <w:rPr>
            <w:rFonts w:ascii="Arial" w:cs="Arial" w:eastAsia="Arial" w:hAnsi="Arial"/>
            <w:sz w:val="17"/>
            <w:szCs w:val="17"/>
            <w:u w:val="single" w:color="auto"/>
            <w:color w:val="0000EE"/>
          </w:rPr>
          <w:t>our Quarterly Report on Form 10-Q for the quarter ended June 30, 2019 filed with the SEC on August 8, 2019;</w:t>
        </w:r>
      </w:hyperlink>
    </w:p>
    <w:p>
      <w:pPr>
        <w:spacing w:after="0" w:line="194" w:lineRule="exact"/>
        <w:rPr>
          <w:rFonts w:ascii="Arial" w:cs="Arial" w:eastAsia="Arial" w:hAnsi="Arial"/>
          <w:sz w:val="17"/>
          <w:szCs w:val="17"/>
          <w:u w:val="single" w:color="auto"/>
          <w:color w:val="0000EE"/>
        </w:rPr>
      </w:pPr>
    </w:p>
    <w:p>
      <w:pPr>
        <w:ind w:left="960" w:right="240" w:hanging="320"/>
        <w:spacing w:after="0" w:line="234" w:lineRule="auto"/>
        <w:tabs>
          <w:tab w:leader="none" w:pos="960" w:val="left"/>
        </w:tabs>
        <w:numPr>
          <w:ilvl w:val="0"/>
          <w:numId w:val="37"/>
        </w:numPr>
        <w:rPr>
          <w:rFonts w:ascii="Arial" w:cs="Arial" w:eastAsia="Arial" w:hAnsi="Arial"/>
          <w:sz w:val="18"/>
          <w:szCs w:val="18"/>
          <w:u w:val="single" w:color="auto"/>
          <w:color w:val="0000EE"/>
        </w:rPr>
      </w:pPr>
      <w:hyperlink r:id="rId40">
        <w:r>
          <w:rPr>
            <w:rFonts w:ascii="Arial" w:cs="Arial" w:eastAsia="Arial" w:hAnsi="Arial"/>
            <w:sz w:val="18"/>
            <w:szCs w:val="18"/>
            <w:u w:val="single" w:color="auto"/>
            <w:color w:val="0000EE"/>
          </w:rPr>
          <w:t>our Quarterly Report on Form 10-Q for the quarter ended September 30, 2019 filed with the SEC on November 7,</w:t>
        </w:r>
      </w:hyperlink>
      <w:r>
        <w:rPr>
          <w:rFonts w:ascii="Arial" w:cs="Arial" w:eastAsia="Arial" w:hAnsi="Arial"/>
          <w:sz w:val="18"/>
          <w:szCs w:val="18"/>
          <w:u w:val="single" w:color="auto"/>
          <w:color w:val="0000EE"/>
        </w:rPr>
        <w:t xml:space="preserve"> </w:t>
      </w:r>
      <w:hyperlink r:id="rId40">
        <w:r>
          <w:rPr>
            <w:rFonts w:ascii="Arial" w:cs="Arial" w:eastAsia="Arial" w:hAnsi="Arial"/>
            <w:sz w:val="18"/>
            <w:szCs w:val="18"/>
            <w:u w:val="single" w:color="auto"/>
            <w:color w:val="0000EE"/>
          </w:rPr>
          <w:t>2019;</w:t>
        </w:r>
      </w:hyperlink>
    </w:p>
    <w:p>
      <w:pPr>
        <w:spacing w:after="0" w:line="160" w:lineRule="exact"/>
        <w:rPr>
          <w:rFonts w:ascii="Arial" w:cs="Arial" w:eastAsia="Arial" w:hAnsi="Arial"/>
          <w:sz w:val="18"/>
          <w:szCs w:val="18"/>
          <w:u w:val="single" w:color="auto"/>
          <w:color w:val="0000EE"/>
        </w:rPr>
      </w:pPr>
    </w:p>
    <w:p>
      <w:pPr>
        <w:ind w:left="960" w:right="100" w:hanging="320"/>
        <w:spacing w:after="0" w:line="228" w:lineRule="auto"/>
        <w:tabs>
          <w:tab w:leader="none" w:pos="960" w:val="left"/>
        </w:tabs>
        <w:numPr>
          <w:ilvl w:val="0"/>
          <w:numId w:val="37"/>
        </w:numPr>
        <w:rPr>
          <w:rFonts w:ascii="Arial" w:cs="Arial" w:eastAsia="Arial" w:hAnsi="Arial"/>
          <w:sz w:val="17"/>
          <w:szCs w:val="17"/>
          <w:color w:val="0000EE"/>
        </w:rPr>
      </w:pPr>
      <w:hyperlink r:id="rId41">
        <w:r>
          <w:rPr>
            <w:rFonts w:ascii="Arial" w:cs="Arial" w:eastAsia="Arial" w:hAnsi="Arial"/>
            <w:sz w:val="17"/>
            <w:szCs w:val="17"/>
            <w:color w:val="auto"/>
          </w:rPr>
          <w:t xml:space="preserve">our Current Reports on Form 8-K filed with the SEC on </w:t>
        </w:r>
        <w:r>
          <w:rPr>
            <w:rFonts w:ascii="Arial" w:cs="Arial" w:eastAsia="Arial" w:hAnsi="Arial"/>
            <w:sz w:val="17"/>
            <w:szCs w:val="17"/>
            <w:u w:val="single" w:color="auto"/>
            <w:color w:val="0000EE"/>
          </w:rPr>
          <w:t>January 7, 2019 (two filings); January 8, 2019; January 30,</w:t>
        </w:r>
      </w:hyperlink>
      <w:r>
        <w:rPr>
          <w:rFonts w:ascii="Arial" w:cs="Arial" w:eastAsia="Arial" w:hAnsi="Arial"/>
          <w:sz w:val="17"/>
          <w:szCs w:val="17"/>
          <w:color w:val="auto"/>
        </w:rPr>
        <w:t xml:space="preserve"> </w:t>
      </w:r>
      <w:hyperlink r:id="rId42">
        <w:r>
          <w:rPr>
            <w:rFonts w:ascii="Arial" w:cs="Arial" w:eastAsia="Arial" w:hAnsi="Arial"/>
            <w:sz w:val="17"/>
            <w:szCs w:val="17"/>
            <w:u w:val="single" w:color="auto"/>
            <w:color w:val="0000EE"/>
          </w:rPr>
          <w:t>2019; February 6, 2019; March 4, 2019; March 6, 2019; March 14, 2019</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March 27, 2019</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April 15, 2019</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May 6,</w:t>
        </w:r>
      </w:hyperlink>
      <w:r>
        <w:rPr>
          <w:rFonts w:ascii="Arial" w:cs="Arial" w:eastAsia="Arial" w:hAnsi="Arial"/>
          <w:sz w:val="17"/>
          <w:szCs w:val="17"/>
          <w:color w:val="0000EE"/>
        </w:rPr>
        <w:t xml:space="preserve"> </w:t>
      </w:r>
      <w:hyperlink r:id="rId42">
        <w:r>
          <w:rPr>
            <w:rFonts w:ascii="Arial" w:cs="Arial" w:eastAsia="Arial" w:hAnsi="Arial"/>
            <w:sz w:val="17"/>
            <w:szCs w:val="17"/>
            <w:u w:val="single" w:color="auto"/>
            <w:color w:val="0000EE"/>
          </w:rPr>
          <w:t>2019</w:t>
        </w:r>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43">
        <w:r>
          <w:rPr>
            <w:rFonts w:ascii="Arial" w:cs="Arial" w:eastAsia="Arial" w:hAnsi="Arial"/>
            <w:sz w:val="17"/>
            <w:szCs w:val="17"/>
            <w:u w:val="single" w:color="auto"/>
            <w:color w:val="0000EE"/>
          </w:rPr>
          <w:t xml:space="preserve">May 9, 2019 </w:t>
        </w:r>
      </w:hyperlink>
      <w:hyperlink r:id="rId44">
        <w:r>
          <w:rPr>
            <w:rFonts w:ascii="Arial" w:cs="Arial" w:eastAsia="Arial" w:hAnsi="Arial"/>
            <w:sz w:val="17"/>
            <w:szCs w:val="17"/>
            <w:u w:val="single" w:color="auto"/>
            <w:color w:val="0000EE"/>
          </w:rPr>
          <w:t>(two filings)</w:t>
        </w:r>
      </w:hyperlink>
      <w:hyperlink r:id="rId42">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45">
        <w:r>
          <w:rPr>
            <w:rFonts w:ascii="Arial" w:cs="Arial" w:eastAsia="Arial" w:hAnsi="Arial"/>
            <w:sz w:val="17"/>
            <w:szCs w:val="17"/>
            <w:u w:val="single" w:color="auto"/>
            <w:color w:val="0000EE"/>
          </w:rPr>
          <w:t>June 7, 2019</w:t>
        </w:r>
      </w:hyperlink>
      <w:hyperlink r:id="rId42">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46">
        <w:r>
          <w:rPr>
            <w:rFonts w:ascii="Arial" w:cs="Arial" w:eastAsia="Arial" w:hAnsi="Arial"/>
            <w:sz w:val="17"/>
            <w:szCs w:val="17"/>
            <w:u w:val="single" w:color="auto"/>
            <w:color w:val="0000EE"/>
          </w:rPr>
          <w:t>June 24, 2019</w:t>
        </w:r>
      </w:hyperlink>
      <w:hyperlink r:id="rId42">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47">
        <w:r>
          <w:rPr>
            <w:rFonts w:ascii="Arial" w:cs="Arial" w:eastAsia="Arial" w:hAnsi="Arial"/>
            <w:sz w:val="17"/>
            <w:szCs w:val="17"/>
            <w:u w:val="single" w:color="auto"/>
            <w:color w:val="0000EE"/>
          </w:rPr>
          <w:t>July 11, 2019</w:t>
        </w:r>
      </w:hyperlink>
      <w:hyperlink r:id="rId42">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48">
        <w:r>
          <w:rPr>
            <w:rFonts w:ascii="Arial" w:cs="Arial" w:eastAsia="Arial" w:hAnsi="Arial"/>
            <w:sz w:val="17"/>
            <w:szCs w:val="17"/>
            <w:u w:val="single" w:color="auto"/>
            <w:color w:val="0000EE"/>
          </w:rPr>
          <w:t>July 29, 2019</w:t>
        </w:r>
      </w:hyperlink>
      <w:hyperlink r:id="rId42">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49">
        <w:r>
          <w:rPr>
            <w:rFonts w:ascii="Arial" w:cs="Arial" w:eastAsia="Arial" w:hAnsi="Arial"/>
            <w:sz w:val="17"/>
            <w:szCs w:val="17"/>
            <w:u w:val="single" w:color="auto"/>
            <w:color w:val="0000EE"/>
          </w:rPr>
          <w:t>August 8, 2019</w:t>
        </w:r>
      </w:hyperlink>
      <w:hyperlink r:id="rId42">
        <w:r>
          <w:rPr>
            <w:rFonts w:ascii="Arial" w:cs="Arial" w:eastAsia="Arial" w:hAnsi="Arial"/>
            <w:sz w:val="17"/>
            <w:szCs w:val="17"/>
            <w:color w:val="000000"/>
          </w:rPr>
          <w:t>;</w:t>
        </w:r>
      </w:hyperlink>
      <w:r>
        <w:rPr>
          <w:rFonts w:ascii="Arial" w:cs="Arial" w:eastAsia="Arial" w:hAnsi="Arial"/>
          <w:sz w:val="17"/>
          <w:szCs w:val="17"/>
          <w:color w:val="0000EE"/>
        </w:rPr>
        <w:t xml:space="preserve"> </w:t>
      </w:r>
      <w:hyperlink r:id="rId50">
        <w:r>
          <w:rPr>
            <w:rFonts w:ascii="Arial" w:cs="Arial" w:eastAsia="Arial" w:hAnsi="Arial"/>
            <w:sz w:val="17"/>
            <w:szCs w:val="17"/>
            <w:u w:val="single" w:color="auto"/>
            <w:color w:val="0000EE"/>
          </w:rPr>
          <w:t>August 20, 2019</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September 5, 2019</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October 2, 2019</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October 16, 2019</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October 21, 2019</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October 28,</w:t>
        </w:r>
      </w:hyperlink>
      <w:r>
        <w:rPr>
          <w:rFonts w:ascii="Arial" w:cs="Arial" w:eastAsia="Arial" w:hAnsi="Arial"/>
          <w:sz w:val="17"/>
          <w:szCs w:val="17"/>
          <w:color w:val="0000EE"/>
        </w:rPr>
        <w:t xml:space="preserve"> </w:t>
      </w:r>
      <w:hyperlink r:id="rId50">
        <w:r>
          <w:rPr>
            <w:rFonts w:ascii="Arial" w:cs="Arial" w:eastAsia="Arial" w:hAnsi="Arial"/>
            <w:sz w:val="17"/>
            <w:szCs w:val="17"/>
            <w:u w:val="single" w:color="auto"/>
            <w:color w:val="0000EE"/>
          </w:rPr>
          <w:t xml:space="preserve">2019 </w:t>
        </w:r>
      </w:hyperlink>
      <w:hyperlink r:id="rId51">
        <w:r>
          <w:rPr>
            <w:rFonts w:ascii="Arial" w:cs="Arial" w:eastAsia="Arial" w:hAnsi="Arial"/>
            <w:sz w:val="17"/>
            <w:szCs w:val="17"/>
            <w:u w:val="single" w:color="auto"/>
            <w:color w:val="0000EE"/>
          </w:rPr>
          <w:t>(two filings)</w:t>
        </w:r>
      </w:hyperlink>
      <w:hyperlink r:id="rId50">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52">
        <w:r>
          <w:rPr>
            <w:rFonts w:ascii="Arial" w:cs="Arial" w:eastAsia="Arial" w:hAnsi="Arial"/>
            <w:sz w:val="17"/>
            <w:szCs w:val="17"/>
            <w:u w:val="single" w:color="auto"/>
            <w:color w:val="0000EE"/>
          </w:rPr>
          <w:t xml:space="preserve">November 7, 2019 </w:t>
        </w:r>
      </w:hyperlink>
      <w:hyperlink r:id="rId53">
        <w:r>
          <w:rPr>
            <w:rFonts w:ascii="Arial" w:cs="Arial" w:eastAsia="Arial" w:hAnsi="Arial"/>
            <w:sz w:val="17"/>
            <w:szCs w:val="17"/>
            <w:u w:val="single" w:color="auto"/>
            <w:color w:val="0000EE"/>
          </w:rPr>
          <w:t xml:space="preserve">(two filings) </w:t>
        </w:r>
      </w:hyperlink>
      <w:hyperlink r:id="rId50">
        <w:r>
          <w:rPr>
            <w:rFonts w:ascii="Arial" w:cs="Arial" w:eastAsia="Arial" w:hAnsi="Arial"/>
            <w:sz w:val="17"/>
            <w:szCs w:val="17"/>
            <w:color w:val="000000"/>
          </w:rPr>
          <w:t>and</w:t>
        </w:r>
        <w:r>
          <w:rPr>
            <w:rFonts w:ascii="Arial" w:cs="Arial" w:eastAsia="Arial" w:hAnsi="Arial"/>
            <w:sz w:val="17"/>
            <w:szCs w:val="17"/>
            <w:color w:val="0000EE"/>
          </w:rPr>
          <w:t xml:space="preserve"> </w:t>
        </w:r>
      </w:hyperlink>
      <w:hyperlink r:id="rId54">
        <w:r>
          <w:rPr>
            <w:rFonts w:ascii="Arial" w:cs="Arial" w:eastAsia="Arial" w:hAnsi="Arial"/>
            <w:sz w:val="17"/>
            <w:szCs w:val="17"/>
            <w:u w:val="single" w:color="auto"/>
            <w:color w:val="0000EE"/>
          </w:rPr>
          <w:t>December 3, 2019</w:t>
        </w:r>
      </w:hyperlink>
      <w:hyperlink r:id="rId50">
        <w:r>
          <w:rPr>
            <w:rFonts w:ascii="Arial" w:cs="Arial" w:eastAsia="Arial" w:hAnsi="Arial"/>
            <w:sz w:val="17"/>
            <w:szCs w:val="17"/>
            <w:color w:val="000000"/>
          </w:rPr>
          <w:t>; and</w:t>
        </w:r>
      </w:hyperlink>
    </w:p>
    <w:p>
      <w:pPr>
        <w:spacing w:after="0" w:line="160" w:lineRule="exact"/>
        <w:rPr>
          <w:rFonts w:ascii="Arial" w:cs="Arial" w:eastAsia="Arial" w:hAnsi="Arial"/>
          <w:sz w:val="17"/>
          <w:szCs w:val="17"/>
          <w:color w:val="0000EE"/>
        </w:rPr>
      </w:pPr>
    </w:p>
    <w:p>
      <w:pPr>
        <w:ind w:left="960" w:right="80" w:hanging="320"/>
        <w:spacing w:after="0" w:line="223" w:lineRule="auto"/>
        <w:tabs>
          <w:tab w:leader="none" w:pos="960" w:val="left"/>
        </w:tabs>
        <w:numPr>
          <w:ilvl w:val="0"/>
          <w:numId w:val="37"/>
        </w:numPr>
        <w:rPr>
          <w:rFonts w:ascii="Arial" w:cs="Arial" w:eastAsia="Arial" w:hAnsi="Arial"/>
          <w:sz w:val="18"/>
          <w:szCs w:val="18"/>
          <w:color w:val="0000EE"/>
        </w:rPr>
      </w:pPr>
      <w:hyperlink r:id="rId57">
        <w:r>
          <w:rPr>
            <w:rFonts w:ascii="Arial" w:cs="Arial" w:eastAsia="Arial" w:hAnsi="Arial"/>
            <w:sz w:val="18"/>
            <w:szCs w:val="18"/>
            <w:color w:val="auto"/>
          </w:rPr>
          <w:t xml:space="preserve">the description of our common stock contained in our registration statement on </w:t>
        </w:r>
        <w:r>
          <w:rPr>
            <w:rFonts w:ascii="Arial" w:cs="Arial" w:eastAsia="Arial" w:hAnsi="Arial"/>
            <w:sz w:val="18"/>
            <w:szCs w:val="18"/>
            <w:u w:val="single" w:color="auto"/>
            <w:color w:val="0000EE"/>
          </w:rPr>
          <w:t>Form 8 A12B, filed with the SEC on</w:t>
        </w:r>
      </w:hyperlink>
      <w:r>
        <w:rPr>
          <w:rFonts w:ascii="Arial" w:cs="Arial" w:eastAsia="Arial" w:hAnsi="Arial"/>
          <w:sz w:val="18"/>
          <w:szCs w:val="18"/>
          <w:color w:val="auto"/>
        </w:rPr>
        <w:t xml:space="preserve"> </w:t>
      </w:r>
      <w:hyperlink r:id="rId57">
        <w:r>
          <w:rPr>
            <w:rFonts w:ascii="Arial" w:cs="Arial" w:eastAsia="Arial" w:hAnsi="Arial"/>
            <w:sz w:val="18"/>
            <w:szCs w:val="18"/>
            <w:u w:val="single" w:color="auto"/>
            <w:color w:val="0000EE"/>
          </w:rPr>
          <w:t>November 16, 2015 (File No. 001-37635)</w:t>
        </w:r>
        <w:r>
          <w:rPr>
            <w:rFonts w:ascii="Arial" w:cs="Arial" w:eastAsia="Arial" w:hAnsi="Arial"/>
            <w:sz w:val="18"/>
            <w:szCs w:val="18"/>
            <w:color w:val="000000"/>
          </w:rPr>
          <w:t>, and all amendments or reports filed for the purpose of updating such</w:t>
        </w:r>
      </w:hyperlink>
      <w:r>
        <w:rPr>
          <w:rFonts w:ascii="Arial" w:cs="Arial" w:eastAsia="Arial" w:hAnsi="Arial"/>
          <w:sz w:val="18"/>
          <w:szCs w:val="18"/>
          <w:color w:val="0000EE"/>
        </w:rPr>
        <w:t xml:space="preserve"> </w:t>
      </w:r>
      <w:r>
        <w:rPr>
          <w:rFonts w:ascii="Arial" w:cs="Arial" w:eastAsia="Arial" w:hAnsi="Arial"/>
          <w:sz w:val="18"/>
          <w:szCs w:val="18"/>
          <w:color w:val="000000"/>
        </w:rPr>
        <w:t>description.</w:t>
      </w:r>
    </w:p>
    <w:p>
      <w:pPr>
        <w:spacing w:after="0" w:line="162" w:lineRule="exact"/>
        <w:rPr>
          <w:rFonts w:ascii="Arial" w:cs="Arial" w:eastAsia="Arial" w:hAnsi="Arial"/>
          <w:sz w:val="18"/>
          <w:szCs w:val="18"/>
          <w:color w:val="auto"/>
        </w:rPr>
      </w:pPr>
    </w:p>
    <w:p>
      <w:pPr>
        <w:spacing w:after="0" w:line="181" w:lineRule="exact"/>
        <w:rPr>
          <w:sz w:val="20"/>
          <w:szCs w:val="20"/>
          <w:color w:val="auto"/>
        </w:rPr>
      </w:pPr>
      <w:r>
        <w:rPr>
          <w:rFonts w:ascii="Arial" w:cs="Arial" w:eastAsia="Arial" w:hAnsi="Arial"/>
          <w:sz w:val="17"/>
          <w:szCs w:val="17"/>
          <w:color w:val="auto"/>
        </w:rPr>
        <w:t>We make available, free of charge, through our website our Annual Reports on Form 10</w:t>
      </w:r>
      <w:r>
        <w:rPr>
          <w:rFonts w:ascii="MS PGothic" w:cs="MS PGothic" w:eastAsia="MS PGothic" w:hAnsi="MS PGothic"/>
          <w:sz w:val="17"/>
          <w:szCs w:val="17"/>
          <w:color w:val="auto"/>
        </w:rPr>
        <w:t>‑</w:t>
      </w:r>
      <w:r>
        <w:rPr>
          <w:rFonts w:ascii="Arial" w:cs="Arial" w:eastAsia="Arial" w:hAnsi="Arial"/>
          <w:sz w:val="17"/>
          <w:szCs w:val="17"/>
          <w:color w:val="auto"/>
        </w:rPr>
        <w:t>K, Quarterly Reports on Form 10</w:t>
      </w:r>
      <w:r>
        <w:rPr>
          <w:rFonts w:ascii="MS PGothic" w:cs="MS PGothic" w:eastAsia="MS PGothic" w:hAnsi="MS PGothic"/>
          <w:sz w:val="17"/>
          <w:szCs w:val="17"/>
          <w:color w:val="auto"/>
        </w:rPr>
        <w:t>‑</w:t>
      </w:r>
      <w:r>
        <w:rPr>
          <w:rFonts w:ascii="Arial" w:cs="Arial" w:eastAsia="Arial" w:hAnsi="Arial"/>
          <w:sz w:val="17"/>
          <w:szCs w:val="17"/>
          <w:color w:val="auto"/>
        </w:rPr>
        <w:t>Q, Current Reports on Form 8</w:t>
      </w:r>
      <w:r>
        <w:rPr>
          <w:rFonts w:ascii="MS PGothic" w:cs="MS PGothic" w:eastAsia="MS PGothic" w:hAnsi="MS PGothic"/>
          <w:sz w:val="17"/>
          <w:szCs w:val="17"/>
          <w:color w:val="auto"/>
        </w:rPr>
        <w:t>‑</w:t>
      </w:r>
      <w:r>
        <w:rPr>
          <w:rFonts w:ascii="Arial" w:cs="Arial" w:eastAsia="Arial" w:hAnsi="Arial"/>
          <w:sz w:val="17"/>
          <w:szCs w:val="17"/>
          <w:color w:val="auto"/>
        </w:rPr>
        <w:t>K and amendments to those reports filed or furnished pursuant to Section 13(a), 13(c), 14 or 15(d) of the Exchange Act as soon as reasonably practicable after we electronically file such material with, or furnish it to, the SEC. Except for the specific incorporated documents listed above, no information available on or through our website shall be deemed to be incorporated in this prospectus or the registration statement of which it forms a part. We will provide, upon written or oral request, to each person to whom a prospectus is delivered, including any beneficial owner, a copy of any or all of the information that has been incorporated by reference in the prospectus but not delivered with the prospectus (other than exhibits to these documents unless the exhibits are specifically incorporated by reference into these documents or referred to in this prospectus), free of charge, by writing or calling us at the following address and telephone number:</w:t>
      </w:r>
    </w:p>
    <w:p>
      <w:pPr>
        <w:spacing w:after="0" w:line="158"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Axsome Therapeutics, Inc.</w:t>
      </w:r>
    </w:p>
    <w:p>
      <w:pPr>
        <w:ind w:left="4360" w:right="4160" w:hanging="191"/>
        <w:spacing w:after="0" w:line="266" w:lineRule="auto"/>
        <w:tabs>
          <w:tab w:leader="none" w:pos="4484" w:val="left"/>
        </w:tabs>
        <w:numPr>
          <w:ilvl w:val="0"/>
          <w:numId w:val="38"/>
        </w:numPr>
        <w:rPr>
          <w:rFonts w:ascii="Arial" w:cs="Arial" w:eastAsia="Arial" w:hAnsi="Arial"/>
          <w:sz w:val="16"/>
          <w:szCs w:val="16"/>
          <w:color w:val="auto"/>
        </w:rPr>
      </w:pPr>
      <w:r>
        <w:rPr>
          <w:rFonts w:ascii="Arial" w:cs="Arial" w:eastAsia="Arial" w:hAnsi="Arial"/>
          <w:sz w:val="16"/>
          <w:szCs w:val="16"/>
          <w:color w:val="auto"/>
        </w:rPr>
        <w:t>Broadway 3rd Floor</w:t>
      </w:r>
    </w:p>
    <w:p>
      <w:pPr>
        <w:spacing w:after="0" w:line="100" w:lineRule="exact"/>
        <w:rPr>
          <w:rFonts w:ascii="Arial" w:cs="Arial" w:eastAsia="Arial" w:hAnsi="Arial"/>
          <w:sz w:val="18"/>
          <w:szCs w:val="18"/>
          <w:color w:val="auto"/>
        </w:rPr>
      </w:pPr>
    </w:p>
    <w:p>
      <w:pPr>
        <w:ind w:left="4560" w:hanging="426"/>
        <w:spacing w:after="0" w:line="207" w:lineRule="exact"/>
        <w:tabs>
          <w:tab w:leader="none" w:pos="4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332</w:t>
      </w:r>
      <w:r>
        <w:rPr>
          <w:rFonts w:ascii="MS PGothic" w:cs="MS PGothic" w:eastAsia="MS PGothic" w:hAnsi="MS PGothic"/>
          <w:sz w:val="18"/>
          <w:szCs w:val="18"/>
          <w:color w:val="auto"/>
        </w:rPr>
        <w:t>‑</w:t>
      </w:r>
      <w:r>
        <w:rPr>
          <w:rFonts w:ascii="Arial" w:cs="Arial" w:eastAsia="Arial" w:hAnsi="Arial"/>
          <w:sz w:val="18"/>
          <w:szCs w:val="18"/>
          <w:color w:val="auto"/>
        </w:rPr>
        <w:t>3241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0" w:lineRule="exact"/>
        <w:rPr>
          <w:rFonts w:ascii="Arial" w:cs="Arial" w:eastAsia="Arial" w:hAnsi="Arial"/>
          <w:sz w:val="18"/>
          <w:szCs w:val="18"/>
          <w:color w:val="auto"/>
        </w:rPr>
      </w:pPr>
    </w:p>
    <w:p>
      <w:pPr>
        <w:ind w:left="4600"/>
        <w:spacing w:after="0"/>
        <w:rPr>
          <w:rFonts w:ascii="Arial" w:cs="Arial" w:eastAsia="Arial" w:hAnsi="Arial"/>
          <w:sz w:val="18"/>
          <w:szCs w:val="18"/>
          <w:color w:val="auto"/>
        </w:rPr>
      </w:pPr>
      <w:r>
        <w:rPr>
          <w:rFonts w:ascii="Arial" w:cs="Arial" w:eastAsia="Arial" w:hAnsi="Arial"/>
          <w:sz w:val="18"/>
          <w:szCs w:val="18"/>
          <w:color w:val="auto"/>
        </w:rPr>
        <w:t>23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6">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80"/>
          </w:cols>
          <w:pgMar w:left="1260" w:top="114" w:right="125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1764030</wp:posOffset>
            </wp:positionH>
            <wp:positionV relativeFrom="paragraph">
              <wp:posOffset>337820</wp:posOffset>
            </wp:positionV>
            <wp:extent cx="2432685" cy="7512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7">
                      <a:extLst>
                        <a:ext uri="{28A0092B-C50C-407E-A947-70E740481C1C}"/>
                      </a:extLst>
                    </a:blip>
                    <a:srcRect/>
                    <a:stretch>
                      <a:fillRect/>
                    </a:stretch>
                  </pic:blipFill>
                  <pic:spPr bwMode="auto">
                    <a:xfrm>
                      <a:off x="0" y="0"/>
                      <a:ext cx="2432685" cy="751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Common Stock</w:t>
      </w:r>
    </w:p>
    <w:p>
      <w:pPr>
        <w:jc w:val="center"/>
        <w:ind w:right="-200"/>
        <w:spacing w:after="0" w:line="202" w:lineRule="auto"/>
        <w:rPr>
          <w:sz w:val="20"/>
          <w:szCs w:val="20"/>
          <w:color w:val="auto"/>
        </w:rPr>
      </w:pPr>
      <w:r>
        <w:rPr>
          <w:rFonts w:ascii="Arial" w:cs="Arial" w:eastAsia="Arial" w:hAnsi="Arial"/>
          <w:sz w:val="18"/>
          <w:szCs w:val="18"/>
          <w:b w:val="1"/>
          <w:bCs w:val="1"/>
          <w:color w:val="auto"/>
        </w:rPr>
        <w:t>Preferred Stock</w:t>
      </w:r>
    </w:p>
    <w:p>
      <w:pPr>
        <w:jc w:val="center"/>
        <w:ind w:right="-200"/>
        <w:spacing w:after="0" w:line="203" w:lineRule="auto"/>
        <w:rPr>
          <w:sz w:val="20"/>
          <w:szCs w:val="20"/>
          <w:color w:val="auto"/>
        </w:rPr>
      </w:pPr>
      <w:r>
        <w:rPr>
          <w:rFonts w:ascii="Arial" w:cs="Arial" w:eastAsia="Arial" w:hAnsi="Arial"/>
          <w:sz w:val="18"/>
          <w:szCs w:val="18"/>
          <w:b w:val="1"/>
          <w:bCs w:val="1"/>
          <w:color w:val="auto"/>
        </w:rPr>
        <w:t>Warrants</w:t>
      </w:r>
    </w:p>
    <w:p>
      <w:pPr>
        <w:jc w:val="center"/>
        <w:ind w:right="-200"/>
        <w:spacing w:after="0" w:line="202" w:lineRule="auto"/>
        <w:rPr>
          <w:sz w:val="20"/>
          <w:szCs w:val="20"/>
          <w:color w:val="auto"/>
        </w:rPr>
      </w:pPr>
      <w:r>
        <w:rPr>
          <w:rFonts w:ascii="Arial" w:cs="Arial" w:eastAsia="Arial" w:hAnsi="Arial"/>
          <w:sz w:val="18"/>
          <w:szCs w:val="18"/>
          <w:b w:val="1"/>
          <w:bCs w:val="1"/>
          <w:color w:val="auto"/>
        </w:rPr>
        <w:t>Debt Securities</w:t>
      </w:r>
    </w:p>
    <w:p>
      <w:pPr>
        <w:jc w:val="center"/>
        <w:ind w:right="-200"/>
        <w:spacing w:after="0" w:line="228" w:lineRule="auto"/>
        <w:rPr>
          <w:sz w:val="20"/>
          <w:szCs w:val="20"/>
          <w:color w:val="auto"/>
        </w:rPr>
      </w:pPr>
      <w:r>
        <w:rPr>
          <w:rFonts w:ascii="Arial" w:cs="Arial" w:eastAsia="Arial" w:hAnsi="Arial"/>
          <w:sz w:val="16"/>
          <w:szCs w:val="16"/>
          <w:b w:val="1"/>
          <w:bCs w:val="1"/>
          <w:color w:val="auto"/>
        </w:rPr>
        <w:t>Rights to Purchase Common Stock, Preferred Stock, Debt Securities or Units</w:t>
      </w:r>
    </w:p>
    <w:p>
      <w:pPr>
        <w:spacing w:after="0" w:line="1"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174625</wp:posOffset>
            </wp:positionV>
            <wp:extent cx="14935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8">
                      <a:extLst>
                        <a:ext uri="{28A0092B-C50C-407E-A947-70E740481C1C}"/>
                      </a:extLst>
                    </a:blip>
                    <a:srcRect/>
                    <a:stretch>
                      <a:fillRect/>
                    </a:stretch>
                  </pic:blipFill>
                  <pic:spPr bwMode="auto">
                    <a:xfrm>
                      <a:off x="0" y="0"/>
                      <a:ext cx="149352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187325</wp:posOffset>
            </wp:positionV>
            <wp:extent cx="14935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9">
                      <a:extLst>
                        <a:ext uri="{28A0092B-C50C-407E-A947-70E740481C1C}"/>
                      </a:extLst>
                    </a:blip>
                    <a:srcRect/>
                    <a:stretch>
                      <a:fillRect/>
                    </a:stretch>
                  </pic:blipFill>
                  <pic:spPr bwMode="auto">
                    <a:xfrm>
                      <a:off x="0" y="0"/>
                      <a:ext cx="149352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December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725170</wp:posOffset>
            </wp:positionV>
            <wp:extent cx="596646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0">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199"/>
          </w:cols>
          <w:pgMar w:left="1260" w:top="114" w:right="1440"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360"/>
        <w:spacing w:after="0"/>
        <w:rPr>
          <w:sz w:val="20"/>
          <w:szCs w:val="20"/>
          <w:color w:val="auto"/>
        </w:rPr>
      </w:pPr>
      <w:r>
        <w:rPr>
          <w:rFonts w:ascii="Arial" w:cs="Arial" w:eastAsia="Arial" w:hAnsi="Arial"/>
          <w:sz w:val="22"/>
          <w:szCs w:val="2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1764030</wp:posOffset>
            </wp:positionH>
            <wp:positionV relativeFrom="paragraph">
              <wp:posOffset>138430</wp:posOffset>
            </wp:positionV>
            <wp:extent cx="2432685" cy="7512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1">
                      <a:extLst>
                        <a:ext uri="{28A0092B-C50C-407E-A947-70E740481C1C}"/>
                      </a:extLst>
                    </a:blip>
                    <a:srcRect/>
                    <a:stretch>
                      <a:fillRect/>
                    </a:stretch>
                  </pic:blipFill>
                  <pic:spPr bwMode="auto">
                    <a:xfrm>
                      <a:off x="0" y="0"/>
                      <a:ext cx="2432685" cy="751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80"/>
        <w:spacing w:after="0"/>
        <w:rPr>
          <w:sz w:val="20"/>
          <w:szCs w:val="20"/>
          <w:color w:val="auto"/>
        </w:rPr>
      </w:pPr>
      <w:r>
        <w:rPr>
          <w:rFonts w:ascii="Arial" w:cs="Arial" w:eastAsia="Arial" w:hAnsi="Arial"/>
          <w:sz w:val="24"/>
          <w:szCs w:val="24"/>
          <w:b w:val="1"/>
          <w:bCs w:val="1"/>
          <w:color w:val="auto"/>
        </w:rPr>
        <w:t>Axsome Therapeutics, Inc.</w:t>
      </w:r>
    </w:p>
    <w:p>
      <w:pPr>
        <w:spacing w:after="0" w:line="208"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138430</wp:posOffset>
            </wp:positionV>
            <wp:extent cx="14935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2">
                      <a:extLst>
                        <a:ext uri="{28A0092B-C50C-407E-A947-70E740481C1C}"/>
                      </a:extLst>
                    </a:blip>
                    <a:srcRect/>
                    <a:stretch>
                      <a:fillRect/>
                    </a:stretch>
                  </pic:blipFill>
                  <pic:spPr bwMode="auto">
                    <a:xfrm>
                      <a:off x="0" y="0"/>
                      <a:ext cx="1493520" cy="8255"/>
                    </a:xfrm>
                    <a:prstGeom prst="rect">
                      <a:avLst/>
                    </a:prstGeom>
                    <a:noFill/>
                  </pic:spPr>
                </pic:pic>
              </a:graphicData>
            </a:graphic>
          </wp:anchor>
        </w:drawing>
      </w:r>
    </w:p>
    <w:p>
      <w:pPr>
        <w:spacing w:after="0" w:line="28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67945</wp:posOffset>
            </wp:positionV>
            <wp:extent cx="14935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a:extLst>
                        <a:ext uri="{28A0092B-C50C-407E-A947-70E740481C1C}"/>
                      </a:extLst>
                    </a:blip>
                    <a:srcRect/>
                    <a:stretch>
                      <a:fillRect/>
                    </a:stretch>
                  </pic:blipFill>
                  <pic:spPr bwMode="auto">
                    <a:xfrm>
                      <a:off x="0" y="0"/>
                      <a:ext cx="1493520" cy="8255"/>
                    </a:xfrm>
                    <a:prstGeom prst="rect">
                      <a:avLst/>
                    </a:prstGeom>
                    <a:noFill/>
                  </pic:spPr>
                </pic:pic>
              </a:graphicData>
            </a:graphic>
          </wp:anchor>
        </w:drawing>
      </w:r>
    </w:p>
    <w:p>
      <w:pPr>
        <w:spacing w:after="0" w:line="178" w:lineRule="exact"/>
        <w:rPr>
          <w:sz w:val="20"/>
          <w:szCs w:val="20"/>
          <w:color w:val="auto"/>
        </w:rPr>
      </w:pPr>
    </w:p>
    <w:p>
      <w:pPr>
        <w:jc w:val="center"/>
        <w:ind w:right="-180"/>
        <w:spacing w:after="0"/>
        <w:rPr>
          <w:sz w:val="20"/>
          <w:szCs w:val="20"/>
          <w:color w:val="auto"/>
        </w:rPr>
      </w:pPr>
      <w:r>
        <w:rPr>
          <w:rFonts w:ascii="Arial" w:cs="Arial" w:eastAsia="Arial" w:hAnsi="Arial"/>
          <w:sz w:val="20"/>
          <w:szCs w:val="20"/>
          <w:i w:val="1"/>
          <w:iCs w:val="1"/>
          <w:color w:val="auto"/>
        </w:rPr>
        <w:t>Sole Bookrunning Manager</w:t>
      </w:r>
    </w:p>
    <w:p>
      <w:pPr>
        <w:spacing w:after="0" w:line="216" w:lineRule="exact"/>
        <w:rPr>
          <w:sz w:val="20"/>
          <w:szCs w:val="20"/>
          <w:color w:val="auto"/>
        </w:rPr>
      </w:pPr>
    </w:p>
    <w:p>
      <w:pPr>
        <w:jc w:val="center"/>
        <w:ind w:right="-180"/>
        <w:spacing w:after="0"/>
        <w:rPr>
          <w:sz w:val="20"/>
          <w:szCs w:val="20"/>
          <w:color w:val="auto"/>
        </w:rPr>
      </w:pPr>
      <w:r>
        <w:rPr>
          <w:rFonts w:ascii="Arial" w:cs="Arial" w:eastAsia="Arial" w:hAnsi="Arial"/>
          <w:sz w:val="27"/>
          <w:szCs w:val="27"/>
          <w:b w:val="1"/>
          <w:bCs w:val="1"/>
          <w:color w:val="auto"/>
        </w:rPr>
        <w:t>SVB Leerink</w:t>
      </w:r>
    </w:p>
    <w:p>
      <w:pPr>
        <w:spacing w:after="0" w:line="200" w:lineRule="exact"/>
        <w:rPr>
          <w:sz w:val="20"/>
          <w:szCs w:val="20"/>
          <w:color w:val="auto"/>
        </w:rPr>
      </w:pPr>
    </w:p>
    <w:p>
      <w:pPr>
        <w:spacing w:after="0" w:line="296"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1192530</wp:posOffset>
            </wp:positionV>
            <wp:extent cx="59664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4">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sectPr>
      <w:pgSz w:w="11900" w:h="16838" w:orient="portrait"/>
      <w:cols w:equalWidth="0" w:num="1">
        <w:col w:w="9199"/>
      </w:cols>
      <w:pgMar w:left="126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decimal"/>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1."/>
      <w:numFmt w:val="upperLetter"/>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1"/>
      <w:numFmt w:val="decimal"/>
      <w:start w:val="200"/>
    </w:lvl>
  </w:abstractNum>
  <w:abstractNum w:abstractNumId="8">
    <w:nsid w:val="75A2A8D4"/>
    <w:multiLevelType w:val="hybridMultilevel"/>
    <w:lvl w:ilvl="0">
      <w:lvlJc w:val="left"/>
      <w:lvlText w:val="(%1)"/>
      <w:numFmt w:val="decimal"/>
      <w:start w:val="212"/>
    </w:lvl>
  </w:abstractNum>
  <w:abstractNum w:abstractNumId="9">
    <w:nsid w:val="8EDBDAB"/>
    <w:multiLevelType w:val="hybridMultilevel"/>
    <w:lvl w:ilvl="0">
      <w:lvlJc w:val="left"/>
      <w:lvlText w:val="(%1)"/>
      <w:numFmt w:val="decimal"/>
      <w:start w:val="212"/>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1"/>
      <w:numFmt w:val="decimal"/>
      <w:start w:val="200"/>
    </w:lvl>
  </w:abstractNum>
  <w:abstractNum w:abstractNumId="38">
    <w:nsid w:val="5E884ADC"/>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6" Type="http://schemas.openxmlformats.org/officeDocument/2006/relationships/image" Target="media/image28.png"/><Relationship Id="rId58" Type="http://schemas.openxmlformats.org/officeDocument/2006/relationships/image" Target="media/image29.png"/><Relationship Id="rId59" Type="http://schemas.openxmlformats.org/officeDocument/2006/relationships/image" Target="media/image30.jpeg"/><Relationship Id="rId60" Type="http://schemas.openxmlformats.org/officeDocument/2006/relationships/image" Target="media/image31.png"/><Relationship Id="rId61" Type="http://schemas.openxmlformats.org/officeDocument/2006/relationships/image" Target="media/image32.png"/><Relationship Id="rId62" Type="http://schemas.openxmlformats.org/officeDocument/2006/relationships/image" Target="media/image33.png"/><Relationship Id="rId63" Type="http://schemas.openxmlformats.org/officeDocument/2006/relationships/image" Target="media/image34.png"/><Relationship Id="rId64" Type="http://schemas.openxmlformats.org/officeDocument/2006/relationships/image" Target="media/image35.jpeg"/><Relationship Id="rId65" Type="http://schemas.openxmlformats.org/officeDocument/2006/relationships/image" Target="media/image36.jpeg"/><Relationship Id="rId66" Type="http://schemas.openxmlformats.org/officeDocument/2006/relationships/image" Target="media/image37.png"/><Relationship Id="rId67" Type="http://schemas.openxmlformats.org/officeDocument/2006/relationships/image" Target="media/image38.png"/><Relationship Id="rId68" Type="http://schemas.openxmlformats.org/officeDocument/2006/relationships/image" Target="media/image39.png"/><Relationship Id="rId69" Type="http://schemas.openxmlformats.org/officeDocument/2006/relationships/image" Target="media/image40.png"/><Relationship Id="rId70" Type="http://schemas.openxmlformats.org/officeDocument/2006/relationships/image" Target="media/image41.png"/><Relationship Id="rId71" Type="http://schemas.openxmlformats.org/officeDocument/2006/relationships/image" Target="media/image42.png"/><Relationship Id="rId72" Type="http://schemas.openxmlformats.org/officeDocument/2006/relationships/image" Target="media/image43.png"/><Relationship Id="rId73" Type="http://schemas.openxmlformats.org/officeDocument/2006/relationships/image" Target="media/image44.png"/><Relationship Id="rId74" Type="http://schemas.openxmlformats.org/officeDocument/2006/relationships/image" Target="media/image45.png"/><Relationship Id="rId75" Type="http://schemas.openxmlformats.org/officeDocument/2006/relationships/image" Target="media/image46.png"/><Relationship Id="rId76" Type="http://schemas.openxmlformats.org/officeDocument/2006/relationships/image" Target="media/image47.png"/><Relationship Id="rId77" Type="http://schemas.openxmlformats.org/officeDocument/2006/relationships/image" Target="media/image48.png"/><Relationship Id="rId78" Type="http://schemas.openxmlformats.org/officeDocument/2006/relationships/image" Target="media/image49.png"/><Relationship Id="rId79" Type="http://schemas.openxmlformats.org/officeDocument/2006/relationships/image" Target="media/image50.png"/><Relationship Id="rId80" Type="http://schemas.openxmlformats.org/officeDocument/2006/relationships/image" Target="media/image51.png"/><Relationship Id="rId81" Type="http://schemas.openxmlformats.org/officeDocument/2006/relationships/image" Target="media/image52.png"/><Relationship Id="rId82" Type="http://schemas.openxmlformats.org/officeDocument/2006/relationships/image" Target="media/image53.png"/><Relationship Id="rId83" Type="http://schemas.openxmlformats.org/officeDocument/2006/relationships/image" Target="media/image54.png"/><Relationship Id="rId84" Type="http://schemas.openxmlformats.org/officeDocument/2006/relationships/image" Target="media/image55.png"/><Relationship Id="rId85" Type="http://schemas.openxmlformats.org/officeDocument/2006/relationships/image" Target="media/image56.png"/><Relationship Id="rId86" Type="http://schemas.openxmlformats.org/officeDocument/2006/relationships/image" Target="media/image57.png"/><Relationship Id="rId87" Type="http://schemas.openxmlformats.org/officeDocument/2006/relationships/image" Target="media/image58.jpeg"/><Relationship Id="rId88" Type="http://schemas.openxmlformats.org/officeDocument/2006/relationships/image" Target="media/image59.png"/><Relationship Id="rId89" Type="http://schemas.openxmlformats.org/officeDocument/2006/relationships/image" Target="media/image60.png"/><Relationship Id="rId90" Type="http://schemas.openxmlformats.org/officeDocument/2006/relationships/image" Target="media/image61.png"/><Relationship Id="rId91" Type="http://schemas.openxmlformats.org/officeDocument/2006/relationships/image" Target="media/image62.jpeg"/><Relationship Id="rId92" Type="http://schemas.openxmlformats.org/officeDocument/2006/relationships/image" Target="media/image63.png"/><Relationship Id="rId93" Type="http://schemas.openxmlformats.org/officeDocument/2006/relationships/image" Target="media/image64.png"/><Relationship Id="rId94" Type="http://schemas.openxmlformats.org/officeDocument/2006/relationships/image" Target="media/image65.png"/><Relationship Id="rId35" Type="http://schemas.openxmlformats.org/officeDocument/2006/relationships/hyperlink" Target="http://www.sec.gov/Archives/edgar/data/1579428/000155837019002068/axsm-20181231x10k.htm" TargetMode="External"/><Relationship Id="rId37" Type="http://schemas.openxmlformats.org/officeDocument/2006/relationships/hyperlink" Target="http://www.sec.gov/Archives/edgar/data/1579428/000155837019003404/axsm-20190607xdef14a.htm" TargetMode="External"/><Relationship Id="rId38" Type="http://schemas.openxmlformats.org/officeDocument/2006/relationships/hyperlink" Target="http://www.sec.gov/Archives/edgar/data/1579428/000155837019004564/axsm-20190331x10q.htm" TargetMode="External"/><Relationship Id="rId39" Type="http://schemas.openxmlformats.org/officeDocument/2006/relationships/hyperlink" Target="http://www.sec.gov/Archives/edgar/data/1579428/000155837019007735/axsm-20190630x10q.htm" TargetMode="External"/><Relationship Id="rId40" Type="http://schemas.openxmlformats.org/officeDocument/2006/relationships/hyperlink" Target="http://www.sec.gov/Archives/edgar/data/1579428/000155837019010432/axsm-20190930x10q.htm" TargetMode="External"/><Relationship Id="rId41" Type="http://schemas.openxmlformats.org/officeDocument/2006/relationships/hyperlink" Target="http://www.sec.gov/Archives/edgar/data/1579428/000155837019000275/f8-k.htm" TargetMode="External"/><Relationship Id="rId42" Type="http://schemas.openxmlformats.org/officeDocument/2006/relationships/hyperlink" Target="http://www.sec.gov/Archives/edgar/data/1579428/000110465919026957/a19-9423_18k.htm" TargetMode="External"/><Relationship Id="rId43" Type="http://schemas.openxmlformats.org/officeDocument/2006/relationships/hyperlink" Target="http://www.sec.gov/Archives/edgar/data/1579428/000110465919027994/a19-9691_18k.htm" TargetMode="External"/><Relationship Id="rId44" Type="http://schemas.openxmlformats.org/officeDocument/2006/relationships/hyperlink" Target="http://www.sec.gov/Archives/edgar/data/1579428/000110465919028008/a19-9691_28k.htm" TargetMode="External"/><Relationship Id="rId45" Type="http://schemas.openxmlformats.org/officeDocument/2006/relationships/hyperlink" Target="http://www.sec.gov/Archives/edgar/data/1579428/000110465919034566/a19-11255_18k.htm" TargetMode="External"/><Relationship Id="rId46" Type="http://schemas.openxmlformats.org/officeDocument/2006/relationships/hyperlink" Target="http://www.sec.gov/Archives/edgar/data/1579428/000155837019005849/f8-k.htm" TargetMode="External"/><Relationship Id="rId47" Type="http://schemas.openxmlformats.org/officeDocument/2006/relationships/hyperlink" Target="http://www.sec.gov/Archives/edgar/data/1579428/000155837019006066/f8-k.htm" TargetMode="External"/><Relationship Id="rId48" Type="http://schemas.openxmlformats.org/officeDocument/2006/relationships/hyperlink" Target="http://www.sec.gov/Archives/edgar/data/1579428/000110465919042162/a19-16243_18k.htm" TargetMode="External"/><Relationship Id="rId49" Type="http://schemas.openxmlformats.org/officeDocument/2006/relationships/hyperlink" Target="http://www.sec.gov/Archives/edgar/data/1579428/000155837019007585/f8-k.htm" TargetMode="External"/><Relationship Id="rId50" Type="http://schemas.openxmlformats.org/officeDocument/2006/relationships/hyperlink" Target="http://www.sec.gov/Archives/edgar/data/1579428/000155837019009181/f8-k.htm" TargetMode="External"/><Relationship Id="rId51" Type="http://schemas.openxmlformats.org/officeDocument/2006/relationships/hyperlink" Target="http://www.sec.gov/Archives/edgar/data/1579428/000155837019009183/f8-k.htm" TargetMode="External"/><Relationship Id="rId52" Type="http://schemas.openxmlformats.org/officeDocument/2006/relationships/hyperlink" Target="http://www.sec.gov/Archives/edgar/data/1579428/000155837019010279/f8-k.htm" TargetMode="External"/><Relationship Id="rId53" Type="http://schemas.openxmlformats.org/officeDocument/2006/relationships/hyperlink" Target="http://www.sec.gov/Archives/edgar/data/1579428/000155837019010421/f8-k.htm" TargetMode="External"/><Relationship Id="rId54" Type="http://schemas.openxmlformats.org/officeDocument/2006/relationships/hyperlink" Target="http://www.sec.gov/Archives/edgar/data/1579428/000110465919069244/tm1924374-1_8k.htm" TargetMode="External"/><Relationship Id="rId55" Type="http://schemas.openxmlformats.org/officeDocument/2006/relationships/hyperlink" Target="http://www.sec.gov/Archives/edgar/data/1579428/000155837019011372/f8-k.htm" TargetMode="External"/><Relationship Id="rId56" Type="http://schemas.openxmlformats.org/officeDocument/2006/relationships/hyperlink" Target="http://www.sec.gov/Archives/edgar/data/1579428/000155837019011521/f8-k.htm" TargetMode="External"/><Relationship Id="rId57" Type="http://schemas.openxmlformats.org/officeDocument/2006/relationships/hyperlink" Target="http://www.sec.gov/Archives/edgar/data/1579428/000110465915079272/a15-17626_6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2019-12-18T16:43:45Z</dcterms:created>
  <dcterms:modified xsi:type="dcterms:W3CDTF">2019-12-18T16:43:45Z</dcterms:modified>
</cp:coreProperties>
</file>