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575945</wp:posOffset>
            </wp:positionH>
            <wp:positionV relativeFrom="page">
              <wp:posOffset>150495</wp:posOffset>
            </wp:positionV>
            <wp:extent cx="640969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09690" cy="31115"/>
                    </a:xfrm>
                    <a:prstGeom prst="rect">
                      <a:avLst/>
                    </a:prstGeom>
                    <a:noFill/>
                  </pic:spPr>
                </pic:pic>
              </a:graphicData>
            </a:graphic>
          </wp:anchor>
        </w:drawing>
        <w:drawing>
          <wp:anchor simplePos="0" relativeHeight="251657728" behindDoc="1" locked="0" layoutInCell="0" allowOverlap="1">
            <wp:simplePos x="0" y="0"/>
            <wp:positionH relativeFrom="page">
              <wp:posOffset>575945</wp:posOffset>
            </wp:positionH>
            <wp:positionV relativeFrom="page">
              <wp:posOffset>189230</wp:posOffset>
            </wp:positionV>
            <wp:extent cx="64096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09690" cy="7620"/>
                    </a:xfrm>
                    <a:prstGeom prst="rect">
                      <a:avLst/>
                    </a:prstGeom>
                    <a:noFill/>
                  </pic:spPr>
                </pic:pic>
              </a:graphicData>
            </a:graphic>
          </wp:anchor>
        </w:drawing>
        <w:t>UNITED STATES</w:t>
      </w:r>
    </w:p>
    <w:p>
      <w:pPr>
        <w:jc w:val="center"/>
        <w:ind w:right="-109"/>
        <w:spacing w:after="0" w:line="214"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2402840</wp:posOffset>
            </wp:positionH>
            <wp:positionV relativeFrom="paragraph">
              <wp:posOffset>114300</wp:posOffset>
            </wp:positionV>
            <wp:extent cx="160020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200" cy="15240"/>
                    </a:xfrm>
                    <a:prstGeom prst="rect">
                      <a:avLst/>
                    </a:prstGeom>
                    <a:noFill/>
                  </pic:spPr>
                </pic:pic>
              </a:graphicData>
            </a:graphic>
          </wp:anchor>
        </w:drawing>
      </w:r>
    </w:p>
    <w:p>
      <w:pPr>
        <w:spacing w:after="0" w:line="324"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2402840</wp:posOffset>
            </wp:positionH>
            <wp:positionV relativeFrom="paragraph">
              <wp:posOffset>132080</wp:posOffset>
            </wp:positionV>
            <wp:extent cx="16002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200" cy="7620"/>
                    </a:xfrm>
                    <a:prstGeom prst="rect">
                      <a:avLst/>
                    </a:prstGeom>
                    <a:noFill/>
                  </pic:spPr>
                </pic:pic>
              </a:graphicData>
            </a:graphic>
          </wp:anchor>
        </w:drawing>
      </w:r>
    </w:p>
    <w:p>
      <w:pPr>
        <w:spacing w:after="0" w:line="354"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9"/>
          <w:szCs w:val="19"/>
          <w:b w:val="1"/>
          <w:bCs w:val="1"/>
          <w:color w:val="auto"/>
        </w:rPr>
        <w:t>CURRENT REPORT</w:t>
      </w:r>
    </w:p>
    <w:p>
      <w:pPr>
        <w:jc w:val="center"/>
        <w:ind w:right="-109"/>
        <w:spacing w:after="0" w:line="216" w:lineRule="auto"/>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53"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December 16, 2019</w:t>
      </w:r>
    </w:p>
    <w:p>
      <w:pPr>
        <w:jc w:val="center"/>
        <w:ind w:right="-109"/>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2402840</wp:posOffset>
            </wp:positionH>
            <wp:positionV relativeFrom="paragraph">
              <wp:posOffset>114300</wp:posOffset>
            </wp:positionV>
            <wp:extent cx="16002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0200" cy="7620"/>
                    </a:xfrm>
                    <a:prstGeom prst="rect">
                      <a:avLst/>
                    </a:prstGeom>
                    <a:noFill/>
                  </pic:spPr>
                </pic:pic>
              </a:graphicData>
            </a:graphic>
          </wp:anchor>
        </w:drawing>
      </w:r>
    </w:p>
    <w:p>
      <w:pPr>
        <w:spacing w:after="0" w:line="312"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29"/>
          <w:szCs w:val="29"/>
          <w:b w:val="1"/>
          <w:bCs w:val="1"/>
          <w:color w:val="auto"/>
        </w:rPr>
        <w:t>Axsome Therapeutics, Inc.</w:t>
      </w:r>
    </w:p>
    <w:p>
      <w:pPr>
        <w:spacing w:after="0" w:line="3"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2402840</wp:posOffset>
            </wp:positionH>
            <wp:positionV relativeFrom="paragraph">
              <wp:posOffset>114300</wp:posOffset>
            </wp:positionV>
            <wp:extent cx="160020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0200" cy="15240"/>
                    </a:xfrm>
                    <a:prstGeom prst="rect">
                      <a:avLst/>
                    </a:prstGeom>
                    <a:noFill/>
                  </pic:spPr>
                </pic:pic>
              </a:graphicData>
            </a:graphic>
          </wp:anchor>
        </w:drawing>
      </w:r>
    </w:p>
    <w:p>
      <w:pPr>
        <w:spacing w:after="0" w:line="329" w:lineRule="exact"/>
        <w:rPr>
          <w:sz w:val="24"/>
          <w:szCs w:val="24"/>
          <w:color w:val="auto"/>
        </w:rPr>
      </w:pPr>
    </w:p>
    <w:tbl>
      <w:tblPr>
        <w:tblLayout w:type="fixed"/>
        <w:tblInd w:w="770" w:type="dxa"/>
        <w:tblCellMar>
          <w:top w:w="0" w:type="dxa"/>
          <w:left w:w="0" w:type="dxa"/>
          <w:bottom w:w="0" w:type="dxa"/>
          <w:right w:w="0" w:type="dxa"/>
        </w:tblCellMar>
      </w:tblPr>
      <w:tr>
        <w:trPr>
          <w:trHeight w:val="184"/>
        </w:trPr>
        <w:tc>
          <w:tcPr>
            <w:tcW w:w="3420" w:type="dxa"/>
            <w:vAlign w:val="bottom"/>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18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720" w:type="dxa"/>
            <w:vAlign w:val="bottom"/>
          </w:tcPr>
          <w:p>
            <w:pPr>
              <w:jc w:val="center"/>
              <w:ind w:left="1419"/>
              <w:spacing w:after="0"/>
              <w:rPr>
                <w:sz w:val="20"/>
                <w:szCs w:val="20"/>
                <w:color w:val="auto"/>
              </w:rPr>
            </w:pPr>
            <w:r>
              <w:rPr>
                <w:rFonts w:ascii="Times New Roman" w:cs="Times New Roman" w:eastAsia="Times New Roman" w:hAnsi="Times New Roman"/>
                <w:sz w:val="16"/>
                <w:szCs w:val="16"/>
                <w:b w:val="1"/>
                <w:bCs w:val="1"/>
                <w:color w:val="auto"/>
              </w:rPr>
              <w:t>45-4241907</w:t>
            </w:r>
          </w:p>
        </w:tc>
        <w:tc>
          <w:tcPr>
            <w:tcW w:w="0" w:type="dxa"/>
            <w:vAlign w:val="bottom"/>
          </w:tcPr>
          <w:p>
            <w:pPr>
              <w:spacing w:after="0"/>
              <w:rPr>
                <w:sz w:val="1"/>
                <w:szCs w:val="1"/>
                <w:color w:val="auto"/>
              </w:rPr>
            </w:pPr>
          </w:p>
        </w:tc>
      </w:tr>
      <w:tr>
        <w:trPr>
          <w:trHeight w:val="158"/>
        </w:trPr>
        <w:tc>
          <w:tcPr>
            <w:tcW w:w="3420" w:type="dxa"/>
            <w:vAlign w:val="bottom"/>
          </w:tcPr>
          <w:p>
            <w:pPr>
              <w:jc w:val="center"/>
              <w:ind w:right="1639"/>
              <w:spacing w:after="0" w:line="158" w:lineRule="exact"/>
              <w:rPr>
                <w:sz w:val="20"/>
                <w:szCs w:val="20"/>
                <w:color w:val="auto"/>
              </w:rPr>
            </w:pPr>
            <w:r>
              <w:rPr>
                <w:rFonts w:ascii="Times New Roman" w:cs="Times New Roman" w:eastAsia="Times New Roman" w:hAnsi="Times New Roman"/>
                <w:sz w:val="16"/>
                <w:szCs w:val="16"/>
                <w:color w:val="auto"/>
              </w:rPr>
              <w:t>(State or other jurisdiction</w:t>
            </w:r>
          </w:p>
        </w:tc>
        <w:tc>
          <w:tcPr>
            <w:tcW w:w="2180" w:type="dxa"/>
            <w:vAlign w:val="bottom"/>
          </w:tcPr>
          <w:p>
            <w:pPr>
              <w:jc w:val="center"/>
              <w:ind w:right="379"/>
              <w:spacing w:after="0" w:line="158" w:lineRule="exact"/>
              <w:rPr>
                <w:sz w:val="20"/>
                <w:szCs w:val="20"/>
                <w:color w:val="auto"/>
              </w:rPr>
            </w:pPr>
            <w:r>
              <w:rPr>
                <w:rFonts w:ascii="Times New Roman" w:cs="Times New Roman" w:eastAsia="Times New Roman" w:hAnsi="Times New Roman"/>
                <w:sz w:val="16"/>
                <w:szCs w:val="16"/>
                <w:color w:val="auto"/>
              </w:rPr>
              <w:t>(Commission</w:t>
            </w:r>
          </w:p>
        </w:tc>
        <w:tc>
          <w:tcPr>
            <w:tcW w:w="2720" w:type="dxa"/>
            <w:vAlign w:val="bottom"/>
          </w:tcPr>
          <w:p>
            <w:pPr>
              <w:jc w:val="center"/>
              <w:ind w:left="1419"/>
              <w:spacing w:after="0" w:line="158"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1"/>
        </w:trPr>
        <w:tc>
          <w:tcPr>
            <w:tcW w:w="3420" w:type="dxa"/>
            <w:vAlign w:val="bottom"/>
          </w:tcPr>
          <w:p>
            <w:pPr>
              <w:jc w:val="center"/>
              <w:ind w:right="1639"/>
              <w:spacing w:after="0"/>
              <w:rPr>
                <w:sz w:val="20"/>
                <w:szCs w:val="20"/>
                <w:color w:val="auto"/>
              </w:rPr>
            </w:pPr>
            <w:r>
              <w:rPr>
                <w:rFonts w:ascii="Times New Roman" w:cs="Times New Roman" w:eastAsia="Times New Roman" w:hAnsi="Times New Roman"/>
                <w:sz w:val="16"/>
                <w:szCs w:val="16"/>
                <w:color w:val="auto"/>
              </w:rPr>
              <w:t>of incorporation)</w:t>
            </w:r>
          </w:p>
        </w:tc>
        <w:tc>
          <w:tcPr>
            <w:tcW w:w="218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rPr>
              <w:t>File Number)</w:t>
            </w:r>
          </w:p>
        </w:tc>
        <w:tc>
          <w:tcPr>
            <w:tcW w:w="2720" w:type="dxa"/>
            <w:vAlign w:val="bottom"/>
          </w:tcPr>
          <w:p>
            <w:pPr>
              <w:jc w:val="center"/>
              <w:ind w:left="141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16"/>
        </w:trPr>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200 Broadway, 3rd Floor</w:t>
            </w:r>
          </w:p>
        </w:tc>
        <w:tc>
          <w:tcPr>
            <w:tcW w:w="2180" w:type="dxa"/>
            <w:vAlign w:val="bottom"/>
          </w:tcPr>
          <w:p>
            <w:pPr>
              <w:spacing w:after="0"/>
              <w:rPr>
                <w:sz w:val="18"/>
                <w:szCs w:val="18"/>
                <w:color w:val="auto"/>
              </w:rPr>
            </w:pPr>
          </w:p>
        </w:tc>
        <w:tc>
          <w:tcPr>
            <w:tcW w:w="2720" w:type="dxa"/>
            <w:vAlign w:val="bottom"/>
            <w:vMerge w:val="restart"/>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10038</w:t>
            </w:r>
          </w:p>
        </w:tc>
        <w:tc>
          <w:tcPr>
            <w:tcW w:w="0" w:type="dxa"/>
            <w:vAlign w:val="bottom"/>
          </w:tcPr>
          <w:p>
            <w:pPr>
              <w:spacing w:after="0"/>
              <w:rPr>
                <w:sz w:val="1"/>
                <w:szCs w:val="1"/>
                <w:color w:val="auto"/>
              </w:rPr>
            </w:pPr>
          </w:p>
        </w:tc>
      </w:tr>
      <w:tr>
        <w:trPr>
          <w:trHeight w:val="158"/>
        </w:trPr>
        <w:tc>
          <w:tcPr>
            <w:tcW w:w="34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218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180" w:type="dxa"/>
            <w:vAlign w:val="bottom"/>
          </w:tcPr>
          <w:p>
            <w:pPr>
              <w:spacing w:after="0"/>
              <w:rPr>
                <w:sz w:val="18"/>
                <w:szCs w:val="18"/>
                <w:color w:val="auto"/>
              </w:rPr>
            </w:pPr>
          </w:p>
        </w:tc>
        <w:tc>
          <w:tcPr>
            <w:tcW w:w="27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332-3241</w:t>
      </w:r>
    </w:p>
    <w:p>
      <w:pPr>
        <w:spacing w:after="0" w:line="74"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70"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6" w:lineRule="exact"/>
        <w:rPr>
          <w:sz w:val="24"/>
          <w:szCs w:val="24"/>
          <w:color w:val="auto"/>
        </w:rPr>
      </w:pPr>
    </w:p>
    <w:tbl>
      <w:tblPr>
        <w:tblLayout w:type="fixed"/>
        <w:tblInd w:w="1110" w:type="dxa"/>
        <w:tblCellMar>
          <w:top w:w="0" w:type="dxa"/>
          <w:left w:w="0" w:type="dxa"/>
          <w:bottom w:w="0" w:type="dxa"/>
          <w:right w:w="0" w:type="dxa"/>
        </w:tblCellMar>
      </w:tblPr>
      <w:tr>
        <w:trPr>
          <w:trHeight w:val="156"/>
        </w:trPr>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Title of each class:</w:t>
            </w:r>
          </w:p>
        </w:tc>
        <w:tc>
          <w:tcPr>
            <w:tcW w:w="2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Trading Symbol(s)</w:t>
            </w:r>
          </w:p>
        </w:tc>
        <w:tc>
          <w:tcPr>
            <w:tcW w:w="2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each exchange on which registered:</w:t>
            </w:r>
          </w:p>
        </w:tc>
      </w:tr>
      <w:tr>
        <w:trPr>
          <w:trHeight w:val="160"/>
        </w:trPr>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Common Stock, Par Value $0.0001 Per Share</w:t>
            </w:r>
          </w:p>
        </w:tc>
        <w:tc>
          <w:tcPr>
            <w:tcW w:w="120" w:type="dxa"/>
            <w:vAlign w:val="bottom"/>
          </w:tcPr>
          <w:p>
            <w:pPr>
              <w:spacing w:after="0"/>
              <w:rPr>
                <w:sz w:val="13"/>
                <w:szCs w:val="13"/>
                <w:color w:val="auto"/>
              </w:rPr>
            </w:pPr>
          </w:p>
        </w:tc>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AXSM</w:t>
            </w:r>
          </w:p>
        </w:tc>
        <w:tc>
          <w:tcPr>
            <w:tcW w:w="120" w:type="dxa"/>
            <w:vAlign w:val="bottom"/>
          </w:tcPr>
          <w:p>
            <w:pPr>
              <w:spacing w:after="0"/>
              <w:rPr>
                <w:sz w:val="13"/>
                <w:szCs w:val="13"/>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2402840</wp:posOffset>
            </wp:positionH>
            <wp:positionV relativeFrom="paragraph">
              <wp:posOffset>94615</wp:posOffset>
            </wp:positionV>
            <wp:extent cx="16002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0200" cy="7620"/>
                    </a:xfrm>
                    <a:prstGeom prst="rect">
                      <a:avLst/>
                    </a:prstGeom>
                    <a:noFill/>
                  </pic:spPr>
                </pic:pic>
              </a:graphicData>
            </a:graphic>
          </wp:anchor>
        </w:drawing>
      </w:r>
    </w:p>
    <w:p>
      <w:pPr>
        <w:spacing w:after="0" w:line="307" w:lineRule="exact"/>
        <w:rPr>
          <w:sz w:val="24"/>
          <w:szCs w:val="24"/>
          <w:color w:val="auto"/>
        </w:rPr>
      </w:pPr>
    </w:p>
    <w:p>
      <w:pPr>
        <w:ind w:left="10" w:right="200"/>
        <w:spacing w:after="0" w:line="241" w:lineRule="auto"/>
        <w:rPr>
          <w:sz w:val="20"/>
          <w:szCs w:val="20"/>
          <w:color w:val="auto"/>
        </w:rPr>
      </w:pPr>
      <w:r>
        <w:rPr>
          <w:rFonts w:ascii="Times New Roman" w:cs="Times New Roman" w:eastAsia="Times New Roman" w:hAnsi="Times New Roman"/>
          <w:sz w:val="16"/>
          <w:szCs w:val="16"/>
          <w:color w:val="auto"/>
        </w:rPr>
        <w:t>Check the appropriate box below if the Form 8-K is intended to simultaneously satisfy the filing obligation of the registrant under any of the following provisions:</w:t>
      </w:r>
    </w:p>
    <w:p>
      <w:pPr>
        <w:spacing w:after="0" w:line="44" w:lineRule="exact"/>
        <w:rPr>
          <w:sz w:val="24"/>
          <w:szCs w:val="24"/>
          <w:color w:val="auto"/>
        </w:rPr>
      </w:pPr>
    </w:p>
    <w:p>
      <w:pPr>
        <w:ind w:left="730" w:hanging="730"/>
        <w:spacing w:after="0"/>
        <w:tabs>
          <w:tab w:leader="none" w:pos="73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1" w:lineRule="exact"/>
        <w:rPr>
          <w:rFonts w:ascii="MS PGothic" w:cs="MS PGothic" w:eastAsia="MS PGothic" w:hAnsi="MS PGothic"/>
          <w:sz w:val="16"/>
          <w:szCs w:val="16"/>
          <w:color w:val="auto"/>
        </w:rPr>
      </w:pPr>
    </w:p>
    <w:p>
      <w:pPr>
        <w:ind w:left="730" w:hanging="730"/>
        <w:spacing w:after="0"/>
        <w:tabs>
          <w:tab w:leader="none" w:pos="73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1" w:lineRule="exact"/>
        <w:rPr>
          <w:rFonts w:ascii="MS PGothic" w:cs="MS PGothic" w:eastAsia="MS PGothic" w:hAnsi="MS PGothic"/>
          <w:sz w:val="16"/>
          <w:szCs w:val="16"/>
          <w:color w:val="auto"/>
        </w:rPr>
      </w:pPr>
    </w:p>
    <w:p>
      <w:pPr>
        <w:ind w:left="730" w:hanging="730"/>
        <w:spacing w:after="0"/>
        <w:tabs>
          <w:tab w:leader="none" w:pos="73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1" w:lineRule="exact"/>
        <w:rPr>
          <w:rFonts w:ascii="MS PGothic" w:cs="MS PGothic" w:eastAsia="MS PGothic" w:hAnsi="MS PGothic"/>
          <w:sz w:val="16"/>
          <w:szCs w:val="16"/>
          <w:color w:val="auto"/>
        </w:rPr>
      </w:pPr>
    </w:p>
    <w:p>
      <w:pPr>
        <w:ind w:left="730" w:hanging="730"/>
        <w:spacing w:after="0"/>
        <w:tabs>
          <w:tab w:leader="none" w:pos="73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33" w:lineRule="exact"/>
        <w:rPr>
          <w:sz w:val="24"/>
          <w:szCs w:val="24"/>
          <w:color w:val="auto"/>
        </w:rPr>
      </w:pPr>
    </w:p>
    <w:p>
      <w:pPr>
        <w:ind w:left="10" w:right="320"/>
        <w:spacing w:after="0" w:line="24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98" w:lineRule="exact"/>
        <w:rPr>
          <w:sz w:val="24"/>
          <w:szCs w:val="24"/>
          <w:color w:val="auto"/>
        </w:rPr>
      </w:pPr>
    </w:p>
    <w:p>
      <w:pPr>
        <w:ind w:left="10"/>
        <w:spacing w:after="0" w:line="19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74295</wp:posOffset>
            </wp:positionV>
            <wp:extent cx="64096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096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90170</wp:posOffset>
            </wp:positionV>
            <wp:extent cx="6409690"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0969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429895</wp:posOffset>
            </wp:positionV>
            <wp:extent cx="640969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09690" cy="23495"/>
                    </a:xfrm>
                    <a:prstGeom prst="rect">
                      <a:avLst/>
                    </a:prstGeom>
                    <a:noFill/>
                  </pic:spPr>
                </pic:pic>
              </a:graphicData>
            </a:graphic>
          </wp:anchor>
        </w:drawing>
      </w:r>
    </w:p>
    <w:p>
      <w:pPr>
        <w:sectPr>
          <w:pgSz w:w="11900" w:h="16838" w:orient="portrait"/>
          <w:cols w:equalWidth="0" w:num="1">
            <w:col w:w="9990"/>
          </w:cols>
          <w:pgMar w:left="910" w:top="349" w:right="999"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36" w:lineRule="exact"/>
        <w:rPr>
          <w:sz w:val="20"/>
          <w:szCs w:val="20"/>
          <w:color w:val="auto"/>
        </w:rPr>
      </w:pPr>
    </w:p>
    <w:p>
      <w:pPr>
        <w:ind w:left="10" w:firstLine="584"/>
        <w:spacing w:after="0" w:line="229" w:lineRule="auto"/>
        <w:rPr>
          <w:sz w:val="20"/>
          <w:szCs w:val="20"/>
          <w:color w:val="auto"/>
        </w:rPr>
      </w:pPr>
      <w:r>
        <w:rPr>
          <w:rFonts w:ascii="Times New Roman" w:cs="Times New Roman" w:eastAsia="Times New Roman" w:hAnsi="Times New Roman"/>
          <w:sz w:val="16"/>
          <w:szCs w:val="16"/>
          <w:color w:val="auto"/>
        </w:rPr>
        <w:t>On December 16, 2019, Axsome Therapeutics, Inc. (the “Company”) issued a press release announcing that AXS-05 met the prespecified primary endpoint and significantly improved symptoms of depression in the Company’s GEMINI Phase 3 trial in major depressive disorder (“MDD”). The Company will host a conference call at 8:00 a.m. ET on December 16, 2019 to discuss the topline results of the GEMINI trial of AXS-05 in MDD.</w:t>
      </w:r>
    </w:p>
    <w:p>
      <w:pPr>
        <w:spacing w:after="0" w:line="106" w:lineRule="exact"/>
        <w:rPr>
          <w:sz w:val="20"/>
          <w:szCs w:val="20"/>
          <w:color w:val="auto"/>
        </w:rPr>
      </w:pPr>
    </w:p>
    <w:p>
      <w:pPr>
        <w:ind w:left="10" w:right="560" w:firstLine="584"/>
        <w:spacing w:after="0" w:line="241" w:lineRule="auto"/>
        <w:rPr>
          <w:sz w:val="20"/>
          <w:szCs w:val="20"/>
          <w:color w:val="auto"/>
        </w:rPr>
      </w:pPr>
      <w:r>
        <w:rPr>
          <w:rFonts w:ascii="Times New Roman" w:cs="Times New Roman" w:eastAsia="Times New Roman" w:hAnsi="Times New Roman"/>
          <w:sz w:val="16"/>
          <w:szCs w:val="16"/>
          <w:color w:val="auto"/>
        </w:rPr>
        <w:t>The full text of the press release is filed as Exhibit 99.1 hereto and is incorporated herein by reference. A copy of the presentation that the Company will use in connection with the conference call is filed as Exhibit 99.2 hereto and is incorporated herein by reference.</w:t>
      </w:r>
    </w:p>
    <w:p>
      <w:pPr>
        <w:spacing w:after="0" w:line="1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33" w:lineRule="exact"/>
        <w:rPr>
          <w:sz w:val="20"/>
          <w:szCs w:val="20"/>
          <w:color w:val="auto"/>
        </w:rPr>
      </w:pPr>
    </w:p>
    <w:p>
      <w:pPr>
        <w:ind w:left="790" w:hanging="790"/>
        <w:spacing w:after="0"/>
        <w:tabs>
          <w:tab w:leader="none" w:pos="79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153" w:lineRule="exact"/>
        <w:rPr>
          <w:sz w:val="20"/>
          <w:szCs w:val="20"/>
          <w:color w:val="auto"/>
        </w:rPr>
      </w:pPr>
    </w:p>
    <w:tbl>
      <w:tblPr>
        <w:tblLayout w:type="fixed"/>
        <w:tblInd w:w="290" w:type="dxa"/>
        <w:tblCellMar>
          <w:top w:w="0" w:type="dxa"/>
          <w:left w:w="0" w:type="dxa"/>
          <w:bottom w:w="0" w:type="dxa"/>
          <w:right w:w="0" w:type="dxa"/>
        </w:tblCellMar>
      </w:tblPr>
      <w:tr>
        <w:trPr>
          <w:trHeight w:val="168"/>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40" w:type="dxa"/>
            <w:vAlign w:val="bottom"/>
          </w:tcPr>
          <w:p>
            <w:pPr>
              <w:ind w:left="12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97"/>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99.1</w:t>
            </w:r>
          </w:p>
        </w:tc>
        <w:tc>
          <w:tcPr>
            <w:tcW w:w="280" w:type="dxa"/>
            <w:vAlign w:val="bottom"/>
          </w:tcPr>
          <w:p>
            <w:pPr>
              <w:spacing w:after="0"/>
              <w:rPr>
                <w:sz w:val="24"/>
                <w:szCs w:val="24"/>
                <w:color w:val="auto"/>
              </w:rPr>
            </w:pPr>
          </w:p>
        </w:tc>
        <w:tc>
          <w:tcPr>
            <w:tcW w:w="8480" w:type="dxa"/>
            <w:vAlign w:val="bottom"/>
            <w:tcBorders>
              <w:top w:val="single" w:sz="8" w:color="auto"/>
            </w:tcBorders>
            <w:gridSpan w:val="3"/>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Press Release dated December 16, 2019.</w:t>
              </w:r>
            </w:hyperlink>
          </w:p>
        </w:tc>
      </w:tr>
      <w:tr>
        <w:trPr>
          <w:trHeight w:val="163"/>
        </w:trPr>
        <w:tc>
          <w:tcPr>
            <w:tcW w:w="102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99.2</w:t>
            </w:r>
          </w:p>
        </w:tc>
        <w:tc>
          <w:tcPr>
            <w:tcW w:w="280" w:type="dxa"/>
            <w:vAlign w:val="bottom"/>
          </w:tcPr>
          <w:p>
            <w:pPr>
              <w:spacing w:after="0"/>
              <w:rPr>
                <w:sz w:val="14"/>
                <w:szCs w:val="14"/>
                <w:color w:val="auto"/>
              </w:rPr>
            </w:pPr>
          </w:p>
        </w:tc>
        <w:tc>
          <w:tcPr>
            <w:tcW w:w="1480" w:type="dxa"/>
            <w:vAlign w:val="bottom"/>
            <w:tcBorders>
              <w:top w:val="single" w:sz="8" w:color="0000EE"/>
              <w:bottom w:val="single" w:sz="8" w:color="0000EE"/>
            </w:tcBorders>
          </w:tcPr>
          <w:p>
            <w:pPr>
              <w:spacing w:after="0" w:line="163" w:lineRule="exact"/>
              <w:rPr>
                <w:rFonts w:ascii="Times New Roman" w:cs="Times New Roman" w:eastAsia="Times New Roman" w:hAnsi="Times New Roman"/>
                <w:sz w:val="16"/>
                <w:szCs w:val="16"/>
                <w:color w:val="0000EE"/>
              </w:rPr>
            </w:pPr>
            <w:hyperlink w:anchor="page10">
              <w:r>
                <w:rPr>
                  <w:rFonts w:ascii="Times New Roman" w:cs="Times New Roman" w:eastAsia="Times New Roman" w:hAnsi="Times New Roman"/>
                  <w:sz w:val="16"/>
                  <w:szCs w:val="16"/>
                  <w:color w:val="0000EE"/>
                </w:rPr>
                <w:t>GEMINI Presentation.</w:t>
              </w:r>
            </w:hyperlink>
          </w:p>
        </w:tc>
        <w:tc>
          <w:tcPr>
            <w:tcW w:w="1160" w:type="dxa"/>
            <w:vAlign w:val="bottom"/>
            <w:tcBorders>
              <w:top w:val="single" w:sz="8" w:color="0000EE"/>
            </w:tcBorders>
          </w:tcPr>
          <w:p>
            <w:pPr>
              <w:spacing w:after="0"/>
              <w:rPr>
                <w:sz w:val="14"/>
                <w:szCs w:val="14"/>
                <w:color w:val="auto"/>
              </w:rPr>
            </w:pPr>
          </w:p>
        </w:tc>
        <w:tc>
          <w:tcPr>
            <w:tcW w:w="58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412750</wp:posOffset>
            </wp:positionV>
            <wp:extent cx="640969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09690" cy="23495"/>
                    </a:xfrm>
                    <a:prstGeom prst="rect">
                      <a:avLst/>
                    </a:prstGeom>
                    <a:noFill/>
                  </pic:spPr>
                </pic:pic>
              </a:graphicData>
            </a:graphic>
          </wp:anchor>
        </w:drawing>
      </w:r>
    </w:p>
    <w:p>
      <w:pPr>
        <w:sectPr>
          <w:pgSz w:w="11900" w:h="16838" w:orient="portrait"/>
          <w:cols w:equalWidth="0" w:num="1">
            <w:col w:w="10090"/>
          </w:cols>
          <w:pgMar w:left="910" w:top="108" w:right="8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36" w:lineRule="exact"/>
        <w:rPr>
          <w:sz w:val="20"/>
          <w:szCs w:val="20"/>
          <w:color w:val="auto"/>
        </w:rPr>
      </w:pPr>
    </w:p>
    <w:p>
      <w:pPr>
        <w:ind w:left="20" w:right="240" w:firstLine="584"/>
        <w:spacing w:after="0" w:line="24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6700" w:type="dxa"/>
            <w:vAlign w:val="bottom"/>
            <w:gridSpan w:val="3"/>
          </w:tcPr>
          <w:p>
            <w:pPr>
              <w:ind w:left="168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Dated: December 16, 2019</w:t>
            </w:r>
          </w:p>
        </w:tc>
        <w:tc>
          <w:tcPr>
            <w:tcW w:w="2120" w:type="dxa"/>
            <w:vAlign w:val="bottom"/>
            <w:gridSpan w:val="2"/>
          </w:tcPr>
          <w:p>
            <w:pPr>
              <w:ind w:left="1680"/>
              <w:spacing w:after="0"/>
              <w:rPr>
                <w:sz w:val="20"/>
                <w:szCs w:val="20"/>
                <w:color w:val="auto"/>
              </w:rPr>
            </w:pPr>
            <w:r>
              <w:rPr>
                <w:rFonts w:ascii="Times New Roman" w:cs="Times New Roman" w:eastAsia="Times New Roman" w:hAnsi="Times New Roman"/>
                <w:sz w:val="16"/>
                <w:szCs w:val="16"/>
                <w:color w:val="auto"/>
              </w:rPr>
              <w:t>By:</w:t>
            </w: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 Herriot Tabuteau, M.D.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2080" w:type="dxa"/>
            <w:vAlign w:val="bottom"/>
            <w:vMerge w:val="restart"/>
          </w:tcPr>
          <w:p>
            <w:pPr>
              <w:ind w:left="1680"/>
              <w:spacing w:after="0" w:line="171" w:lineRule="exact"/>
              <w:rPr>
                <w:sz w:val="20"/>
                <w:szCs w:val="20"/>
                <w:color w:val="auto"/>
              </w:rPr>
            </w:pPr>
            <w:r>
              <w:rPr>
                <w:rFonts w:ascii="Times New Roman" w:cs="Times New Roman" w:eastAsia="Times New Roman" w:hAnsi="Times New Roman"/>
                <w:sz w:val="16"/>
                <w:szCs w:val="16"/>
                <w:color w:val="auto"/>
                <w:w w:val="88"/>
              </w:rPr>
              <w:t>Name:</w:t>
            </w:r>
          </w:p>
        </w:tc>
        <w:tc>
          <w:tcPr>
            <w:tcW w:w="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38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580" w:type="dxa"/>
            <w:vAlign w:val="bottom"/>
          </w:tcPr>
          <w:p>
            <w:pPr>
              <w:ind w:left="180"/>
              <w:spacing w:after="0" w:line="127" w:lineRule="exact"/>
              <w:rPr>
                <w:sz w:val="20"/>
                <w:szCs w:val="20"/>
                <w:color w:val="auto"/>
              </w:rPr>
            </w:pPr>
            <w:r>
              <w:rPr>
                <w:rFonts w:ascii="Times New Roman" w:cs="Times New Roman" w:eastAsia="Times New Roman" w:hAnsi="Times New Roman"/>
                <w:sz w:val="14"/>
                <w:szCs w:val="14"/>
                <w:color w:val="auto"/>
              </w:rPr>
              <w:t>Herriot Tabuteau, M.D.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380" w:type="dxa"/>
            <w:vAlign w:val="bottom"/>
          </w:tcPr>
          <w:p>
            <w:pPr>
              <w:spacing w:after="0"/>
              <w:rPr>
                <w:sz w:val="18"/>
                <w:szCs w:val="18"/>
                <w:color w:val="auto"/>
              </w:rPr>
            </w:pPr>
          </w:p>
        </w:tc>
        <w:tc>
          <w:tcPr>
            <w:tcW w:w="2120" w:type="dxa"/>
            <w:vAlign w:val="bottom"/>
            <w:gridSpan w:val="2"/>
          </w:tcPr>
          <w:p>
            <w:pPr>
              <w:ind w:left="1680"/>
              <w:spacing w:after="0"/>
              <w:rPr>
                <w:sz w:val="20"/>
                <w:szCs w:val="20"/>
                <w:color w:val="auto"/>
              </w:rPr>
            </w:pPr>
            <w:r>
              <w:rPr>
                <w:rFonts w:ascii="Times New Roman" w:cs="Times New Roman" w:eastAsia="Times New Roman" w:hAnsi="Times New Roman"/>
                <w:sz w:val="16"/>
                <w:szCs w:val="16"/>
                <w:color w:val="auto"/>
              </w:rPr>
              <w:t>Title:</w:t>
            </w:r>
          </w:p>
        </w:tc>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380" w:type="dxa"/>
            <w:vAlign w:val="bottom"/>
          </w:tcPr>
          <w:p>
            <w:pPr>
              <w:spacing w:after="0"/>
              <w:rPr>
                <w:sz w:val="23"/>
                <w:szCs w:val="23"/>
                <w:color w:val="auto"/>
              </w:rPr>
            </w:pPr>
          </w:p>
        </w:tc>
        <w:tc>
          <w:tcPr>
            <w:tcW w:w="208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8"/>
        </w:trPr>
        <w:tc>
          <w:tcPr>
            <w:tcW w:w="3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108" w:right="8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299210" cy="433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9210"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Announces AXS-05 Achieves Primary Endpoint in GEMINI Phase 3 Trial in Major Depressive Disorder</w:t>
      </w:r>
    </w:p>
    <w:p>
      <w:pPr>
        <w:spacing w:after="0" w:line="206" w:lineRule="exact"/>
        <w:rPr>
          <w:sz w:val="20"/>
          <w:szCs w:val="20"/>
          <w:color w:val="auto"/>
        </w:rPr>
      </w:pPr>
    </w:p>
    <w:p>
      <w:pPr>
        <w:jc w:val="center"/>
        <w:spacing w:after="0" w:line="291" w:lineRule="auto"/>
        <w:rPr>
          <w:sz w:val="20"/>
          <w:szCs w:val="20"/>
          <w:color w:val="auto"/>
        </w:rPr>
      </w:pPr>
      <w:r>
        <w:rPr>
          <w:rFonts w:ascii="Times New Roman" w:cs="Times New Roman" w:eastAsia="Times New Roman" w:hAnsi="Times New Roman"/>
          <w:sz w:val="16"/>
          <w:szCs w:val="16"/>
          <w:i w:val="1"/>
          <w:iCs w:val="1"/>
          <w:color w:val="auto"/>
        </w:rPr>
        <w:t>Demonstrated rapid, durable, and statistically significant improvement in depressive symptoms as measured by MADRS total score compared to placebo (p=0.002 on primary endpoint)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Statistically significant improvement at week 1 in MADRS total score compared to placebo (key secondary endpoint, p=0.007)</w:t>
      </w:r>
    </w:p>
    <w:p>
      <w:pPr>
        <w:spacing w:after="0" w:line="206" w:lineRule="exact"/>
        <w:rPr>
          <w:sz w:val="20"/>
          <w:szCs w:val="20"/>
          <w:color w:val="auto"/>
        </w:rPr>
      </w:pPr>
    </w:p>
    <w:p>
      <w:pPr>
        <w:jc w:val="center"/>
        <w:ind w:left="1260" w:right="200"/>
        <w:spacing w:after="0" w:line="291" w:lineRule="auto"/>
        <w:rPr>
          <w:sz w:val="20"/>
          <w:szCs w:val="20"/>
          <w:color w:val="auto"/>
        </w:rPr>
      </w:pPr>
      <w:r>
        <w:rPr>
          <w:rFonts w:ascii="Times New Roman" w:cs="Times New Roman" w:eastAsia="Times New Roman" w:hAnsi="Times New Roman"/>
          <w:sz w:val="16"/>
          <w:szCs w:val="16"/>
          <w:i w:val="1"/>
          <w:iCs w:val="1"/>
          <w:color w:val="auto"/>
        </w:rPr>
        <w:t>Statistically significant improvement versus placebo on all secondary endpoints at week 6, including remission (p&lt;0.001), disease severity (p=0.002), functional impairment (p=0.002), and quality of life (p=0.011)</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Positive results support NDA filing of AXS-05 for MDD, anticipated in 2H 2020</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Potentially first-and-only, oral NMDA receptor antagonist with multimodal activity for the treatment of depression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Company to host conference call today at 8:00 AM ET</w:t>
      </w:r>
    </w:p>
    <w:p>
      <w:pPr>
        <w:spacing w:after="0" w:line="20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NEW YORK, December 16, 2019 (Globe Newswire) – Axsome Therapeutics, Inc. (NASDAQ: AXSM), a clinical-stage biopharmaceutical company developing novel therapies for the management of central nervous system (CNS) disorders, today announced that AXS-05, a novel, oral, investigational NMDA receptor antagonist with multimodal activity, met the primary endpoint and rapidly and significantly improved symptoms of depression in the GEMINI Phase 3 trial in major depressive disorder (MDD). The GEMINI study was a randomized, double-blind, placebo-controlled, multi-center, U.S. trial, in which 327 adult patients with confirmed moderate to severe MDD were randomized to treatment with either AXS-05 (dextromethorphan/bupropion modulated delivery tablet) or placebo once daily for the first 3 days and twice daily thereafter for a total of 6 weeks.</w:t>
      </w:r>
    </w:p>
    <w:p>
      <w:pPr>
        <w:spacing w:after="0" w:line="16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AXS-05 met the primary endpoint by demonstrating a highly statistically significant reduction in the Montgomery-Åsberg Depression Rating Scale (MADRS) total score compared to placebo at Week 6, with mean reductions from baseline of 16.6 points for AXS-05 and 11.9 points for placebo (p=0.002). AXS-05 rapidly and durably improved depressive symptoms as compared to placebo with statistical significance on the MADRS total score demonstrated at Week 1, the earliest time point assessed, and at all time points thereafter. Rates of remission from depression (defined as MADRS ≤10) were statistically significantly greater for AXS-05 compared to placebo at Week 2 (p=0.013) and at every timepoint thereafter, being achieved by 39.5% of AXS-05 patients compared to 17.3% of placebo patients at Week 6 (p&lt;0.001).</w:t>
      </w:r>
    </w:p>
    <w:p>
      <w:pPr>
        <w:spacing w:after="0" w:line="1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AXS-05 demonstrated rapid onset of action with statistically significant improvement as compared to placebo on numerous endpoints at Week 1, or only 4 days after the start of twice daily dosing. Statistically significant improvements at Week 1 were observed for MADRS total score (key secondary endpoint, p=0.007); Patient Global Impression-Improvement (PGI-I) (p=0.008); Clinical Global Impression-Severity (CGI-S) (p=0.013); Clinical Global Impression-Improvement (CGI-I) (p=0.035); Quick Inventory of Depressive Symptomatology-Self-Rated (QIDS-SR-16) (p=0.016); Quality of Life Enjoyment and Satisfaction Questionnaire-Short Form (Q-LES-Q-SF) (p=0.031); and other endpoints.</w:t>
      </w:r>
    </w:p>
    <w:p>
      <w:pPr>
        <w:spacing w:after="0" w:line="17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On all secondary endpoints including the following, AXS-05 demonstrated statistically significant improvement at Week 6 compared to placebo, reflecting increasing treatment effects over time: clinical response on the MADRS total score (defined as ≥50%) (p&lt;0.001); PGI-I (p=0.007); CGI-S (p=0.002); CGI-I (p=0.016); QIDS-SR-16 (p=0.001); Sheehan Disability Scale (SDS) (p=0.002); and Q-LES-Q-SF (p=0.011).</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97662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76620" cy="23495"/>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4" w:name="page5"/>
    <w:bookmarkEnd w:id="4"/>
    <w:p>
      <w:pPr>
        <w:ind w:right="40"/>
        <w:spacing w:after="0" w:line="259" w:lineRule="auto"/>
        <w:rPr>
          <w:sz w:val="20"/>
          <w:szCs w:val="20"/>
          <w:color w:val="auto"/>
        </w:rPr>
      </w:pPr>
      <w:r>
        <w:rPr>
          <w:rFonts w:ascii="Times New Roman" w:cs="Times New Roman" w:eastAsia="Times New Roman" w:hAnsi="Times New Roman"/>
          <w:sz w:val="16"/>
          <w:szCs w:val="16"/>
          <w:color w:val="auto"/>
        </w:rPr>
        <w:t>"AXS-05 demonstrated a rapid and very clinically meaningful improvement in depressive symptoms, observed after only one week, in this large and well-controlled Phase 3 trial in major depressive disorder. Given the known challenges of conducting trials in psychiatry, it is very encouraging to see replication of Phase 2 findings in such a robust way,” said Professor Maurizio Fava, MD, Psychiatrist-in-Chief at Massachusetts General Hospital (MGH), Director of the Division of Clinical Research of the MGH Research Institute, and Associate Dean for Clinical &amp; Translational Research at Harvard Medical School. “Clinical depression is a potentially life-threatening condition. Currently marketed antidepressants fail to provide adequate treatment response in almost two thirds of treated patients, and may take up to six to eight weeks to provide clinically meaningful response. These data suggest that AXS-05, as an oral NMDA receptor antagonist with multimodal activity, may represent a novel treatment for major depressive disorder.”</w:t>
      </w:r>
    </w:p>
    <w:p>
      <w:pPr>
        <w:spacing w:after="0" w:line="16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6"/>
          <w:szCs w:val="16"/>
          <w:color w:val="auto"/>
        </w:rPr>
        <w:t>AXS-05 was well tolerated in the trial. The most commonly reported adverse events in the AXS-05 arm were dizziness, nausea, headache, diarrhea, somnolence, and dry mouth. There was one serious adverse event in the AXS-05 arm which was deemed by the investigator not to be study-drug related. The rates of discontinuation due to adverse events were low in both treatment groups (6.2% for AXS-05 and 0.6% for placebo). Treatment with AXS-05 was not associated with psychotomimetic effects or weight gain.</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are very pleased with the compelling results of the GEMINI trial which demonstrate the potential for AXS-05 to provide significant benefits to patients living with depression, based on observed rapid and sustained antidepressant effects, resulting from its potentially first-in-class, oral NMDA receptor antagonist and multimodal mechanism of action,” said Herriot Tabuteau, MD, Chief Executive Officer of Axsome. “The progress of the AXS-05 clinical program in mood disorders reflects Axsome’s commitment to accelerating innovation to address serious CNS disorders. With GEMINI and the previously completed ASCEND study, the efficacy of AXS-05 in major depressive disorder has now been demonstrated in two positive well-controlled trials, enabling the filing of an NDA for AXS-05, which is anticipated in the coming year.”</w:t>
      </w:r>
    </w:p>
    <w:p>
      <w:pPr>
        <w:spacing w:after="0" w:line="16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6"/>
          <w:szCs w:val="16"/>
          <w:color w:val="auto"/>
        </w:rPr>
        <w:t>AXS-05 was granted Breakthrough Therapy designation by the U.S. Food and Drug Administration (FDA) for the treatment of MDD in March 2019. Based on the outcome of the FDA Breakthrough Therapy meeting, Axsome believes the positive results of the GEMINI trial, along with the previously completed ASCEND trial of AXS-05 in MDD, are sufficient to support submission of a New Drug Application (NDA) for AXS-05 for the treatment of MDD. Axsome plans to file the NDA in the second half of 2020.</w:t>
      </w:r>
    </w:p>
    <w:p>
      <w:pPr>
        <w:spacing w:after="0" w:line="1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“Depression is a major public health concern with most patients failing to adequately respond to currently approved antidepressants,” said Cedric O’Gorman, MD, Senior Vice President of Clinical Development and Medical Affairs of Axsome. “The potentially fatal consequences of depression highlight the need to rapidly and effectively control depressive symptoms. The positive results of the GEMINI study are significant and exciting because they bring us closer to our goal of addressing this public health need with a potentially first-in-class, rapid-acting, effective, oral, antidepressant which can be safely administered at home. With its modulation of glutamate neurotransmission, if approved, AXS-05 would represent the first mechanistically-novel oral pharmacotherapy for depression in over 30 years.”</w:t>
      </w:r>
    </w:p>
    <w:p>
      <w:pPr>
        <w:spacing w:after="0" w:line="1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AXS-05 is a novel, oral, non-competitive NMDA receptor antagonist, also known as a glutamate receptor modulator, a new mechanism of action which is thought to help enhance synaptic connections and improve the communication between brain cells in people with major depressive disorder. In addition, AXS-05 is a sigma-1 receptor agonist; enhances brain levels of serotonin, noradrenaline, and dopamine, which are key neurotransmitters involved in the regulation of mood; and displays anti-inflammatory properties, which may be relevant to treating MDD. The multimodal actions of AXS-05 may be complementary and synergistic for the treatment of this biologically-based condition. AXS-05 is covered by 41 issued U.S. and international patents providing protection out to 2034, and Axsome maintains worldwide rights.</w:t>
      </w:r>
    </w:p>
    <w:p>
      <w:pPr>
        <w:spacing w:after="0" w:line="17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6"/>
          <w:szCs w:val="16"/>
          <w:color w:val="auto"/>
        </w:rPr>
        <w:t>Detailed study results, including additional secondary endpoints, will be submitted for presentation at upcoming medical meetings and for publication. AXS-05 is also being evaluated in the STRIDE-1 Phase 3 trial in patients with treatment resistant depression (TRD), defined as patients with MDD who have failed two or more antidepressant treatments, and in the ADVANCE-1 trial in patients with Alzheimer’s disease agitation. AXS-05 was granted Fast Track designations by the FDA for the treatment of TRD and for the treatment of Alzheimer’s disease agitation.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97662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76620" cy="15240"/>
                    </a:xfrm>
                    <a:prstGeom prst="rect">
                      <a:avLst/>
                    </a:prstGeom>
                    <a:noFill/>
                  </pic:spPr>
                </pic:pic>
              </a:graphicData>
            </a:graphic>
          </wp:anchor>
        </w:drawing>
      </w:r>
    </w:p>
    <w:p>
      <w:pPr>
        <w:sectPr>
          <w:pgSz w:w="11900" w:h="16838" w:orient="portrait"/>
          <w:cols w:equalWidth="0" w:num="1">
            <w:col w:w="9420"/>
          </w:cols>
          <w:pgMar w:left="1240" w:top="318" w:right="1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Summary of Topline Results of the GEMINI Trial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Effect on Depressive Symptoms</w:t>
      </w:r>
    </w:p>
    <w:p>
      <w:pPr>
        <w:spacing w:after="0" w:line="220" w:lineRule="exact"/>
        <w:rPr>
          <w:sz w:val="20"/>
          <w:szCs w:val="20"/>
          <w:color w:val="auto"/>
        </w:rPr>
      </w:pPr>
    </w:p>
    <w:p>
      <w:pPr>
        <w:ind w:left="600" w:right="260" w:hanging="302"/>
        <w:spacing w:after="0" w:line="288" w:lineRule="auto"/>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AXS-05 was associated with a statistically significant mean reduction from baseline in the Montgomery-Åsberg Depression Rating Scale (MADRS) total score of 16.6 points for AXS-05 compared to 11.9 for placebo at Week 6 (p=0.002).</w:t>
      </w:r>
    </w:p>
    <w:p>
      <w:pPr>
        <w:spacing w:after="0" w:line="142" w:lineRule="exact"/>
        <w:rPr>
          <w:rFonts w:ascii="Times New Roman" w:cs="Times New Roman" w:eastAsia="Times New Roman" w:hAnsi="Times New Roman"/>
          <w:sz w:val="16"/>
          <w:szCs w:val="16"/>
          <w:color w:val="auto"/>
        </w:rPr>
      </w:pPr>
    </w:p>
    <w:p>
      <w:pPr>
        <w:ind w:left="600" w:right="240" w:hanging="302"/>
        <w:spacing w:after="0" w:line="288" w:lineRule="auto"/>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Remission, an absence of clinically significant symptoms of depression, prospectively defined as a MADRS total score of ≤10, was seen at Week 6 in 39.5% of patients who received AXS-05, compared to 17.3% of patients who received placebo (p&lt;0.001).</w:t>
      </w:r>
    </w:p>
    <w:p>
      <w:pPr>
        <w:spacing w:after="0" w:line="142" w:lineRule="exact"/>
        <w:rPr>
          <w:rFonts w:ascii="Times New Roman" w:cs="Times New Roman" w:eastAsia="Times New Roman" w:hAnsi="Times New Roman"/>
          <w:sz w:val="16"/>
          <w:szCs w:val="16"/>
          <w:color w:val="auto"/>
        </w:rPr>
      </w:pPr>
    </w:p>
    <w:p>
      <w:pPr>
        <w:ind w:left="600" w:right="20" w:hanging="302"/>
        <w:spacing w:after="0" w:line="288" w:lineRule="auto"/>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Response, defined as a ≥50% improvement in the MADRS total score, was seen at Week 6 in 54.0% of patients who received AXS-05, compared to 34.0% of patients who received placebo (p&lt;0.001).</w:t>
      </w:r>
    </w:p>
    <w:p>
      <w:pPr>
        <w:spacing w:after="0" w:line="155" w:lineRule="exact"/>
        <w:rPr>
          <w:rFonts w:ascii="Times New Roman" w:cs="Times New Roman" w:eastAsia="Times New Roman" w:hAnsi="Times New Roman"/>
          <w:sz w:val="16"/>
          <w:szCs w:val="16"/>
          <w:color w:val="auto"/>
        </w:rPr>
      </w:pPr>
    </w:p>
    <w:p>
      <w:pPr>
        <w:ind w:left="600" w:right="440" w:hanging="302"/>
        <w:spacing w:after="0" w:line="288" w:lineRule="auto"/>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secondary endpoints improved in favor of AXS-05 and achieved statistical significance at Week 6 (e.g. PGI-I, CGI-S, CGI-I, QIDS-SR-16, MADRS-6, etc.).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Time Course of Effect on Depressive Symptoms</w:t>
      </w:r>
    </w:p>
    <w:p>
      <w:pPr>
        <w:spacing w:after="0" w:line="208" w:lineRule="exact"/>
        <w:rPr>
          <w:sz w:val="20"/>
          <w:szCs w:val="20"/>
          <w:color w:val="auto"/>
        </w:rPr>
      </w:pPr>
    </w:p>
    <w:p>
      <w:pPr>
        <w:jc w:val="both"/>
        <w:ind w:left="600" w:right="340" w:hanging="302"/>
        <w:spacing w:after="0" w:line="271" w:lineRule="auto"/>
        <w:tabs>
          <w:tab w:leader="none" w:pos="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AXS-05 demonstrated a statistically significant mean reduction from baseline in the MADRS total score of 7.3 points for AXS-05 compared to 4.9 points for placebo at Week 1 (p=0.007), with statistical significance for this measure maintained at all time points thereafter.</w:t>
      </w:r>
    </w:p>
    <w:p>
      <w:pPr>
        <w:spacing w:after="0" w:line="156" w:lineRule="exact"/>
        <w:rPr>
          <w:rFonts w:ascii="Times New Roman" w:cs="Times New Roman" w:eastAsia="Times New Roman" w:hAnsi="Times New Roman"/>
          <w:sz w:val="16"/>
          <w:szCs w:val="16"/>
          <w:color w:val="auto"/>
        </w:rPr>
      </w:pPr>
    </w:p>
    <w:p>
      <w:pPr>
        <w:ind w:left="600" w:right="140" w:hanging="302"/>
        <w:spacing w:after="0" w:line="271" w:lineRule="auto"/>
        <w:tabs>
          <w:tab w:leader="none" w:pos="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Statistically significant improvements at Week 1 were also observed for the PGI-I (p=0.008), CGI-S (p=0.013), CGI-I (p=0.035), QIDS-SR-16 (p=0.016), MADRS-6 (p=0.019), and other endpoints. Statistically significant effects on these measures were generally maintained at all time points thereafter.</w:t>
      </w:r>
    </w:p>
    <w:p>
      <w:pPr>
        <w:spacing w:after="0" w:line="168" w:lineRule="exact"/>
        <w:rPr>
          <w:rFonts w:ascii="Times New Roman" w:cs="Times New Roman" w:eastAsia="Times New Roman" w:hAnsi="Times New Roman"/>
          <w:sz w:val="16"/>
          <w:szCs w:val="16"/>
          <w:color w:val="auto"/>
        </w:rPr>
      </w:pPr>
    </w:p>
    <w:p>
      <w:pPr>
        <w:ind w:left="600" w:hanging="302"/>
        <w:spacing w:after="0" w:line="288" w:lineRule="auto"/>
        <w:tabs>
          <w:tab w:leader="none" w:pos="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Remission rates were statistically significantly greater for AXS-05 as compared to placebo at Week 2 (p=0.013) and at every time point thereafter.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Quality of Life and Functional Impairment</w:t>
      </w:r>
    </w:p>
    <w:p>
      <w:pPr>
        <w:spacing w:after="0" w:line="208" w:lineRule="exact"/>
        <w:rPr>
          <w:sz w:val="20"/>
          <w:szCs w:val="20"/>
          <w:color w:val="auto"/>
        </w:rPr>
      </w:pPr>
    </w:p>
    <w:p>
      <w:pPr>
        <w:ind w:left="600" w:right="220" w:hanging="302"/>
        <w:spacing w:after="0" w:line="271" w:lineRule="auto"/>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AXS-05 was associated with a statistically significant improvement in quality of life, as measured by the Quality of Life Enjoyment and Satisfaction Questionnaire-Short Form (Q-LES-Q-SF), compared to placebo at Week 1 (p=0.031), and at every time point thereafter (p=0.011, at Week 6).</w:t>
      </w:r>
    </w:p>
    <w:p>
      <w:pPr>
        <w:spacing w:after="0" w:line="156" w:lineRule="exact"/>
        <w:rPr>
          <w:rFonts w:ascii="Times New Roman" w:cs="Times New Roman" w:eastAsia="Times New Roman" w:hAnsi="Times New Roman"/>
          <w:sz w:val="16"/>
          <w:szCs w:val="16"/>
          <w:color w:val="auto"/>
        </w:rPr>
      </w:pPr>
    </w:p>
    <w:p>
      <w:pPr>
        <w:ind w:left="600" w:right="20" w:hanging="302"/>
        <w:spacing w:after="0" w:line="288" w:lineRule="auto"/>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AXS-05 was associated with a statistically significant reduction in functional impairment, as measured by the Sheehan Disability Scale (SDS), compared to placebo at Week 2 (p=0.003), and at every time point thereafter (p=0.002, at Week 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Safety and Tolerability</w:t>
      </w:r>
    </w:p>
    <w:p>
      <w:pPr>
        <w:spacing w:after="0" w:line="220" w:lineRule="exact"/>
        <w:rPr>
          <w:sz w:val="20"/>
          <w:szCs w:val="20"/>
          <w:color w:val="auto"/>
        </w:rPr>
      </w:pPr>
    </w:p>
    <w:p>
      <w:pPr>
        <w:ind w:left="600" w:hanging="302"/>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AXS-05 was well tolerated in the trial.</w:t>
      </w:r>
    </w:p>
    <w:p>
      <w:pPr>
        <w:spacing w:after="0" w:line="205" w:lineRule="exact"/>
        <w:rPr>
          <w:rFonts w:ascii="Times New Roman" w:cs="Times New Roman" w:eastAsia="Times New Roman" w:hAnsi="Times New Roman"/>
          <w:sz w:val="16"/>
          <w:szCs w:val="16"/>
          <w:color w:val="auto"/>
        </w:rPr>
      </w:pPr>
    </w:p>
    <w:p>
      <w:pPr>
        <w:ind w:left="600" w:right="240" w:hanging="302"/>
        <w:spacing w:after="0" w:line="288" w:lineRule="auto"/>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most commonly reported adverse events in the AXS-05 arm were dizziness, nausea, headache, diarrhea, somnolence, and dry mouth. There was one serious adverse event in the AXS-05 arm which was deemed by the investigator not to be study-drug related.</w:t>
      </w:r>
    </w:p>
    <w:p>
      <w:pPr>
        <w:spacing w:after="0" w:line="142" w:lineRule="exact"/>
        <w:rPr>
          <w:rFonts w:ascii="Times New Roman" w:cs="Times New Roman" w:eastAsia="Times New Roman" w:hAnsi="Times New Roman"/>
          <w:sz w:val="16"/>
          <w:szCs w:val="16"/>
          <w:color w:val="auto"/>
        </w:rPr>
      </w:pPr>
    </w:p>
    <w:p>
      <w:pPr>
        <w:ind w:left="600" w:hanging="302"/>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rates of discontinuation due to adverse events were low in both treatment groups (6.2% for AXS-05 and 0.6% for placebo).</w:t>
      </w:r>
    </w:p>
    <w:p>
      <w:pPr>
        <w:spacing w:after="0" w:line="217" w:lineRule="exact"/>
        <w:rPr>
          <w:rFonts w:ascii="Times New Roman" w:cs="Times New Roman" w:eastAsia="Times New Roman" w:hAnsi="Times New Roman"/>
          <w:sz w:val="16"/>
          <w:szCs w:val="16"/>
          <w:color w:val="auto"/>
        </w:rPr>
      </w:pPr>
    </w:p>
    <w:p>
      <w:pPr>
        <w:ind w:left="600" w:hanging="302"/>
        <w:spacing w:after="0"/>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Treatment with AXS-05 was not associated with psychotomimetic effects or weight gain.</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97662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6620" cy="15240"/>
                    </a:xfrm>
                    <a:prstGeom prst="rect">
                      <a:avLst/>
                    </a:prstGeom>
                    <a:noFill/>
                  </pic:spPr>
                </pic:pic>
              </a:graphicData>
            </a:graphic>
          </wp:anchor>
        </w:drawing>
      </w:r>
    </w:p>
    <w:p>
      <w:pPr>
        <w:sectPr>
          <w:pgSz w:w="11900" w:h="16838" w:orient="portrait"/>
          <w:cols w:equalWidth="0" w:num="1">
            <w:col w:w="9380"/>
          </w:cols>
          <w:pgMar w:left="1240" w:top="316" w:right="1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Conference Call Information</w:t>
      </w:r>
    </w:p>
    <w:p>
      <w:pPr>
        <w:spacing w:after="0" w:line="20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Axsome will host a conference call and webcast with slides today at 8:00 AM Eastern to discuss the topline results of the GEMINI trial of AXS-05 in major depressive disorder. To participate in the live conference call, please dial (844) 698-4029 (toll-free domestic) or (647) 253-8660 (international), and use the passcode 1022339. The live webcast can be accessed on the “Webcasts &amp; Presentations” page of the “Investors” section of the Company’s website at axsome.com. A replay of the webcast will be available for approximately 30 days following the live event.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the GEMINI Trial</w:t>
      </w:r>
    </w:p>
    <w:p>
      <w:pPr>
        <w:spacing w:after="0" w:line="20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GEMINI (Glutamatergic and Monoaminergic Modulation in Depression) was a Phase 3, randomized, double-blind, multicenter, placebo-controlled trial of AXS-05 in patients with major depressive disorder (MDD) conducted in the U.S. A total of 327 patients with a confirmed diagnosis of moderate to severe MDD were randomized in a 1:1 ratio to receive AXS-05 (45 mg dextromethorphan/105 mg bupropion) (n=163), or placebo (n=164), twice daily for 6 weeks. The mean Montgomery-Åsberg Depression Rating Scale (MADRS) total scores at baseline were</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33.6 for the AXS-05 group and 33.2 for the placebo group. The primary endpoint of the study was the change from baseline in the MADRS total score at Week 6. Secondary endpoints included MADRS change at Weeks 1 and 2, remission, response, Clinical Global Impression-Improvement (CGI-I), Clinical Global Impression-Severity (CGI-S), Patient Global Impression-Improvement (PGI-I), MADRS-6, Sheehan Disability Scale (SDS), other quality of life measures, safety and tolerability. P-values were calculated based on least square mean estimates.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Major Depressive Disorder (MDD)</w:t>
      </w:r>
    </w:p>
    <w:p>
      <w:pPr>
        <w:spacing w:after="0" w:line="20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7.1% of U.S. adults, or approximately 17 million, experience MDD each year</w:t>
      </w:r>
      <w:r>
        <w:rPr>
          <w:rFonts w:ascii="Times New Roman" w:cs="Times New Roman" w:eastAsia="Times New Roman" w:hAnsi="Times New Roman"/>
          <w:sz w:val="8"/>
          <w:szCs w:val="8"/>
          <w:color w:val="auto"/>
        </w:rPr>
        <w:t>1</w:t>
      </w:r>
      <w:r>
        <w:rPr>
          <w:rFonts w:ascii="Times New Roman" w:cs="Times New Roman" w:eastAsia="Times New Roman" w:hAnsi="Times New Roman"/>
          <w:sz w:val="16"/>
          <w:szCs w:val="16"/>
          <w:color w:val="auto"/>
        </w:rPr>
        <w:t>. According to the World Health Organization (WHO), depression is the leading cause of disability worldwide, and is a major contributor to the overall global burden of disease</w:t>
      </w:r>
      <w:r>
        <w:rPr>
          <w:rFonts w:ascii="Times New Roman" w:cs="Times New Roman" w:eastAsia="Times New Roman" w:hAnsi="Times New Roman"/>
          <w:sz w:val="8"/>
          <w:szCs w:val="8"/>
          <w:color w:val="auto"/>
        </w:rPr>
        <w:t>2</w:t>
      </w:r>
      <w:r>
        <w:rPr>
          <w:rFonts w:ascii="Times New Roman" w:cs="Times New Roman" w:eastAsia="Times New Roman" w:hAnsi="Times New Roman"/>
          <w:sz w:val="16"/>
          <w:szCs w:val="16"/>
          <w:color w:val="auto"/>
        </w:rPr>
        <w:t>. Nearly two thirds of diagnosed and treated patients do not experience adequate treatment response with currently available first-line therapy</w:t>
      </w:r>
      <w:r>
        <w:rPr>
          <w:rFonts w:ascii="Times New Roman" w:cs="Times New Roman" w:eastAsia="Times New Roman" w:hAnsi="Times New Roman"/>
          <w:sz w:val="8"/>
          <w:szCs w:val="8"/>
          <w:color w:val="auto"/>
        </w:rPr>
        <w:t>3</w:t>
      </w:r>
      <w:r>
        <w:rPr>
          <w:rFonts w:ascii="Times New Roman" w:cs="Times New Roman" w:eastAsia="Times New Roman" w:hAnsi="Times New Roman"/>
          <w:sz w:val="16"/>
          <w:szCs w:val="16"/>
          <w:color w:val="auto"/>
        </w:rPr>
        <w:t>,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the Montgomery-Åsberg Depression Rating Scale (MADRS)</w:t>
      </w:r>
    </w:p>
    <w:p>
      <w:pPr>
        <w:spacing w:after="0" w:line="20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color w:val="auto"/>
        </w:rPr>
        <w:t>The Montgomery-Åsberg Depression Rating Scale (MADRS) is a well-established, 10-item, validated rating scale used to provide an assessment of depression, and as a guide to evaluate recovery. This scale is an accepted regulatory endpoint for depression. The scale is used in clinical research to rate the severity of a patient’s depression by probing mood, feelings of guilt, suicide ideation, insomnia, agitation, anxiety, weight loss, and somatic symptoms.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AXS-05</w:t>
      </w:r>
    </w:p>
    <w:p>
      <w:pPr>
        <w:spacing w:after="0" w:line="20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AXS-05 is a novel, oral, patent-protected, investigational NMDA receptor antagonist with multimodal activity under development for the treatment of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41 issued U.S. and international patents which provide protection out to 2034. AXS-05 has been granted U.S. Food and Drug Administration (FDA) Breakthrough Therapy designation for the treatment of MDD. AXS-05 is not approved by the FDA.</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97662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6620" cy="23495"/>
                    </a:xfrm>
                    <a:prstGeom prst="rect">
                      <a:avLst/>
                    </a:prstGeom>
                    <a:noFill/>
                  </pic:spPr>
                </pic:pic>
              </a:graphicData>
            </a:graphic>
          </wp:anchor>
        </w:drawing>
      </w:r>
    </w:p>
    <w:p>
      <w:pPr>
        <w:sectPr>
          <w:pgSz w:w="11900" w:h="16838" w:orient="portrait"/>
          <w:cols w:equalWidth="0" w:num="1">
            <w:col w:w="9400"/>
          </w:cols>
          <w:pgMar w:left="1240" w:top="316"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About Axsome Therapeutics, Inc.</w:t>
      </w:r>
    </w:p>
    <w:p>
      <w:pPr>
        <w:spacing w:after="0" w:line="20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two Phase 3 trials for the acute treatment of migraine. AXS-12 is being developed for the treatment of narcolepsy. AXS-05,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References</w:t>
      </w:r>
    </w:p>
    <w:p>
      <w:pPr>
        <w:spacing w:after="0" w:line="208" w:lineRule="exact"/>
        <w:rPr>
          <w:sz w:val="20"/>
          <w:szCs w:val="20"/>
          <w:color w:val="auto"/>
        </w:rPr>
      </w:pPr>
    </w:p>
    <w:p>
      <w:pPr>
        <w:ind w:left="660" w:right="380" w:hanging="654"/>
        <w:spacing w:after="0" w:line="288" w:lineRule="auto"/>
        <w:tabs>
          <w:tab w:leader="none" w:pos="67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National Institute of Mental Health. (2017). Major Depression. Retrieved from https://www.nimh.nih.gov/health/statistics/major-depression.shtml.</w:t>
      </w:r>
    </w:p>
    <w:p>
      <w:pPr>
        <w:spacing w:after="0" w:line="142" w:lineRule="exact"/>
        <w:rPr>
          <w:rFonts w:ascii="Times New Roman" w:cs="Times New Roman" w:eastAsia="Times New Roman" w:hAnsi="Times New Roman"/>
          <w:sz w:val="16"/>
          <w:szCs w:val="16"/>
          <w:color w:val="auto"/>
        </w:rPr>
      </w:pPr>
    </w:p>
    <w:p>
      <w:pPr>
        <w:ind w:left="660" w:right="900" w:hanging="654"/>
        <w:spacing w:after="0" w:line="288" w:lineRule="auto"/>
        <w:tabs>
          <w:tab w:leader="none" w:pos="67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World Health Organization. Fact Sheets: Depression, accessed October 9, 2018, http://www.who.int/en/news- room/fact-sheets/detail/depression.</w:t>
      </w:r>
    </w:p>
    <w:p>
      <w:pPr>
        <w:spacing w:after="0" w:line="142" w:lineRule="exact"/>
        <w:rPr>
          <w:rFonts w:ascii="Times New Roman" w:cs="Times New Roman" w:eastAsia="Times New Roman" w:hAnsi="Times New Roman"/>
          <w:sz w:val="16"/>
          <w:szCs w:val="16"/>
          <w:color w:val="auto"/>
        </w:rPr>
      </w:pPr>
    </w:p>
    <w:p>
      <w:pPr>
        <w:ind w:left="720" w:hanging="714"/>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Rush AJ, et al. (2007) Am J. Psychiatry 163:11, pp. 1905-1917 (STAR*D Study).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 The data disclosed in this press release are considered topline data and subject to further statistical review and the final results may vary.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97662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76620" cy="23495"/>
                    </a:xfrm>
                    <a:prstGeom prst="rect">
                      <a:avLst/>
                    </a:prstGeom>
                    <a:noFill/>
                  </pic:spPr>
                </pic:pic>
              </a:graphicData>
            </a:graphic>
          </wp:anchor>
        </w:drawing>
      </w:r>
    </w:p>
    <w:p>
      <w:pPr>
        <w:sectPr>
          <w:pgSz w:w="11900" w:h="16838" w:orient="portrait"/>
          <w:cols w:equalWidth="0" w:num="1">
            <w:col w:w="9420"/>
          </w:cols>
          <w:pgMar w:left="1240" w:top="316" w:right="1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Axsome Contact: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 Jacobson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Operations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Axsome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 Broadway, 3rd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212-332-3243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mjacobson@axsome.com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www.axsome.com</w:t>
      </w:r>
    </w:p>
    <w:p>
      <w:pPr>
        <w:spacing w:after="0" w:line="3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97662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76620" cy="23495"/>
                    </a:xfrm>
                    <a:prstGeom prst="rect">
                      <a:avLst/>
                    </a:prstGeom>
                    <a:noFill/>
                  </pic:spPr>
                </pic:pic>
              </a:graphicData>
            </a:graphic>
          </wp:anchor>
        </w:drawing>
      </w:r>
    </w:p>
    <w:p>
      <w:pPr>
        <w:sectPr>
          <w:pgSz w:w="11900" w:h="16838" w:orient="portrait"/>
          <w:cols w:equalWidth="0" w:num="1">
            <w:col w:w="9219"/>
          </w:cols>
          <w:pgMar w:left="1240" w:top="316" w:right="1440" w:bottom="1440" w:gutter="0" w:footer="0" w:header="0"/>
        </w:sectPr>
      </w:pPr>
    </w:p>
    <w:bookmarkStart w:id="9" w:name="page10"/>
    <w:bookmarkEnd w:id="9"/>
    <w:p>
      <w:pPr>
        <w:ind w:left="94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18415</wp:posOffset>
            </wp:positionV>
            <wp:extent cx="7004685" cy="5551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0" w:num="1">
            <w:col w:w="10240"/>
          </w:cols>
          <w:pgMar w:left="1440" w:top="121" w:right="2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344170</wp:posOffset>
            </wp:positionH>
            <wp:positionV relativeFrom="page">
              <wp:posOffset>5617210</wp:posOffset>
            </wp:positionV>
            <wp:extent cx="687324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3240" cy="23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4685" cy="55511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4685" cy="55511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2019-12-28T00:59:03Z</dcterms:created>
  <dcterms:modified xsi:type="dcterms:W3CDTF">2019-12-28T00:59:03Z</dcterms:modified>
</cp:coreProperties>
</file>