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71" w:lineRule="exact"/>
        <w:rPr>
          <w:sz w:val="24"/>
          <w:szCs w:val="24"/>
          <w:color w:val="auto"/>
        </w:rPr>
      </w:pPr>
    </w:p>
    <w:tbl>
      <w:tblPr>
        <w:tblLayout w:type="fixed"/>
        <w:tblInd w:w="1180" w:type="dxa"/>
        <w:tblCellMar>
          <w:top w:w="0" w:type="dxa"/>
          <w:left w:w="0" w:type="dxa"/>
          <w:bottom w:w="0" w:type="dxa"/>
          <w:right w:w="0" w:type="dxa"/>
        </w:tblCellMar>
      </w:tblPr>
      <w:tr>
        <w:trPr>
          <w:trHeight w:val="186"/>
        </w:trPr>
        <w:tc>
          <w:tcPr>
            <w:tcW w:w="3320" w:type="dxa"/>
            <w:vAlign w:val="bottom"/>
          </w:tcPr>
          <w:p>
            <w:pPr>
              <w:jc w:val="center"/>
              <w:ind w:right="841"/>
              <w:spacing w:after="0" w:line="186"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jc w:val="right"/>
              <w:ind w:right="541"/>
              <w:spacing w:after="0" w:line="186" w:lineRule="exact"/>
              <w:rPr>
                <w:sz w:val="20"/>
                <w:szCs w:val="20"/>
                <w:color w:val="auto"/>
              </w:rPr>
            </w:pPr>
            <w:r>
              <w:rPr>
                <w:rFonts w:ascii="Times New Roman" w:cs="Times New Roman" w:eastAsia="Times New Roman" w:hAnsi="Times New Roman"/>
                <w:sz w:val="18"/>
                <w:szCs w:val="18"/>
                <w:b w:val="1"/>
                <w:bCs w:val="1"/>
                <w:color w:val="auto"/>
              </w:rPr>
              <w:t>001-37635</w:t>
            </w:r>
          </w:p>
        </w:tc>
        <w:tc>
          <w:tcPr>
            <w:tcW w:w="2780" w:type="dxa"/>
            <w:vAlign w:val="bottom"/>
          </w:tcPr>
          <w:p>
            <w:pPr>
              <w:jc w:val="right"/>
              <w:ind w:right="24"/>
              <w:spacing w:after="0" w:line="186" w:lineRule="exact"/>
              <w:rPr>
                <w:sz w:val="20"/>
                <w:szCs w:val="20"/>
                <w:color w:val="auto"/>
              </w:rPr>
            </w:pPr>
            <w:r>
              <w:rPr>
                <w:rFonts w:ascii="Times New Roman" w:cs="Times New Roman" w:eastAsia="Times New Roman" w:hAnsi="Times New Roman"/>
                <w:sz w:val="18"/>
                <w:szCs w:val="18"/>
                <w:b w:val="1"/>
                <w:bCs w:val="1"/>
                <w:color w:val="auto"/>
              </w:rPr>
              <w:t>45-4241907</w:t>
            </w:r>
          </w:p>
        </w:tc>
      </w:tr>
      <w:tr>
        <w:trPr>
          <w:trHeight w:val="138"/>
        </w:trPr>
        <w:tc>
          <w:tcPr>
            <w:tcW w:w="3320" w:type="dxa"/>
            <w:vAlign w:val="bottom"/>
          </w:tcPr>
          <w:p>
            <w:pPr>
              <w:jc w:val="center"/>
              <w:ind w:right="841"/>
              <w:spacing w:after="0" w:line="13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ind w:left="161"/>
              <w:spacing w:after="0" w:line="13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780" w:type="dxa"/>
            <w:vAlign w:val="bottom"/>
          </w:tcPr>
          <w:p>
            <w:pPr>
              <w:jc w:val="center"/>
              <w:ind w:left="1624"/>
              <w:spacing w:after="0" w:line="13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0"/>
        </w:trPr>
        <w:tc>
          <w:tcPr>
            <w:tcW w:w="33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9"/>
              </w:rPr>
              <w:t>22 Cortlandt Street, 16th Floor</w:t>
            </w:r>
          </w:p>
        </w:tc>
        <w:tc>
          <w:tcPr>
            <w:tcW w:w="22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8"/>
        </w:trPr>
        <w:tc>
          <w:tcPr>
            <w:tcW w:w="33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240" w:type="dxa"/>
            <w:vAlign w:val="bottom"/>
          </w:tcPr>
          <w:p>
            <w:pPr>
              <w:spacing w:after="0"/>
              <w:rPr>
                <w:sz w:val="18"/>
                <w:szCs w:val="18"/>
                <w:color w:val="auto"/>
              </w:rPr>
            </w:pPr>
          </w:p>
        </w:tc>
        <w:tc>
          <w:tcPr>
            <w:tcW w:w="27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8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121285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On August 23, 2022, Axsome Therapeutics, Inc. (the “Company”) announced pro-forma cash as of June 30, 2022 of $243 million as explained further below.</w:t>
      </w:r>
    </w:p>
    <w:p>
      <w:pPr>
        <w:spacing w:after="0" w:line="365"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08" w:lineRule="exact"/>
        <w:rPr>
          <w:sz w:val="20"/>
          <w:szCs w:val="20"/>
          <w:color w:val="auto"/>
        </w:rPr>
      </w:pPr>
    </w:p>
    <w:p>
      <w:pPr>
        <w:ind w:right="60" w:firstLine="749"/>
        <w:spacing w:after="0" w:line="251" w:lineRule="auto"/>
        <w:rPr>
          <w:sz w:val="20"/>
          <w:szCs w:val="20"/>
          <w:color w:val="auto"/>
        </w:rPr>
      </w:pPr>
      <w:r>
        <w:rPr>
          <w:rFonts w:ascii="Times New Roman" w:cs="Times New Roman" w:eastAsia="Times New Roman" w:hAnsi="Times New Roman"/>
          <w:sz w:val="18"/>
          <w:szCs w:val="18"/>
          <w:color w:val="auto"/>
        </w:rPr>
        <w:t>On August 19, 2022, the Company announced the U.S. Food and Drug Administration approval of AUVELITY™. Following the approval, the Company raised approximately $141 million through the sale of 2,573,878 shares of common stock under its prior at-the-market (“ATM”) facility with SVB Securities LLC (“SVB”), resulting in pro-forma cash as of June 30, 2022 of $243 million. Further, the approval triggered access to up to $100 million of additional proceeds under Tranche 2 of the Company’s Loan and Security Agreement with Hercules Capital, Inc. The Company believes that its resulting current cash balance and available loan proceeds are sufficient to fund anticipated operations into 2025, based on the current operating plan, which includes the launch of AUVELITY, advancing the commercialization of 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the continued development of its late-stage CNS pipeline.</w:t>
      </w:r>
    </w:p>
    <w:p>
      <w:pPr>
        <w:spacing w:after="0" w:line="101" w:lineRule="exact"/>
        <w:rPr>
          <w:sz w:val="20"/>
          <w:szCs w:val="20"/>
          <w:color w:val="auto"/>
        </w:rPr>
      </w:pPr>
    </w:p>
    <w:p>
      <w:pPr>
        <w:jc w:val="both"/>
        <w:ind w:right="120" w:firstLine="749"/>
        <w:spacing w:after="0" w:line="250" w:lineRule="auto"/>
        <w:rPr>
          <w:sz w:val="20"/>
          <w:szCs w:val="20"/>
          <w:color w:val="auto"/>
        </w:rPr>
      </w:pPr>
      <w:r>
        <w:rPr>
          <w:rFonts w:ascii="Times New Roman" w:cs="Times New Roman" w:eastAsia="Times New Roman" w:hAnsi="Times New Roman"/>
          <w:sz w:val="18"/>
          <w:szCs w:val="18"/>
          <w:color w:val="auto"/>
        </w:rPr>
        <w:t>Sales of the shares of common stock in the ATM offering are made pursuant to a prospectus supplement to the Company’s previously filed and currently effective Registration Statement on Form S-3 (File No. 333-235372). This Current Report on Form 8-K shall not constitute an offer to sell or the solicitation of an offer to buy the securities discussed herein, nor shall there by any offer, solicitation or sale of the securities in any state or jurisdiction in which such offer, solicitation or sale would be unlawful prior to registration or qualification under the securities laws of any such state or jurisdiction.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60" w:type="dxa"/>
            <w:vAlign w:val="bottom"/>
          </w:tcPr>
          <w:p>
            <w:pPr>
              <w:spacing w:after="0"/>
              <w:rPr>
                <w:sz w:val="20"/>
                <w:szCs w:val="20"/>
                <w:color w:val="auto"/>
              </w:rPr>
            </w:pPr>
          </w:p>
        </w:tc>
        <w:tc>
          <w:tcPr>
            <w:tcW w:w="9400" w:type="dxa"/>
            <w:vAlign w:val="bottom"/>
            <w:tcBorders>
              <w:bottom w:val="single" w:sz="8" w:color="auto"/>
            </w:tcBorders>
          </w:tcPr>
          <w:p>
            <w:pPr>
              <w:ind w:left="4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23"/>
        </w:trPr>
        <w:tc>
          <w:tcPr>
            <w:tcW w:w="1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53"/>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23, 2022</w:t>
            </w: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55"/>
        </w:trPr>
        <w:tc>
          <w:tcPr>
            <w:tcW w:w="5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520" w:type="dxa"/>
            <w:vAlign w:val="bottom"/>
          </w:tcPr>
          <w:p>
            <w:pPr>
              <w:ind w:left="1880"/>
              <w:spacing w:after="0" w:line="156"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3"/>
        </w:trPr>
        <w:tc>
          <w:tcPr>
            <w:tcW w:w="5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884"/>
        </w:trPr>
        <w:tc>
          <w:tcPr>
            <w:tcW w:w="56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2022-08-23T06:07:29Z</dcterms:created>
  <dcterms:modified xsi:type="dcterms:W3CDTF">2022-08-23T06:07:29Z</dcterms:modified>
</cp:coreProperties>
</file>