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9,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001-37635</w:t>
            </w:r>
          </w:p>
        </w:tc>
        <w:tc>
          <w:tcPr>
            <w:tcW w:w="2460" w:type="dxa"/>
            <w:vAlign w:val="bottom"/>
          </w:tcPr>
          <w:p>
            <w:pPr>
              <w:jc w:val="right"/>
              <w:ind w:right="150"/>
              <w:spacing w:after="0"/>
              <w:rPr>
                <w:sz w:val="20"/>
                <w:szCs w:val="20"/>
                <w:color w:val="auto"/>
              </w:rPr>
            </w:pPr>
            <w:r>
              <w:rPr>
                <w:rFonts w:ascii="Arial" w:cs="Arial" w:eastAsia="Arial" w:hAnsi="Arial"/>
                <w:sz w:val="18"/>
                <w:szCs w:val="18"/>
                <w:b w:val="1"/>
                <w:bCs w:val="1"/>
                <w:color w:val="auto"/>
              </w:rPr>
              <w:t>45-4241907</w:t>
            </w:r>
          </w:p>
        </w:tc>
      </w:tr>
      <w:tr>
        <w:trPr>
          <w:trHeight w:val="216"/>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1"/>
              </w:rPr>
              <w:t>(State or other jurisdiction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1"/>
              </w:rPr>
              <w:t>(Commission</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5"/>
              </w:rPr>
              <w:t>of incorporation)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2"/>
              </w:rPr>
              <w:t>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22 Cortlandt Street, 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0"/>
        </w:trPr>
        <w:tc>
          <w:tcPr>
            <w:tcW w:w="360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New York, New York</w:t>
            </w:r>
          </w:p>
        </w:tc>
        <w:tc>
          <w:tcPr>
            <w:tcW w:w="2880" w:type="dxa"/>
            <w:vAlign w:val="bottom"/>
          </w:tcPr>
          <w:p>
            <w:pPr>
              <w:spacing w:after="0"/>
              <w:rPr>
                <w:sz w:val="19"/>
                <w:szCs w:val="19"/>
                <w:color w:val="auto"/>
              </w:rPr>
            </w:pPr>
          </w:p>
        </w:tc>
        <w:tc>
          <w:tcPr>
            <w:tcW w:w="24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10007</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85090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On August 9, 2021, Axsome Therapeutics, Inc. (the “Company”) issued a press release announcing its financial results for the three months ended June 30, 2021 and provided an update on the Company’s operations. The Company is furnishing a copy of the press release, which is attached hereto as Exhibit 99.1.</w:t>
      </w:r>
    </w:p>
    <w:p>
      <w:pPr>
        <w:spacing w:after="0" w:line="157"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80" w:firstLine="749"/>
        <w:spacing w:after="0" w:line="263" w:lineRule="auto"/>
        <w:rPr>
          <w:sz w:val="20"/>
          <w:szCs w:val="20"/>
          <w:color w:val="auto"/>
        </w:rPr>
      </w:pPr>
      <w:r>
        <w:rPr>
          <w:rFonts w:ascii="Arial" w:cs="Arial" w:eastAsia="Arial" w:hAnsi="Arial"/>
          <w:sz w:val="18"/>
          <w:szCs w:val="18"/>
          <w:color w:val="auto"/>
        </w:rPr>
        <w:t>On August 9, 2021, the Company issued a press release announcing that AXS-05 has achieved primary and key secondary endpoints in the MERIT Phase 2 trial in treatment resistant depression. The full text of the press release is filed as Exhibit 99.2 hereto,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620" w:type="dxa"/>
            <w:vAlign w:val="bottom"/>
          </w:tcPr>
          <w:p>
            <w:pPr>
              <w:spacing w:after="0"/>
              <w:rPr>
                <w:sz w:val="14"/>
                <w:szCs w:val="14"/>
                <w:color w:val="auto"/>
              </w:rPr>
            </w:pPr>
          </w:p>
        </w:tc>
        <w:tc>
          <w:tcPr>
            <w:tcW w:w="7620" w:type="dxa"/>
            <w:vAlign w:val="bottom"/>
          </w:tcPr>
          <w:p>
            <w:pPr>
              <w:ind w:left="214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8"/>
                <w:szCs w:val="18"/>
                <w:color w:val="auto"/>
              </w:rPr>
            </w:pPr>
          </w:p>
        </w:tc>
        <w:tc>
          <w:tcPr>
            <w:tcW w:w="1024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August 9, 2021.</w:t>
              </w:r>
            </w:hyperlink>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7"/>
                <w:szCs w:val="17"/>
                <w:color w:val="auto"/>
              </w:rPr>
            </w:pPr>
          </w:p>
        </w:tc>
        <w:tc>
          <w:tcPr>
            <w:tcW w:w="10240" w:type="dxa"/>
            <w:vAlign w:val="bottom"/>
            <w:gridSpan w:val="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Press Release dated August 9, 2021.</w:t>
              </w:r>
            </w:hyperlink>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right="4420" w:hanging="5572"/>
        <w:spacing w:after="0" w:line="809" w:lineRule="auto"/>
        <w:tabs>
          <w:tab w:leader="none" w:pos="100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b w:val="1"/>
                <w:bCs w:val="1"/>
                <w:color w:val="auto"/>
              </w:rPr>
              <w:t>Axsome Therapeutics, Inc.</w:t>
            </w:r>
          </w:p>
        </w:tc>
      </w:tr>
      <w:tr>
        <w:trPr>
          <w:trHeight w:val="466"/>
        </w:trPr>
        <w:tc>
          <w:tcPr>
            <w:tcW w:w="3600" w:type="dxa"/>
            <w:vAlign w:val="bottom"/>
          </w:tcPr>
          <w:p>
            <w:pPr>
              <w:spacing w:after="0"/>
              <w:rPr>
                <w:sz w:val="20"/>
                <w:szCs w:val="20"/>
                <w:color w:val="auto"/>
              </w:rPr>
            </w:pPr>
            <w:r>
              <w:rPr>
                <w:rFonts w:ascii="Arial" w:cs="Arial" w:eastAsia="Arial" w:hAnsi="Arial"/>
                <w:sz w:val="18"/>
                <w:szCs w:val="18"/>
                <w:color w:val="auto"/>
              </w:rPr>
              <w:t>Dated: August 9, 2021</w:t>
            </w:r>
          </w:p>
        </w:tc>
        <w:tc>
          <w:tcPr>
            <w:tcW w:w="2920" w:type="dxa"/>
            <w:vAlign w:val="bottom"/>
          </w:tcPr>
          <w:p>
            <w:pPr>
              <w:ind w:left="204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15"/>
        </w:trPr>
        <w:tc>
          <w:tcPr>
            <w:tcW w:w="3600" w:type="dxa"/>
            <w:vAlign w:val="bottom"/>
          </w:tcPr>
          <w:p>
            <w:pPr>
              <w:spacing w:after="0"/>
              <w:rPr>
                <w:sz w:val="18"/>
                <w:szCs w:val="18"/>
                <w:color w:val="auto"/>
              </w:rPr>
            </w:pPr>
          </w:p>
        </w:tc>
        <w:tc>
          <w:tcPr>
            <w:tcW w:w="2920" w:type="dxa"/>
            <w:vAlign w:val="bottom"/>
          </w:tcPr>
          <w:p>
            <w:pPr>
              <w:ind w:left="204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30"/>
        </w:trPr>
        <w:tc>
          <w:tcPr>
            <w:tcW w:w="3600" w:type="dxa"/>
            <w:vAlign w:val="bottom"/>
          </w:tcPr>
          <w:p>
            <w:pPr>
              <w:spacing w:after="0"/>
              <w:rPr>
                <w:sz w:val="20"/>
                <w:szCs w:val="20"/>
                <w:color w:val="auto"/>
              </w:rPr>
            </w:pPr>
          </w:p>
        </w:tc>
        <w:tc>
          <w:tcPr>
            <w:tcW w:w="2920" w:type="dxa"/>
            <w:vAlign w:val="bottom"/>
          </w:tcPr>
          <w:p>
            <w:pPr>
              <w:ind w:left="204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600" w:type="dxa"/>
            <w:vAlign w:val="bottom"/>
          </w:tcPr>
          <w:p>
            <w:pPr>
              <w:spacing w:after="0"/>
              <w:rPr>
                <w:sz w:val="24"/>
                <w:szCs w:val="24"/>
                <w:color w:val="auto"/>
              </w:rPr>
            </w:pPr>
          </w:p>
        </w:tc>
        <w:tc>
          <w:tcPr>
            <w:tcW w:w="2920" w:type="dxa"/>
            <w:vAlign w:val="bottom"/>
          </w:tcPr>
          <w:p>
            <w:pPr>
              <w:ind w:left="1980"/>
              <w:spacing w:after="0"/>
              <w:rPr>
                <w:sz w:val="20"/>
                <w:szCs w:val="20"/>
                <w:color w:val="auto"/>
              </w:rPr>
            </w:pPr>
            <w:r>
              <w:rPr>
                <w:rFonts w:ascii="Arial" w:cs="Arial" w:eastAsia="Arial" w:hAnsi="Arial"/>
                <w:sz w:val="18"/>
                <w:szCs w:val="18"/>
                <w:color w:val="auto"/>
              </w:rPr>
              <w:t>2</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Second Quarter 2021 Financial Results and Provides Business Update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 YORK, August 9, 2021 (Globe Newswire) – Axsome Therapeutics, Inc. (NASDAQ: AXSM), a biopharmaceutical company developing novel therapies for the management of central nervous system (CNS) disorders, today reported financial results for the second quarter ended June 30, 2021.</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part of the ongoing review of our NDA for AXS-05, the FDA recently notified us that they have identified deficiencies that preclude labeling discussions at this time. We are attempting to learn the nature of these deficiencies with the goal of addressing them, however, this development may lead to a delay in the potential approval of AXS-05. We will keep you informed as we learn more,” said Herriot Tabuteau, MD, Chief Executive Officer of Axsome. “Our other programs continue to advance. We successfully filed our NDA for AXS-07 for the acute treatment of migraine in the second quarter, and we remain on track to initiate the planned Phase 3 trial of AXS-12 for the treatment of narcolepsy this quarter. The buildout of our team and infrastructure is also continuing as we work towards our goal of delivering potentially life-changing medicines to people living with serious CNS conditions.”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many people facing unsatisfactory treatments for CNS disorders, Axsome accelerates the invention and adoption of life-changing medicines. The Company is developing a portfolio of differentiated, patent-protected, CNS product candidates with four in active clinical development.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AXS-05 (dextromethorphan-bupropion) is Axsome’s novel, oral, investigational NMDA receptor antagonist with multimodal activity being developed for the following indications: major depressive disorder (MDD), Alzheimer’s disease (AD) agitation, and smoking cessation. AXS-05 has been granted U.S. Food and Drug Administration (FDA) Breakthrough Therapy designations for MDD and for AD agitation.</w:t>
      </w:r>
    </w:p>
    <w:p>
      <w:pPr>
        <w:spacing w:after="0" w:line="316" w:lineRule="exact"/>
        <w:rPr>
          <w:sz w:val="20"/>
          <w:szCs w:val="20"/>
          <w:color w:val="auto"/>
        </w:rPr>
      </w:pPr>
    </w:p>
    <w:p>
      <w:pPr>
        <w:jc w:val="both"/>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Axsome’s New Drug Application (NDA) for AXS-05 for the treatment of MDD was granted Priority Review and is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under review by the FDA. On July 30, 2021, the Company received a letter from the FDA stating that it has identified deficiencies that preclude discussion of labeling and post-marketing requirements/commitments at this time. The letter stated further that the notification does not reflect a final decision on the information under review. The letter did not state what the deficiencies are. In response to the Company’s inquiries regarding the nature of the deficiencies since receipt of the letter, the FDA has informed the Company that their review is ongoing, but have not yet communicated any details regarding the nature of the deficiencies. The Prescription Drug User Fee Act (PDUFA) target action date for the NDA is August 22, 2021.</w:t>
      </w:r>
    </w:p>
    <w:p>
      <w:pPr>
        <w:spacing w:after="0" w:line="274" w:lineRule="exact"/>
        <w:rPr>
          <w:rFonts w:ascii="Arial" w:cs="Arial" w:eastAsia="Arial" w:hAnsi="Arial"/>
          <w:sz w:val="18"/>
          <w:szCs w:val="18"/>
          <w:color w:val="auto"/>
        </w:rPr>
      </w:pPr>
    </w:p>
    <w:p>
      <w:pPr>
        <w:jc w:val="both"/>
        <w:ind w:left="400"/>
        <w:spacing w:after="0" w:line="238" w:lineRule="auto"/>
        <w:rPr>
          <w:rFonts w:ascii="Arial" w:cs="Arial" w:eastAsia="Arial" w:hAnsi="Arial"/>
          <w:sz w:val="18"/>
          <w:szCs w:val="18"/>
          <w:color w:val="auto"/>
        </w:rPr>
      </w:pPr>
      <w:r>
        <w:rPr>
          <w:rFonts w:ascii="Arial" w:cs="Arial" w:eastAsia="Arial" w:hAnsi="Arial"/>
          <w:sz w:val="18"/>
          <w:szCs w:val="18"/>
          <w:color w:val="auto"/>
        </w:rPr>
        <w:t>Axsome has completed the MERIT trial, a Phase 2, randomized, double-blind, placebo-controlled, relapse prevention trial of AXS-05 in treatment resistant depression (TRD) patients. In a separate release issued this morning, Axsome announced that AXS-05 met the primary and key secondary endpoint in the trial. AXS-05 substantially and significantly delayed the time to relapse of depression (p=0.002, primary endpoint), and prevented relapse of depression (p=0.004, key secondary endpoint), compared to placebo.</w:t>
      </w:r>
    </w:p>
    <w:p>
      <w:pPr>
        <w:spacing w:after="0" w:line="331" w:lineRule="exact"/>
        <w:rPr>
          <w:rFonts w:ascii="Arial" w:cs="Arial" w:eastAsia="Arial" w:hAnsi="Arial"/>
          <w:sz w:val="18"/>
          <w:szCs w:val="18"/>
          <w:color w:val="auto"/>
        </w:rPr>
      </w:pPr>
    </w:p>
    <w:p>
      <w:pPr>
        <w:jc w:val="both"/>
        <w:ind w:left="400" w:hanging="392"/>
        <w:spacing w:after="0" w:line="253"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Axsome is conducting the ACCORD study, a Phase 3, double-blind, placebo-controlled, multicenter, randomized</w:t>
      </w:r>
      <w:r>
        <w:rPr>
          <w:rFonts w:ascii="Arial" w:cs="Arial" w:eastAsia="Arial" w:hAnsi="Arial"/>
          <w:sz w:val="18"/>
          <w:szCs w:val="18"/>
          <w:b w:val="1"/>
          <w:bCs w:val="1"/>
          <w:color w:val="auto"/>
        </w:rPr>
        <w:t xml:space="preserve"> </w:t>
      </w:r>
      <w:r>
        <w:rPr>
          <w:rFonts w:ascii="Arial" w:cs="Arial" w:eastAsia="Arial" w:hAnsi="Arial"/>
          <w:sz w:val="18"/>
          <w:szCs w:val="18"/>
          <w:color w:val="auto"/>
        </w:rPr>
        <w:t>withdrawal trial to evaluate the efficacy and safety of AXS-05 in the treatment of Alzheimer’s disease (AD) agitation. Axsome anticipates completion of the trial in the fourth quarter of 2022.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left="400" w:hanging="392"/>
        <w:spacing w:after="0" w:line="253"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is scheduled to meet with the FDA in the third quarter to discuss the continued clinical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AXS-05 as an aid to smoking cessation treatment. Axsome previously announced positive results from a Phase 2 trial of AXS-05 for smoking cessation treatment conducted under a research collaboration between Axsome and Duke University.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148" w:lineRule="exact"/>
        <w:rPr>
          <w:sz w:val="20"/>
          <w:szCs w:val="20"/>
          <w:color w:val="auto"/>
        </w:rPr>
      </w:pPr>
    </w:p>
    <w:p>
      <w:pPr>
        <w:ind w:left="400" w:right="20" w:hanging="392"/>
        <w:spacing w:after="0" w:line="271"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Axsome submitted an NDA for AXS-07 for the acute treatment of migraine in the second quarter. The Company intends to</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 the FDA’s decision regarding its acceptance of the NDA filing in the third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AXS-12 (reboxetine) is Axsome’s novel, oral, potent, and highly selective norepinephrine reuptake inhibitor for the treatment of narcolepsy.</w:t>
      </w:r>
    </w:p>
    <w:p>
      <w:pPr>
        <w:spacing w:after="0"/>
        <w:rPr>
          <w:sz w:val="20"/>
          <w:szCs w:val="20"/>
          <w:color w:val="auto"/>
        </w:rPr>
      </w:pPr>
      <w:r>
        <w:rPr>
          <w:rFonts w:ascii="Arial" w:cs="Arial" w:eastAsia="Arial" w:hAnsi="Arial"/>
          <w:sz w:val="18"/>
          <w:szCs w:val="18"/>
          <w:color w:val="auto"/>
        </w:rPr>
        <w:t>AXS-12 has been granted FDA Orphan Drug designation for the treatment of narcolepsy.</w:t>
      </w:r>
    </w:p>
    <w:p>
      <w:pPr>
        <w:spacing w:after="0" w:line="149" w:lineRule="exact"/>
        <w:rPr>
          <w:sz w:val="20"/>
          <w:szCs w:val="20"/>
          <w:color w:val="auto"/>
        </w:rPr>
      </w:pPr>
    </w:p>
    <w:p>
      <w:pPr>
        <w:ind w:left="400" w:hanging="392"/>
        <w:spacing w:after="0" w:line="271" w:lineRule="auto"/>
        <w:tabs>
          <w:tab w:leader="none" w:pos="400" w:val="left"/>
        </w:tabs>
        <w:numPr>
          <w:ilvl w:val="0"/>
          <w:numId w:val="6"/>
        </w:numPr>
        <w:rPr>
          <w:rFonts w:ascii="Arial" w:cs="Arial" w:eastAsia="Arial" w:hAnsi="Arial"/>
          <w:sz w:val="18"/>
          <w:szCs w:val="18"/>
          <w:color w:val="0D0D0D"/>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on track to initiate a Phase 3 trial of AXS-12 in the treatment of narcolepsy in the third quarter. The planned</w:t>
      </w:r>
      <w:r>
        <w:rPr>
          <w:rFonts w:ascii="Arial" w:cs="Arial" w:eastAsia="Arial" w:hAnsi="Arial"/>
          <w:sz w:val="18"/>
          <w:szCs w:val="18"/>
          <w:b w:val="1"/>
          <w:bCs w:val="1"/>
          <w:color w:val="auto"/>
        </w:rPr>
        <w:t xml:space="preserve"> </w:t>
      </w:r>
      <w:r>
        <w:rPr>
          <w:rFonts w:ascii="Arial" w:cs="Arial" w:eastAsia="Arial" w:hAnsi="Arial"/>
          <w:sz w:val="18"/>
          <w:szCs w:val="18"/>
          <w:color w:val="auto"/>
        </w:rPr>
        <w:t>Phase 3 trial will be a randomized, double-blind, placebo-controlled, parallel-group study.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20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AXS-14 (esreboxetine) is Axsome’s novel, oral, potent, and highly selective norepinephrine reuptake inhibitor for the management of fibromyalgia. Esreboxetine, the SS-enantiomer of reboxetine, is more potent and selective than racemic reboxetine.</w:t>
      </w:r>
    </w:p>
    <w:p>
      <w:pPr>
        <w:spacing w:after="0" w:line="134" w:lineRule="exact"/>
        <w:rPr>
          <w:sz w:val="20"/>
          <w:szCs w:val="20"/>
          <w:color w:val="auto"/>
        </w:rPr>
      </w:pPr>
    </w:p>
    <w:p>
      <w:pPr>
        <w:jc w:val="both"/>
        <w:ind w:left="400" w:hanging="392"/>
        <w:spacing w:after="0" w:line="247" w:lineRule="auto"/>
        <w:tabs>
          <w:tab w:leader="none" w:pos="400" w:val="left"/>
        </w:tabs>
        <w:numPr>
          <w:ilvl w:val="0"/>
          <w:numId w:val="7"/>
        </w:numPr>
        <w:rPr>
          <w:rFonts w:ascii="Arial" w:cs="Arial" w:eastAsia="Arial" w:hAnsi="Arial"/>
          <w:sz w:val="18"/>
          <w:szCs w:val="18"/>
          <w:color w:val="0D0D0D"/>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In June 2021, Axsome announced it had completed a pre-NDA meeting with the FDA for AXS-14. Axsome anticipates</w:t>
      </w:r>
      <w:r>
        <w:rPr>
          <w:rFonts w:ascii="Arial" w:cs="Arial" w:eastAsia="Arial" w:hAnsi="Arial"/>
          <w:sz w:val="18"/>
          <w:szCs w:val="18"/>
          <w:b w:val="1"/>
          <w:bCs w:val="1"/>
          <w:color w:val="auto"/>
        </w:rPr>
        <w:t xml:space="preserve"> </w:t>
      </w:r>
      <w:r>
        <w:rPr>
          <w:rFonts w:ascii="Arial" w:cs="Arial" w:eastAsia="Arial" w:hAnsi="Arial"/>
          <w:sz w:val="18"/>
          <w:szCs w:val="18"/>
          <w:color w:val="auto"/>
        </w:rPr>
        <w:t>submitting an NDA for AXS-14 for the management of fibromyalgia in the fourth quarter of 2022, pending successful completion of manufacturing and other activities related to the product candidate. AXS-14 has previously met the primary endpoints and demonstrated positive and statistically significant results in a Phase 3 and in a Phase 2 trial for the management of fibromyalgia.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and Launch-Readiness Activities</w:t>
      </w:r>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Axsome continues with preparations for a potential commercial launch of AXS-05 for the treatment of MDD, if approved, and for a subsequent launch of AXS-07 for the acute treatment of migraine, if approved, including technology implementation and team build:</w:t>
      </w:r>
    </w:p>
    <w:p>
      <w:pPr>
        <w:spacing w:after="0" w:line="170" w:lineRule="exact"/>
        <w:rPr>
          <w:sz w:val="20"/>
          <w:szCs w:val="20"/>
          <w:color w:val="auto"/>
        </w:rPr>
      </w:pPr>
    </w:p>
    <w:p>
      <w:pPr>
        <w:ind w:left="400" w:right="20" w:hanging="392"/>
        <w:spacing w:after="0" w:line="246"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Axsome’s Digital Centric Commercialization™ (DCC) platform design and implementation is now complete and testing of the platform for execution at launch is underway.</w:t>
      </w:r>
    </w:p>
    <w:p>
      <w:pPr>
        <w:spacing w:after="0" w:line="156" w:lineRule="exact"/>
        <w:rPr>
          <w:rFonts w:ascii="Arial" w:cs="Arial" w:eastAsia="Arial" w:hAnsi="Arial"/>
          <w:sz w:val="18"/>
          <w:szCs w:val="18"/>
          <w:color w:val="auto"/>
        </w:rPr>
      </w:pPr>
    </w:p>
    <w:p>
      <w:pPr>
        <w:ind w:left="400" w:hanging="392"/>
        <w:spacing w:after="0" w:line="246"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Axsome’s field leadership team is now fully staffed and field force representative hiring has commenced. The Company anticipates having all field representatives on-board by launch.</w:t>
      </w:r>
    </w:p>
    <w:p>
      <w:pPr>
        <w:spacing w:after="0" w:line="156" w:lineRule="exact"/>
        <w:rPr>
          <w:rFonts w:ascii="Arial" w:cs="Arial" w:eastAsia="Arial" w:hAnsi="Arial"/>
          <w:sz w:val="18"/>
          <w:szCs w:val="18"/>
          <w:color w:val="auto"/>
        </w:rPr>
      </w:pPr>
    </w:p>
    <w:p>
      <w:pPr>
        <w:ind w:left="400" w:right="20" w:hanging="392"/>
        <w:spacing w:after="0" w:line="246"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access team continues to engage in permitted ongoing discussion with payers, ensuring awareness of Axsome and of AXS-05’s product profile, and is actively setting up comprehensive patient support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Anticipated Milestones</w:t>
      </w:r>
    </w:p>
    <w:p>
      <w:pPr>
        <w:spacing w:after="0" w:line="185"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Regulatory and Commercial:</w:t>
      </w:r>
    </w:p>
    <w:p>
      <w:pPr>
        <w:spacing w:after="0" w:line="200" w:lineRule="exact"/>
        <w:rPr>
          <w:sz w:val="20"/>
          <w:szCs w:val="20"/>
          <w:color w:val="auto"/>
        </w:rPr>
      </w:pPr>
    </w:p>
    <w:p>
      <w:pPr>
        <w:ind w:left="1200" w:hanging="396"/>
        <w:spacing w:after="0"/>
        <w:tabs>
          <w:tab w:leader="none" w:pos="120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AXS-05 for MDD, PDUFA target action date (August 22, 2021)</w:t>
      </w:r>
    </w:p>
    <w:p>
      <w:pPr>
        <w:spacing w:after="0" w:line="168" w:lineRule="exact"/>
        <w:rPr>
          <w:rFonts w:ascii="Courier New" w:cs="Courier New" w:eastAsia="Courier New" w:hAnsi="Courier New"/>
          <w:sz w:val="18"/>
          <w:szCs w:val="18"/>
          <w:color w:val="auto"/>
        </w:rPr>
      </w:pPr>
    </w:p>
    <w:p>
      <w:pPr>
        <w:ind w:left="1200" w:hanging="396"/>
        <w:spacing w:after="0"/>
        <w:tabs>
          <w:tab w:leader="none" w:pos="120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AXS-07 for migraine, NDA acceptance decision (3Q 2021)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 w:name="page6"/>
    <w:bookmarkEnd w:id="5"/>
    <w:p>
      <w:pPr>
        <w:ind w:left="1200" w:hanging="396"/>
        <w:spacing w:after="0"/>
        <w:tabs>
          <w:tab w:leader="none" w:pos="120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AXS-05 for smoking cessation, FDA meeting (3Q 2021)</w:t>
      </w:r>
    </w:p>
    <w:p>
      <w:pPr>
        <w:spacing w:after="0" w:line="168" w:lineRule="exact"/>
        <w:rPr>
          <w:rFonts w:ascii="Courier New" w:cs="Courier New" w:eastAsia="Courier New" w:hAnsi="Courier New"/>
          <w:sz w:val="18"/>
          <w:szCs w:val="18"/>
          <w:color w:val="auto"/>
        </w:rPr>
      </w:pPr>
    </w:p>
    <w:p>
      <w:pPr>
        <w:ind w:left="1200" w:hanging="396"/>
        <w:spacing w:after="0"/>
        <w:tabs>
          <w:tab w:leader="none" w:pos="120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AXS-05 for MDD, commercial launch, if approved (4Q 2021)</w:t>
      </w:r>
    </w:p>
    <w:p>
      <w:pPr>
        <w:spacing w:after="0" w:line="152" w:lineRule="exact"/>
        <w:rPr>
          <w:rFonts w:ascii="Courier New" w:cs="Courier New" w:eastAsia="Courier New" w:hAnsi="Courier New"/>
          <w:sz w:val="18"/>
          <w:szCs w:val="18"/>
          <w:color w:val="auto"/>
        </w:rPr>
      </w:pPr>
    </w:p>
    <w:p>
      <w:pPr>
        <w:ind w:left="400" w:hanging="392"/>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200" w:lineRule="exact"/>
        <w:rPr>
          <w:rFonts w:ascii="Arial" w:cs="Arial" w:eastAsia="Arial" w:hAnsi="Arial"/>
          <w:sz w:val="18"/>
          <w:szCs w:val="18"/>
          <w:color w:val="auto"/>
        </w:rPr>
      </w:pPr>
    </w:p>
    <w:p>
      <w:pPr>
        <w:ind w:left="1200" w:hanging="396"/>
        <w:spacing w:after="0"/>
        <w:tabs>
          <w:tab w:leader="none" w:pos="120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Phase 3 trial of AXS-12 in the treatment of narcolepsy (3Q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Scientific Conferences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Axsome is scheduled to present data at the following upcoming scientific conferences:</w:t>
      </w:r>
    </w:p>
    <w:p>
      <w:pPr>
        <w:spacing w:after="0" w:line="171"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Headache Congress (IHC), September 8-12,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171" w:lineRule="exact"/>
        <w:rPr>
          <w:sz w:val="20"/>
          <w:szCs w:val="20"/>
          <w:color w:val="auto"/>
        </w:rPr>
      </w:pPr>
    </w:p>
    <w:p>
      <w:pPr>
        <w:jc w:val="both"/>
        <w:ind w:left="400" w:hanging="392"/>
        <w:spacing w:after="0" w:line="253"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$14.5 million for the three months ended June 30, 2021 and $10.5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comparable period in 2020. The increase was driven by costs to support the NDA filings and personnel expense which includes an increase in headcount along with an increase in stock compensation expense.</w:t>
      </w:r>
    </w:p>
    <w:p>
      <w:pPr>
        <w:spacing w:after="0" w:line="128" w:lineRule="exact"/>
        <w:rPr>
          <w:rFonts w:ascii="Arial" w:cs="Arial" w:eastAsia="Arial" w:hAnsi="Arial"/>
          <w:sz w:val="18"/>
          <w:szCs w:val="18"/>
          <w:color w:val="auto"/>
        </w:rPr>
      </w:pPr>
    </w:p>
    <w:p>
      <w:pPr>
        <w:jc w:val="both"/>
        <w:ind w:left="400" w:hanging="392"/>
        <w:spacing w:after="0" w:line="253"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$16.3 million for the three months ended June 30, 2021 and $7.2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comparable period in 2020. The increase was primarily due to pre-commercial activities and personnel expense which includes an increase in headcount along with an increase in stock compensation expense.</w:t>
      </w:r>
    </w:p>
    <w:p>
      <w:pPr>
        <w:spacing w:after="0" w:line="128" w:lineRule="exact"/>
        <w:rPr>
          <w:rFonts w:ascii="Arial" w:cs="Arial" w:eastAsia="Arial" w:hAnsi="Arial"/>
          <w:sz w:val="18"/>
          <w:szCs w:val="18"/>
          <w:color w:val="auto"/>
        </w:rPr>
      </w:pPr>
    </w:p>
    <w:p>
      <w:pPr>
        <w:ind w:left="400" w:hanging="392"/>
        <w:spacing w:after="0" w:line="271"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$32.3 million, or $(0.86) per share, for the three months ended June 30, 2021 compared to a net loss of $18.3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$(0.49) per share, for the comparable period in 2020.</w:t>
      </w:r>
    </w:p>
    <w:p>
      <w:pPr>
        <w:spacing w:after="0" w:line="113" w:lineRule="exact"/>
        <w:rPr>
          <w:rFonts w:ascii="Arial" w:cs="Arial" w:eastAsia="Arial" w:hAnsi="Arial"/>
          <w:sz w:val="18"/>
          <w:szCs w:val="18"/>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June 30, 2021, Axsome had $141.2 million of cash compared to $183.9 million at December 31, 2020.</w:t>
      </w:r>
    </w:p>
    <w:p>
      <w:pPr>
        <w:spacing w:after="0" w:line="184" w:lineRule="exact"/>
        <w:rPr>
          <w:rFonts w:ascii="Arial" w:cs="Arial" w:eastAsia="Arial" w:hAnsi="Arial"/>
          <w:sz w:val="18"/>
          <w:szCs w:val="18"/>
          <w:color w:val="auto"/>
        </w:rPr>
      </w:pP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June 30, 2021, Axsome had 37,648,948 shares of common stock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07" w:lineRule="exact"/>
        <w:rPr>
          <w:sz w:val="20"/>
          <w:szCs w:val="20"/>
          <w:color w:val="auto"/>
        </w:rPr>
      </w:pPr>
    </w:p>
    <w:p>
      <w:pPr>
        <w:jc w:val="both"/>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Axsome believes that its cash at June 30, 2021, along with the remaining committed capital from the $225 million term loan facility, is sufficient to fund anticipated operations, based on the current operating plan, which includes costs for the potential commercial launch of AXS-05 in MDD and AXS-07 in migraine, into at least 2024.</w:t>
      </w:r>
    </w:p>
    <w:p>
      <w:pPr>
        <w:spacing w:after="0" w:line="162" w:lineRule="exact"/>
        <w:rPr>
          <w:rFonts w:ascii="Arial" w:cs="Arial" w:eastAsia="Arial" w:hAnsi="Arial"/>
          <w:sz w:val="18"/>
          <w:szCs w:val="18"/>
          <w:color w:val="auto"/>
        </w:rPr>
      </w:pPr>
    </w:p>
    <w:p>
      <w:pPr>
        <w:ind w:left="400" w:right="20" w:hanging="392"/>
        <w:spacing w:after="0" w:line="246" w:lineRule="auto"/>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Axsome expects that its operating expenses will increase year over year as we continue to build out the commercial function and further advance our pipeline.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Axsome will host a conference call and webcast today at 8:00 AM Eastern to discuss second quarter 2021 financial results as well as to provide a corporate update. To participate in the live conference call, please dial (844) 698-4029 (toll-free domestic) or (647) 253-8660 (international), and use the conference ID 2545435. The live webcast can be accessed on the "Webcasts &amp; Presentations" page of the "Investors" section of the Company’s website at axsome.com. A replay of the webcast will be available for approximately 30 days following the live event.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intensely committed to developing products that meaningfully improve the lives of patients and provide additional therapeutic options for physicians. For more information, please visit the Company’s website at axsome.com. The Company may occasionally disseminate material, nonpublic information on the company website.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the successful submission of and approval by the FDA of an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8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Operating expenses:</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left w:val="single" w:sz="8" w:color="CFF0FC"/>
            </w:tcBorders>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60"/>
              <w:spacing w:after="0"/>
              <w:rPr>
                <w:sz w:val="20"/>
                <w:szCs w:val="20"/>
                <w:color w:val="auto"/>
              </w:rPr>
            </w:pPr>
            <w:r>
              <w:rPr>
                <w:rFonts w:ascii="Arial" w:cs="Arial" w:eastAsia="Arial" w:hAnsi="Arial"/>
                <w:sz w:val="20"/>
                <w:szCs w:val="20"/>
                <w:color w:val="auto"/>
              </w:rPr>
              <w:t>Research and development</w:t>
            </w:r>
          </w:p>
        </w:tc>
        <w:tc>
          <w:tcPr>
            <w:tcW w:w="6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14,503,326</w:t>
            </w:r>
          </w:p>
        </w:tc>
        <w:tc>
          <w:tcPr>
            <w:tcW w:w="24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10,542,957</w:t>
            </w:r>
          </w:p>
        </w:tc>
        <w:tc>
          <w:tcPr>
            <w:tcW w:w="12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20"/>
                <w:szCs w:val="20"/>
                <w:color w:val="auto"/>
              </w:rPr>
              <w:t>31,099,014</w:t>
            </w:r>
          </w:p>
        </w:tc>
        <w:tc>
          <w:tcPr>
            <w:tcW w:w="100" w:type="dxa"/>
            <w:vAlign w:val="bottom"/>
          </w:tcPr>
          <w:p>
            <w:pPr>
              <w:spacing w:after="0"/>
              <w:rPr>
                <w:sz w:val="19"/>
                <w:szCs w:val="19"/>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38,064,357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General and administrative</w:t>
            </w:r>
          </w:p>
        </w:tc>
        <w:tc>
          <w:tcPr>
            <w:tcW w:w="62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16,344,361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7,235,877</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27,592,734</w:t>
            </w:r>
          </w:p>
        </w:tc>
        <w:tc>
          <w:tcPr>
            <w:tcW w:w="10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left w:val="single" w:sz="8" w:color="CFF0FC"/>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12,205,934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tcPr>
          <w:p>
            <w:pPr>
              <w:spacing w:after="0" w:line="223" w:lineRule="exact"/>
              <w:rPr>
                <w:sz w:val="20"/>
                <w:szCs w:val="20"/>
                <w:color w:val="auto"/>
              </w:rPr>
            </w:pPr>
            <w:r>
              <w:rPr>
                <w:rFonts w:ascii="Arial" w:cs="Arial" w:eastAsia="Arial" w:hAnsi="Arial"/>
                <w:sz w:val="20"/>
                <w:szCs w:val="20"/>
                <w:color w:val="auto"/>
              </w:rPr>
              <w:t>Total operating expenses</w:t>
            </w:r>
          </w:p>
        </w:tc>
        <w:tc>
          <w:tcPr>
            <w:tcW w:w="3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30,847,687</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17,778,834</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20"/>
              <w:spacing w:after="0" w:line="223" w:lineRule="exact"/>
              <w:rPr>
                <w:sz w:val="20"/>
                <w:szCs w:val="20"/>
                <w:color w:val="auto"/>
              </w:rPr>
            </w:pPr>
            <w:r>
              <w:rPr>
                <w:rFonts w:ascii="Arial" w:cs="Arial" w:eastAsia="Arial" w:hAnsi="Arial"/>
                <w:sz w:val="20"/>
                <w:szCs w:val="20"/>
                <w:color w:val="auto"/>
              </w:rPr>
              <w:t>58,691,748</w:t>
            </w: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50,270,291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Loss from operations</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line="223" w:lineRule="exact"/>
              <w:rPr>
                <w:sz w:val="20"/>
                <w:szCs w:val="20"/>
                <w:color w:val="auto"/>
              </w:rPr>
            </w:pPr>
            <w:r>
              <w:rPr>
                <w:rFonts w:ascii="Arial" w:cs="Arial" w:eastAsia="Arial" w:hAnsi="Arial"/>
                <w:sz w:val="20"/>
                <w:szCs w:val="20"/>
                <w:color w:val="auto"/>
              </w:rPr>
              <w:t>(30,847,687)</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line="223" w:lineRule="exact"/>
              <w:rPr>
                <w:sz w:val="20"/>
                <w:szCs w:val="20"/>
                <w:color w:val="auto"/>
              </w:rPr>
            </w:pPr>
            <w:r>
              <w:rPr>
                <w:rFonts w:ascii="Arial" w:cs="Arial" w:eastAsia="Arial" w:hAnsi="Arial"/>
                <w:sz w:val="20"/>
                <w:szCs w:val="20"/>
                <w:color w:val="auto"/>
              </w:rPr>
              <w:t>(17,778,834)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tcBorders>
              <w:right w:val="single" w:sz="8" w:color="CFF0FC"/>
            </w:tcBorders>
            <w:gridSpan w:val="3"/>
            <w:shd w:val="clear" w:color="auto" w:fill="CFF0FC"/>
          </w:tcPr>
          <w:p>
            <w:pPr>
              <w:jc w:val="right"/>
              <w:ind w:right="40"/>
              <w:spacing w:after="0" w:line="223" w:lineRule="exact"/>
              <w:rPr>
                <w:sz w:val="20"/>
                <w:szCs w:val="20"/>
                <w:color w:val="auto"/>
              </w:rPr>
            </w:pPr>
            <w:r>
              <w:rPr>
                <w:rFonts w:ascii="Arial" w:cs="Arial" w:eastAsia="Arial" w:hAnsi="Arial"/>
                <w:sz w:val="20"/>
                <w:szCs w:val="20"/>
                <w:color w:val="auto"/>
              </w:rPr>
              <w:t>(58,691,748)</w:t>
            </w:r>
          </w:p>
        </w:tc>
        <w:tc>
          <w:tcPr>
            <w:tcW w:w="300" w:type="dxa"/>
            <w:vAlign w:val="bottom"/>
            <w:tcBorders>
              <w:left w:val="single" w:sz="8" w:color="CFF0FC"/>
            </w:tcBorders>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line="223" w:lineRule="exact"/>
              <w:rPr>
                <w:sz w:val="20"/>
                <w:szCs w:val="20"/>
                <w:color w:val="auto"/>
              </w:rPr>
            </w:pPr>
            <w:r>
              <w:rPr>
                <w:rFonts w:ascii="Arial" w:cs="Arial" w:eastAsia="Arial" w:hAnsi="Arial"/>
                <w:sz w:val="20"/>
                <w:szCs w:val="20"/>
                <w:color w:val="auto"/>
              </w:rPr>
              <w:t>(50,270,291)</w:t>
            </w:r>
          </w:p>
        </w:tc>
        <w:tc>
          <w:tcPr>
            <w:tcW w:w="0" w:type="dxa"/>
            <w:vAlign w:val="bottom"/>
          </w:tcPr>
          <w:p>
            <w:pPr>
              <w:spacing w:after="0"/>
              <w:rPr>
                <w:sz w:val="1"/>
                <w:szCs w:val="1"/>
                <w:color w:val="auto"/>
              </w:rPr>
            </w:pPr>
          </w:p>
        </w:tc>
      </w:tr>
      <w:tr>
        <w:trPr>
          <w:trHeight w:val="226"/>
        </w:trPr>
        <w:tc>
          <w:tcPr>
            <w:tcW w:w="3980" w:type="dxa"/>
            <w:vAlign w:val="bottom"/>
          </w:tcPr>
          <w:p>
            <w:pPr>
              <w:spacing w:after="0" w:line="226" w:lineRule="exact"/>
              <w:rPr>
                <w:sz w:val="20"/>
                <w:szCs w:val="20"/>
                <w:color w:val="auto"/>
              </w:rPr>
            </w:pPr>
            <w:r>
              <w:rPr>
                <w:rFonts w:ascii="Arial" w:cs="Arial" w:eastAsia="Arial" w:hAnsi="Arial"/>
                <w:sz w:val="20"/>
                <w:szCs w:val="20"/>
                <w:color w:val="auto"/>
              </w:rPr>
              <w:t>Interest and amortization of debt discount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80" w:type="dxa"/>
            <w:vAlign w:val="bottom"/>
          </w:tcPr>
          <w:p>
            <w:pPr>
              <w:ind w:left="180"/>
              <w:spacing w:after="0" w:line="220" w:lineRule="exact"/>
              <w:rPr>
                <w:sz w:val="20"/>
                <w:szCs w:val="20"/>
                <w:color w:val="auto"/>
              </w:rPr>
            </w:pPr>
            <w:r>
              <w:rPr>
                <w:rFonts w:ascii="Arial" w:cs="Arial" w:eastAsia="Arial" w:hAnsi="Arial"/>
                <w:sz w:val="20"/>
                <w:szCs w:val="20"/>
                <w:color w:val="auto"/>
              </w:rPr>
              <w:t>(expense) income</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80"/>
              <w:spacing w:after="0" w:line="220" w:lineRule="exact"/>
              <w:rPr>
                <w:sz w:val="20"/>
                <w:szCs w:val="20"/>
                <w:color w:val="auto"/>
              </w:rPr>
            </w:pPr>
            <w:r>
              <w:rPr>
                <w:rFonts w:ascii="Arial" w:cs="Arial" w:eastAsia="Arial" w:hAnsi="Arial"/>
                <w:sz w:val="20"/>
                <w:szCs w:val="20"/>
                <w:color w:val="auto"/>
              </w:rPr>
              <w:t>(1,436,522)</w:t>
            </w:r>
          </w:p>
        </w:tc>
        <w:tc>
          <w:tcPr>
            <w:tcW w:w="280" w:type="dxa"/>
            <w:vAlign w:val="bottom"/>
          </w:tcPr>
          <w:p>
            <w:pPr>
              <w:spacing w:after="0"/>
              <w:rPr>
                <w:sz w:val="19"/>
                <w:szCs w:val="19"/>
                <w:color w:val="auto"/>
              </w:rPr>
            </w:pPr>
          </w:p>
        </w:tc>
        <w:tc>
          <w:tcPr>
            <w:tcW w:w="1300" w:type="dxa"/>
            <w:vAlign w:val="bottom"/>
            <w:gridSpan w:val="2"/>
          </w:tcPr>
          <w:p>
            <w:pPr>
              <w:jc w:val="right"/>
              <w:ind w:right="40"/>
              <w:spacing w:after="0" w:line="220" w:lineRule="exact"/>
              <w:rPr>
                <w:sz w:val="20"/>
                <w:szCs w:val="20"/>
                <w:color w:val="auto"/>
              </w:rPr>
            </w:pPr>
            <w:r>
              <w:rPr>
                <w:rFonts w:ascii="Arial" w:cs="Arial" w:eastAsia="Arial" w:hAnsi="Arial"/>
                <w:sz w:val="20"/>
                <w:szCs w:val="20"/>
                <w:color w:val="auto"/>
              </w:rPr>
              <w:t>(548,158)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40"/>
              <w:spacing w:after="0" w:line="220" w:lineRule="exact"/>
              <w:rPr>
                <w:sz w:val="20"/>
                <w:szCs w:val="20"/>
                <w:color w:val="auto"/>
              </w:rPr>
            </w:pPr>
            <w:r>
              <w:rPr>
                <w:rFonts w:ascii="Arial" w:cs="Arial" w:eastAsia="Arial" w:hAnsi="Arial"/>
                <w:sz w:val="20"/>
                <w:szCs w:val="20"/>
                <w:color w:val="auto"/>
              </w:rPr>
              <w:t>(2,852,431)</w:t>
            </w:r>
          </w:p>
        </w:tc>
        <w:tc>
          <w:tcPr>
            <w:tcW w:w="300" w:type="dxa"/>
            <w:vAlign w:val="bottom"/>
          </w:tcPr>
          <w:p>
            <w:pPr>
              <w:spacing w:after="0"/>
              <w:rPr>
                <w:sz w:val="19"/>
                <w:szCs w:val="19"/>
                <w:color w:val="auto"/>
              </w:rPr>
            </w:pPr>
          </w:p>
        </w:tc>
        <w:tc>
          <w:tcPr>
            <w:tcW w:w="1440" w:type="dxa"/>
            <w:vAlign w:val="bottom"/>
            <w:gridSpan w:val="2"/>
          </w:tcPr>
          <w:p>
            <w:pPr>
              <w:jc w:val="right"/>
              <w:ind w:right="40"/>
              <w:spacing w:after="0" w:line="220" w:lineRule="exact"/>
              <w:rPr>
                <w:sz w:val="20"/>
                <w:szCs w:val="20"/>
                <w:color w:val="auto"/>
              </w:rPr>
            </w:pPr>
            <w:r>
              <w:rPr>
                <w:rFonts w:ascii="Arial" w:cs="Arial" w:eastAsia="Arial" w:hAnsi="Arial"/>
                <w:sz w:val="20"/>
                <w:szCs w:val="20"/>
                <w:color w:val="auto"/>
              </w:rPr>
              <w:t>(540,847)</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spacing w:after="0"/>
              <w:rPr>
                <w:sz w:val="20"/>
                <w:szCs w:val="20"/>
                <w:color w:val="auto"/>
              </w:rPr>
            </w:pPr>
            <w:r>
              <w:rPr>
                <w:rFonts w:ascii="Arial" w:cs="Arial" w:eastAsia="Arial" w:hAnsi="Arial"/>
                <w:sz w:val="20"/>
                <w:szCs w:val="20"/>
                <w:color w:val="auto"/>
              </w:rPr>
              <w:t>Net loss</w:t>
            </w: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41"/>
              <w:spacing w:after="0" w:line="223" w:lineRule="exact"/>
              <w:rPr>
                <w:sz w:val="20"/>
                <w:szCs w:val="20"/>
                <w:color w:val="auto"/>
              </w:rPr>
            </w:pPr>
            <w:r>
              <w:rPr>
                <w:rFonts w:ascii="Arial" w:cs="Arial" w:eastAsia="Arial" w:hAnsi="Arial"/>
                <w:sz w:val="20"/>
                <w:szCs w:val="20"/>
                <w:color w:val="auto"/>
                <w:w w:val="89"/>
              </w:rPr>
              <w:t>$</w:t>
            </w:r>
          </w:p>
        </w:tc>
        <w:tc>
          <w:tcPr>
            <w:tcW w:w="1460" w:type="dxa"/>
            <w:vAlign w:val="bottom"/>
            <w:gridSpan w:val="2"/>
            <w:shd w:val="clear" w:color="auto" w:fill="CFF0FC"/>
          </w:tcPr>
          <w:p>
            <w:pPr>
              <w:jc w:val="right"/>
              <w:ind w:right="180"/>
              <w:spacing w:after="0" w:line="223" w:lineRule="exact"/>
              <w:rPr>
                <w:sz w:val="20"/>
                <w:szCs w:val="20"/>
                <w:color w:val="auto"/>
              </w:rPr>
            </w:pPr>
            <w:r>
              <w:rPr>
                <w:rFonts w:ascii="Arial" w:cs="Arial" w:eastAsia="Arial" w:hAnsi="Arial"/>
                <w:sz w:val="20"/>
                <w:szCs w:val="20"/>
                <w:color w:val="auto"/>
              </w:rPr>
              <w:t>(32,284,209)</w:t>
            </w:r>
          </w:p>
        </w:tc>
        <w:tc>
          <w:tcPr>
            <w:tcW w:w="280" w:type="dxa"/>
            <w:vAlign w:val="bottom"/>
            <w:shd w:val="clear" w:color="auto" w:fill="CFF0FC"/>
          </w:tcPr>
          <w:p>
            <w:pPr>
              <w:jc w:val="right"/>
              <w:ind w:right="81"/>
              <w:spacing w:after="0" w:line="223" w:lineRule="exact"/>
              <w:rPr>
                <w:sz w:val="20"/>
                <w:szCs w:val="20"/>
                <w:color w:val="auto"/>
              </w:rPr>
            </w:pPr>
            <w:r>
              <w:rPr>
                <w:rFonts w:ascii="Arial" w:cs="Arial" w:eastAsia="Arial" w:hAnsi="Arial"/>
                <w:sz w:val="20"/>
                <w:szCs w:val="20"/>
                <w:color w:val="auto"/>
                <w:w w:val="71"/>
              </w:rPr>
              <w:t>$</w:t>
            </w:r>
          </w:p>
        </w:tc>
        <w:tc>
          <w:tcPr>
            <w:tcW w:w="1300" w:type="dxa"/>
            <w:vAlign w:val="bottom"/>
            <w:gridSpan w:val="2"/>
            <w:shd w:val="clear" w:color="auto" w:fill="CFF0FC"/>
          </w:tcPr>
          <w:p>
            <w:pPr>
              <w:jc w:val="right"/>
              <w:ind w:right="40"/>
              <w:spacing w:after="0" w:line="223" w:lineRule="exact"/>
              <w:rPr>
                <w:sz w:val="20"/>
                <w:szCs w:val="20"/>
                <w:color w:val="auto"/>
              </w:rPr>
            </w:pPr>
            <w:r>
              <w:rPr>
                <w:rFonts w:ascii="Arial" w:cs="Arial" w:eastAsia="Arial" w:hAnsi="Arial"/>
                <w:sz w:val="20"/>
                <w:szCs w:val="20"/>
                <w:color w:val="auto"/>
              </w:rPr>
              <w:t>(18,326,992)</w:t>
            </w:r>
          </w:p>
        </w:tc>
        <w:tc>
          <w:tcPr>
            <w:tcW w:w="340" w:type="dxa"/>
            <w:vAlign w:val="bottom"/>
            <w:gridSpan w:val="3"/>
            <w:shd w:val="clear" w:color="auto" w:fill="CFF0FC"/>
          </w:tcPr>
          <w:p>
            <w:pPr>
              <w:jc w:val="right"/>
              <w:ind w:right="120"/>
              <w:spacing w:after="0" w:line="223" w:lineRule="exact"/>
              <w:rPr>
                <w:sz w:val="20"/>
                <w:szCs w:val="20"/>
                <w:color w:val="auto"/>
              </w:rPr>
            </w:pPr>
            <w:r>
              <w:rPr>
                <w:rFonts w:ascii="Arial" w:cs="Arial" w:eastAsia="Arial" w:hAnsi="Arial"/>
                <w:sz w:val="20"/>
                <w:szCs w:val="20"/>
                <w:color w:val="auto"/>
              </w:rPr>
              <w:t>$</w:t>
            </w:r>
          </w:p>
        </w:tc>
        <w:tc>
          <w:tcPr>
            <w:tcW w:w="1520" w:type="dxa"/>
            <w:vAlign w:val="bottom"/>
            <w:tcBorders>
              <w:right w:val="single" w:sz="8" w:color="CFF0FC"/>
            </w:tcBorders>
            <w:gridSpan w:val="3"/>
            <w:shd w:val="clear" w:color="auto" w:fill="CFF0FC"/>
          </w:tcPr>
          <w:p>
            <w:pPr>
              <w:jc w:val="right"/>
              <w:ind w:right="40"/>
              <w:spacing w:after="0" w:line="223" w:lineRule="exact"/>
              <w:rPr>
                <w:sz w:val="20"/>
                <w:szCs w:val="20"/>
                <w:color w:val="auto"/>
              </w:rPr>
            </w:pPr>
            <w:r>
              <w:rPr>
                <w:rFonts w:ascii="Arial" w:cs="Arial" w:eastAsia="Arial" w:hAnsi="Arial"/>
                <w:sz w:val="20"/>
                <w:szCs w:val="20"/>
                <w:color w:val="auto"/>
              </w:rPr>
              <w:t>(61,544,179)</w:t>
            </w:r>
          </w:p>
        </w:tc>
        <w:tc>
          <w:tcPr>
            <w:tcW w:w="300" w:type="dxa"/>
            <w:vAlign w:val="bottom"/>
            <w:tcBorders>
              <w:left w:val="single" w:sz="8" w:color="CFF0FC"/>
            </w:tcBorders>
            <w:shd w:val="clear" w:color="auto" w:fill="CFF0FC"/>
          </w:tcPr>
          <w:p>
            <w:pPr>
              <w:jc w:val="right"/>
              <w:ind w:right="101"/>
              <w:spacing w:after="0" w:line="223" w:lineRule="exact"/>
              <w:rPr>
                <w:sz w:val="20"/>
                <w:szCs w:val="20"/>
                <w:color w:val="auto"/>
              </w:rPr>
            </w:pPr>
            <w:r>
              <w:rPr>
                <w:rFonts w:ascii="Arial" w:cs="Arial" w:eastAsia="Arial" w:hAnsi="Arial"/>
                <w:sz w:val="20"/>
                <w:szCs w:val="20"/>
                <w:color w:val="auto"/>
                <w:w w:val="71"/>
              </w:rPr>
              <w:t>$</w:t>
            </w:r>
          </w:p>
        </w:tc>
        <w:tc>
          <w:tcPr>
            <w:tcW w:w="1440" w:type="dxa"/>
            <w:vAlign w:val="bottom"/>
            <w:gridSpan w:val="2"/>
            <w:shd w:val="clear" w:color="auto" w:fill="CFF0FC"/>
          </w:tcPr>
          <w:p>
            <w:pPr>
              <w:jc w:val="right"/>
              <w:ind w:right="40"/>
              <w:spacing w:after="0" w:line="223" w:lineRule="exact"/>
              <w:rPr>
                <w:sz w:val="20"/>
                <w:szCs w:val="20"/>
                <w:color w:val="auto"/>
              </w:rPr>
            </w:pPr>
            <w:r>
              <w:rPr>
                <w:rFonts w:ascii="Arial" w:cs="Arial" w:eastAsia="Arial" w:hAnsi="Arial"/>
                <w:sz w:val="20"/>
                <w:szCs w:val="20"/>
                <w:color w:val="auto"/>
              </w:rPr>
              <w:t>(50,811,138)</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Net loss per common share,</w:t>
            </w:r>
          </w:p>
        </w:tc>
        <w:tc>
          <w:tcPr>
            <w:tcW w:w="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980" w:type="dxa"/>
            <w:vAlign w:val="bottom"/>
          </w:tcPr>
          <w:p>
            <w:pPr>
              <w:ind w:left="180"/>
              <w:spacing w:after="0" w:line="220" w:lineRule="exact"/>
              <w:rPr>
                <w:sz w:val="20"/>
                <w:szCs w:val="20"/>
                <w:color w:val="auto"/>
              </w:rPr>
            </w:pPr>
            <w:r>
              <w:rPr>
                <w:rFonts w:ascii="Arial" w:cs="Arial" w:eastAsia="Arial" w:hAnsi="Arial"/>
                <w:sz w:val="20"/>
                <w:szCs w:val="20"/>
                <w:color w:val="auto"/>
              </w:rPr>
              <w:t>basic and diluted</w:t>
            </w:r>
          </w:p>
        </w:tc>
        <w:tc>
          <w:tcPr>
            <w:tcW w:w="620" w:type="dxa"/>
            <w:vAlign w:val="bottom"/>
            <w:gridSpan w:val="2"/>
          </w:tcPr>
          <w:p>
            <w:pPr>
              <w:jc w:val="right"/>
              <w:ind w:right="41"/>
              <w:spacing w:after="0" w:line="220" w:lineRule="exact"/>
              <w:rPr>
                <w:sz w:val="20"/>
                <w:szCs w:val="20"/>
                <w:color w:val="auto"/>
              </w:rPr>
            </w:pPr>
            <w:r>
              <w:rPr>
                <w:rFonts w:ascii="Arial" w:cs="Arial" w:eastAsia="Arial" w:hAnsi="Arial"/>
                <w:sz w:val="20"/>
                <w:szCs w:val="20"/>
                <w:color w:val="auto"/>
              </w:rPr>
              <w:t>$</w:t>
            </w:r>
          </w:p>
        </w:tc>
        <w:tc>
          <w:tcPr>
            <w:tcW w:w="1460" w:type="dxa"/>
            <w:vAlign w:val="bottom"/>
            <w:gridSpan w:val="2"/>
          </w:tcPr>
          <w:p>
            <w:pPr>
              <w:jc w:val="right"/>
              <w:ind w:right="180"/>
              <w:spacing w:after="0" w:line="220" w:lineRule="exact"/>
              <w:rPr>
                <w:sz w:val="20"/>
                <w:szCs w:val="20"/>
                <w:color w:val="auto"/>
              </w:rPr>
            </w:pPr>
            <w:r>
              <w:rPr>
                <w:rFonts w:ascii="Arial" w:cs="Arial" w:eastAsia="Arial" w:hAnsi="Arial"/>
                <w:sz w:val="20"/>
                <w:szCs w:val="20"/>
                <w:color w:val="auto"/>
              </w:rPr>
              <w:t>(0.86)</w:t>
            </w:r>
          </w:p>
        </w:tc>
        <w:tc>
          <w:tcPr>
            <w:tcW w:w="280" w:type="dxa"/>
            <w:vAlign w:val="bottom"/>
          </w:tcPr>
          <w:p>
            <w:pPr>
              <w:jc w:val="right"/>
              <w:ind w:right="81"/>
              <w:spacing w:after="0" w:line="220" w:lineRule="exact"/>
              <w:rPr>
                <w:sz w:val="20"/>
                <w:szCs w:val="20"/>
                <w:color w:val="auto"/>
              </w:rPr>
            </w:pPr>
            <w:r>
              <w:rPr>
                <w:rFonts w:ascii="Arial" w:cs="Arial" w:eastAsia="Arial" w:hAnsi="Arial"/>
                <w:sz w:val="20"/>
                <w:szCs w:val="20"/>
                <w:color w:val="auto"/>
                <w:w w:val="71"/>
              </w:rPr>
              <w:t>$</w:t>
            </w:r>
          </w:p>
        </w:tc>
        <w:tc>
          <w:tcPr>
            <w:tcW w:w="1300" w:type="dxa"/>
            <w:vAlign w:val="bottom"/>
            <w:gridSpan w:val="2"/>
          </w:tcPr>
          <w:p>
            <w:pPr>
              <w:jc w:val="right"/>
              <w:ind w:right="40"/>
              <w:spacing w:after="0" w:line="220" w:lineRule="exact"/>
              <w:rPr>
                <w:sz w:val="20"/>
                <w:szCs w:val="20"/>
                <w:color w:val="auto"/>
              </w:rPr>
            </w:pPr>
            <w:r>
              <w:rPr>
                <w:rFonts w:ascii="Arial" w:cs="Arial" w:eastAsia="Arial" w:hAnsi="Arial"/>
                <w:sz w:val="20"/>
                <w:szCs w:val="20"/>
                <w:color w:val="auto"/>
              </w:rPr>
              <w:t>(0.49)</w:t>
            </w:r>
          </w:p>
        </w:tc>
        <w:tc>
          <w:tcPr>
            <w:tcW w:w="340" w:type="dxa"/>
            <w:vAlign w:val="bottom"/>
            <w:gridSpan w:val="3"/>
          </w:tcPr>
          <w:p>
            <w:pPr>
              <w:jc w:val="right"/>
              <w:ind w:right="120"/>
              <w:spacing w:after="0" w:line="220" w:lineRule="exact"/>
              <w:rPr>
                <w:sz w:val="20"/>
                <w:szCs w:val="20"/>
                <w:color w:val="auto"/>
              </w:rPr>
            </w:pPr>
            <w:r>
              <w:rPr>
                <w:rFonts w:ascii="Arial" w:cs="Arial" w:eastAsia="Arial" w:hAnsi="Arial"/>
                <w:sz w:val="20"/>
                <w:szCs w:val="20"/>
                <w:color w:val="auto"/>
              </w:rPr>
              <w:t>$</w:t>
            </w:r>
          </w:p>
        </w:tc>
        <w:tc>
          <w:tcPr>
            <w:tcW w:w="1520" w:type="dxa"/>
            <w:vAlign w:val="bottom"/>
            <w:gridSpan w:val="3"/>
          </w:tcPr>
          <w:p>
            <w:pPr>
              <w:jc w:val="right"/>
              <w:ind w:right="40"/>
              <w:spacing w:after="0" w:line="220" w:lineRule="exact"/>
              <w:rPr>
                <w:sz w:val="20"/>
                <w:szCs w:val="20"/>
                <w:color w:val="auto"/>
              </w:rPr>
            </w:pPr>
            <w:r>
              <w:rPr>
                <w:rFonts w:ascii="Arial" w:cs="Arial" w:eastAsia="Arial" w:hAnsi="Arial"/>
                <w:sz w:val="20"/>
                <w:szCs w:val="20"/>
                <w:color w:val="auto"/>
              </w:rPr>
              <w:t>(1.64)</w:t>
            </w:r>
          </w:p>
        </w:tc>
        <w:tc>
          <w:tcPr>
            <w:tcW w:w="300" w:type="dxa"/>
            <w:vAlign w:val="bottom"/>
          </w:tcPr>
          <w:p>
            <w:pPr>
              <w:jc w:val="right"/>
              <w:ind w:right="101"/>
              <w:spacing w:after="0" w:line="220" w:lineRule="exact"/>
              <w:rPr>
                <w:sz w:val="20"/>
                <w:szCs w:val="20"/>
                <w:color w:val="auto"/>
              </w:rPr>
            </w:pPr>
            <w:r>
              <w:rPr>
                <w:rFonts w:ascii="Arial" w:cs="Arial" w:eastAsia="Arial" w:hAnsi="Arial"/>
                <w:sz w:val="20"/>
                <w:szCs w:val="20"/>
                <w:color w:val="auto"/>
                <w:w w:val="71"/>
              </w:rPr>
              <w:t>$</w:t>
            </w:r>
          </w:p>
        </w:tc>
        <w:tc>
          <w:tcPr>
            <w:tcW w:w="1440" w:type="dxa"/>
            <w:vAlign w:val="bottom"/>
            <w:gridSpan w:val="2"/>
          </w:tcPr>
          <w:p>
            <w:pPr>
              <w:jc w:val="right"/>
              <w:ind w:right="40"/>
              <w:spacing w:after="0" w:line="220" w:lineRule="exact"/>
              <w:rPr>
                <w:sz w:val="20"/>
                <w:szCs w:val="20"/>
                <w:color w:val="auto"/>
              </w:rPr>
            </w:pPr>
            <w:r>
              <w:rPr>
                <w:rFonts w:ascii="Arial" w:cs="Arial" w:eastAsia="Arial" w:hAnsi="Arial"/>
                <w:sz w:val="20"/>
                <w:szCs w:val="20"/>
                <w:color w:val="auto"/>
              </w:rPr>
              <w:t>(1.37)</w:t>
            </w:r>
          </w:p>
        </w:tc>
        <w:tc>
          <w:tcPr>
            <w:tcW w:w="0" w:type="dxa"/>
            <w:vAlign w:val="bottom"/>
          </w:tcPr>
          <w:p>
            <w:pPr>
              <w:spacing w:after="0"/>
              <w:rPr>
                <w:sz w:val="1"/>
                <w:szCs w:val="1"/>
                <w:color w:val="auto"/>
              </w:rPr>
            </w:pPr>
          </w:p>
        </w:tc>
      </w:tr>
      <w:tr>
        <w:trPr>
          <w:trHeight w:val="206"/>
        </w:trPr>
        <w:tc>
          <w:tcPr>
            <w:tcW w:w="3980" w:type="dxa"/>
            <w:vAlign w:val="bottom"/>
            <w:tcBorders>
              <w:top w:val="single" w:sz="8" w:color="CFF0FC"/>
            </w:tcBorders>
            <w:shd w:val="clear" w:color="auto" w:fill="CFF0FC"/>
          </w:tcPr>
          <w:p>
            <w:pPr>
              <w:spacing w:after="0" w:line="207" w:lineRule="exact"/>
              <w:rPr>
                <w:sz w:val="20"/>
                <w:szCs w:val="20"/>
                <w:color w:val="auto"/>
              </w:rPr>
            </w:pPr>
            <w:r>
              <w:rPr>
                <w:rFonts w:ascii="Arial" w:cs="Arial" w:eastAsia="Arial" w:hAnsi="Arial"/>
                <w:sz w:val="20"/>
                <w:szCs w:val="20"/>
                <w:color w:val="auto"/>
              </w:rPr>
              <w:t>Weighted average common shares</w:t>
            </w:r>
          </w:p>
        </w:tc>
        <w:tc>
          <w:tcPr>
            <w:tcW w:w="3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right w:val="single" w:sz="8" w:color="CFF0FC"/>
            </w:tcBorders>
            <w:shd w:val="clear" w:color="auto" w:fill="CFF0FC"/>
          </w:tcPr>
          <w:p>
            <w:pPr>
              <w:spacing w:after="0"/>
              <w:rPr>
                <w:sz w:val="17"/>
                <w:szCs w:val="17"/>
                <w:color w:val="auto"/>
              </w:rPr>
            </w:pPr>
          </w:p>
        </w:tc>
        <w:tc>
          <w:tcPr>
            <w:tcW w:w="300" w:type="dxa"/>
            <w:vAlign w:val="bottom"/>
            <w:tcBorders>
              <w:top w:val="single" w:sz="8" w:color="auto"/>
              <w:left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80" w:type="dxa"/>
            <w:vAlign w:val="bottom"/>
            <w:tcBorders>
              <w:bottom w:val="single" w:sz="8" w:color="CFF0FC"/>
            </w:tcBorders>
            <w:shd w:val="clear" w:color="auto" w:fill="CFF0FC"/>
          </w:tcPr>
          <w:p>
            <w:pPr>
              <w:ind w:left="180"/>
              <w:spacing w:after="0" w:line="220" w:lineRule="exact"/>
              <w:rPr>
                <w:sz w:val="20"/>
                <w:szCs w:val="20"/>
                <w:color w:val="auto"/>
              </w:rPr>
            </w:pPr>
            <w:r>
              <w:rPr>
                <w:rFonts w:ascii="Arial" w:cs="Arial" w:eastAsia="Arial" w:hAnsi="Arial"/>
                <w:sz w:val="20"/>
                <w:szCs w:val="20"/>
                <w:color w:val="auto"/>
              </w:rPr>
              <w:t>outstanding, basic and diluted</w:t>
            </w:r>
          </w:p>
        </w:tc>
        <w:tc>
          <w:tcPr>
            <w:tcW w:w="3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220" w:lineRule="exact"/>
              <w:rPr>
                <w:sz w:val="20"/>
                <w:szCs w:val="20"/>
                <w:color w:val="auto"/>
              </w:rPr>
            </w:pPr>
            <w:r>
              <w:rPr>
                <w:rFonts w:ascii="Arial" w:cs="Arial" w:eastAsia="Arial" w:hAnsi="Arial"/>
                <w:sz w:val="20"/>
                <w:szCs w:val="20"/>
                <w:color w:val="auto"/>
              </w:rPr>
              <w:t>37,595,069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20" w:lineRule="exact"/>
              <w:rPr>
                <w:sz w:val="20"/>
                <w:szCs w:val="20"/>
                <w:color w:val="auto"/>
              </w:rPr>
            </w:pPr>
            <w:r>
              <w:rPr>
                <w:rFonts w:ascii="Arial" w:cs="Arial" w:eastAsia="Arial" w:hAnsi="Arial"/>
                <w:sz w:val="20"/>
                <w:szCs w:val="20"/>
                <w:color w:val="auto"/>
              </w:rPr>
              <w:t>37,100,770</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line="220" w:lineRule="exact"/>
              <w:rPr>
                <w:sz w:val="20"/>
                <w:szCs w:val="20"/>
                <w:color w:val="auto"/>
              </w:rPr>
            </w:pPr>
            <w:r>
              <w:rPr>
                <w:rFonts w:ascii="Arial" w:cs="Arial" w:eastAsia="Arial" w:hAnsi="Arial"/>
                <w:sz w:val="20"/>
                <w:szCs w:val="20"/>
                <w:color w:val="auto"/>
              </w:rPr>
              <w:t>37,512,716</w:t>
            </w:r>
          </w:p>
        </w:tc>
        <w:tc>
          <w:tcPr>
            <w:tcW w:w="100" w:type="dxa"/>
            <w:vAlign w:val="bottom"/>
            <w:tcBorders>
              <w:bottom w:val="single" w:sz="8" w:color="CFF0FC"/>
              <w:right w:val="single" w:sz="8" w:color="CFF0FC"/>
            </w:tcBorders>
            <w:shd w:val="clear" w:color="auto" w:fill="CFF0FC"/>
          </w:tcPr>
          <w:p>
            <w:pPr>
              <w:spacing w:after="0"/>
              <w:rPr>
                <w:sz w:val="19"/>
                <w:szCs w:val="19"/>
                <w:color w:val="auto"/>
              </w:rPr>
            </w:pPr>
          </w:p>
        </w:tc>
        <w:tc>
          <w:tcPr>
            <w:tcW w:w="300" w:type="dxa"/>
            <w:vAlign w:val="bottom"/>
            <w:tcBorders>
              <w:left w:val="single" w:sz="8" w:color="CFF0FC"/>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line="220" w:lineRule="exact"/>
              <w:rPr>
                <w:sz w:val="20"/>
                <w:szCs w:val="20"/>
                <w:color w:val="auto"/>
              </w:rPr>
            </w:pPr>
            <w:r>
              <w:rPr>
                <w:rFonts w:ascii="Arial" w:cs="Arial" w:eastAsia="Arial" w:hAnsi="Arial"/>
                <w:sz w:val="20"/>
                <w:szCs w:val="20"/>
                <w:color w:val="auto"/>
              </w:rPr>
              <w:t>37,081,064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Information:</w:t>
            </w: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980" w:type="dxa"/>
            <w:vAlign w:val="bottom"/>
            <w:tcBorders>
              <w:bottom w:val="single" w:sz="8" w:color="CFF0FC"/>
            </w:tcBorders>
          </w:tcPr>
          <w:p>
            <w:pPr>
              <w:spacing w:after="0"/>
              <w:rPr>
                <w:sz w:val="15"/>
                <w:szCs w:val="15"/>
                <w:color w:val="auto"/>
              </w:rPr>
            </w:pPr>
          </w:p>
        </w:tc>
        <w:tc>
          <w:tcPr>
            <w:tcW w:w="36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122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Cash and cash equivalents</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80"/>
              <w:spacing w:after="0" w:line="223" w:lineRule="exact"/>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141,219,090</w:t>
            </w:r>
          </w:p>
        </w:tc>
        <w:tc>
          <w:tcPr>
            <w:tcW w:w="1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left w:val="single" w:sz="8" w:color="CFF0FC"/>
            </w:tcBorders>
            <w:shd w:val="clear" w:color="auto" w:fill="CFF0FC"/>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183,876,453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20"/>
                <w:szCs w:val="20"/>
                <w:color w:val="auto"/>
              </w:rPr>
              <w:t>Total assets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143,264,750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186,134,323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Loan payable, current and long-term</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48,882,599</w:t>
            </w:r>
          </w:p>
        </w:tc>
        <w:tc>
          <w:tcPr>
            <w:tcW w:w="1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left w:val="single" w:sz="8" w:color="CFF0FC"/>
            </w:tcBorders>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48,321,848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20"/>
                <w:szCs w:val="20"/>
                <w:color w:val="auto"/>
              </w:rPr>
              <w:t>Accumulated deficit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20"/>
                <w:szCs w:val="20"/>
                <w:color w:val="auto"/>
              </w:rPr>
              <w:t>(340,340,272)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20"/>
                <w:szCs w:val="20"/>
                <w:color w:val="auto"/>
              </w:rPr>
              <w:t>(278,796,093)</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Stockholders’ equity</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71,436,620</w:t>
            </w:r>
          </w:p>
        </w:tc>
        <w:tc>
          <w:tcPr>
            <w:tcW w:w="14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left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113,792,909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22 Cortlandt Street, 16th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6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80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color w:val="auto"/>
        </w:rPr>
        <w:t>Axsome Therapeutics Announces AXS-05 Achieves Primary and Key Secondary Endpoints in the MERIT Phase 2 Trial in Treatment Resistant Depression</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8"/>
          <w:szCs w:val="18"/>
          <w:i w:val="1"/>
          <w:iCs w:val="1"/>
          <w:color w:val="auto"/>
        </w:rPr>
        <w:t>AXS-05 significantly delayed the time to relapse of depression compared to placebo (p=0.002, primary endpoint)</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AXS-05 significantly prevented relapse of depression over at least 6 months compared to placebo (p=0.004, key secondary endpoint)</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NEW YORK, August 9, 2021 (Globe Newswire) – Axsome Therapeutics, Inc. (NASDAQ: AXSM), a biopharmaceutical company developing novel therapies for the management of central nervous system (CNS) disorders, today announced that AXS-05, a novel, oral, investigational NMDA receptor antagonist with multimodal activity, met the primary and key secondary endpoints in the MERIT (Mechanistic Evaluation of Response in TRD) Phase 2 trial, and substantially and statistically significantly prevented relapse of depressive symptoms compared to placebo in patients with treatment resistant depression (TRD). The MERIT study was a randomized, double-blind, placebo-controlled, relapse prevention, multi-center, U.S. trial, which evaluated 44 TRD patients. Patients in stable remission after treatment with AXS-05 were randomized to continue treatment with AXS-05 or to discontinue AXS-05 and switch to placebo.</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AXS-05 met the primary endpoint by substantially and statistically significantly delaying the time to relapse of depressive symptoms as compared to placebo (p=0.002), with no relapses observed with AXS-05 over at least 6 months of double-blind treatment. AXS-05 also met the key secondary endpoint of relapse prevention, based on the rates of relapse during the double-blind treatment period (0.0% of AXS-05 patients, 36.4% of patients switched from AXS-05 to placebo, p=0.004).</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AXS-05 was well tolerated in the trial. There were no treatment-emergent adverse events reported in &gt;1 patient in the AXS-05 group. One subject in the AXS-05 group experienced two serious adverse events (gout and bacteremia), both of which were deemed not related to the study medication.</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new drug application (NDA) for AXS-05 for the treatment of major depressive disorder is under Priority Review by the U.S. Food and Drug Administration (FDA), with a Prescription Drug User Fee Act (PDUFA) target action date of August 22,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MERIT Study</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MERIT was a Phase 2, randomized, double-blind, placebo-controlled, multi-center study to evaluate AXS-05 compared to placebo in preventing relapse of depressive symptoms in patients with treatment resistant depression (TRD). Treatment resistance was defined as ongoing symptoms of depression despite receiving treatment with two or more prior antidepressants during the current major depressive episode. TRD patients were enrolled into MERIT from the long-term, open-label Phase 3 trial of AXS-05, and were required to be in stable remission prior to randomization. Stable remission was defined as at least two consecutive Montgomery-Åsberg Depression Rating Scale (MADRS) scores of ≤12, separated by at least 4 weeks.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total of 44 TRD patients who experienced a stable remission after up to 12 months of open-label treatment with AXS-05 (45 mg dextromethorphan-105 mg bupropion) tablets twice daily, were randomized 1:1 to continue AXS-05, or to discontinue AXS-05 and switch to placebo, in a double-blind fashion, for at least 26 weeks or until a relapse of depressive symptoms occurred. Relapse was defined in the study by one or more of the following: MADRS total score ≥18 for 2 consecutive assessments; a ≥2-point increase from randomization in the Clinical Global Impression of Severity, with a minimum CGI-S score of 4, for 2 consecutive assessments; hospitalization due to worsening of depression or risk of suicide; investigator determination of relapse or need for additional antidepressant or treatment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primary endpoint in the study was time from randomization to relapse calculated by the Kaplan-Meier estimates and the hazard ratio.</w:t>
      </w:r>
    </w:p>
    <w:p>
      <w:pPr>
        <w:spacing w:after="0"/>
        <w:rPr>
          <w:sz w:val="20"/>
          <w:szCs w:val="20"/>
          <w:color w:val="auto"/>
        </w:rPr>
      </w:pPr>
      <w:r>
        <w:rPr>
          <w:rFonts w:ascii="Arial" w:cs="Arial" w:eastAsia="Arial" w:hAnsi="Arial"/>
          <w:sz w:val="18"/>
          <w:szCs w:val="18"/>
          <w:color w:val="auto"/>
        </w:rPr>
        <w:t>The key secondary endpoint, to assess relapse prevention, was the percentage of patients without relapse.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 of U.S. adults, or approximately 19 million, experience MDD each year</w:t>
      </w:r>
      <w:r>
        <w:rPr>
          <w:rFonts w:ascii="Arial" w:cs="Arial" w:eastAsia="Arial" w:hAnsi="Arial"/>
          <w:sz w:val="15"/>
          <w:szCs w:val="15"/>
          <w:color w:val="auto"/>
        </w:rPr>
        <w:t>1</w:t>
      </w:r>
      <w:r>
        <w:rPr>
          <w:rFonts w:ascii="Arial" w:cs="Arial" w:eastAsia="Arial" w:hAnsi="Arial"/>
          <w:sz w:val="18"/>
          <w:szCs w:val="18"/>
          <w:color w:val="auto"/>
        </w:rPr>
        <w:t>. According to the World Health Organization (WHO), depression is the leading cause of disability worldwide, and is a major contributor to the overall global burden of disease</w:t>
      </w:r>
      <w:r>
        <w:rPr>
          <w:rFonts w:ascii="Arial" w:cs="Arial" w:eastAsia="Arial" w:hAnsi="Arial"/>
          <w:sz w:val="15"/>
          <w:szCs w:val="15"/>
          <w:color w:val="auto"/>
        </w:rPr>
        <w:t>2</w:t>
      </w:r>
      <w:r>
        <w:rPr>
          <w:rFonts w:ascii="Arial" w:cs="Arial" w:eastAsia="Arial" w:hAnsi="Arial"/>
          <w:sz w:val="18"/>
          <w:szCs w:val="18"/>
          <w:color w:val="auto"/>
        </w:rPr>
        <w:t>. Nearly two-thirds of diagnosed and treated patients do not experience adequate treatment response with currently available first-line therapy</w:t>
      </w:r>
      <w:r>
        <w:rPr>
          <w:rFonts w:ascii="Arial" w:cs="Arial" w:eastAsia="Arial" w:hAnsi="Arial"/>
          <w:sz w:val="15"/>
          <w:szCs w:val="15"/>
          <w:color w:val="auto"/>
        </w:rPr>
        <w:t>3</w:t>
      </w:r>
      <w:r>
        <w:rPr>
          <w:rFonts w:ascii="Arial" w:cs="Arial" w:eastAsia="Arial" w:hAnsi="Arial"/>
          <w:sz w:val="18"/>
          <w:szCs w:val="18"/>
          <w:color w:val="auto"/>
        </w:rPr>
        <w:t>, highlighting the need for additional therapies with new mechanisms of action. The majority of initial failures also fail second-line treatment. Patients diagnosed with MDD are defined as having treatment resistant depression (TRD) if they have failed to respond to two or more antidepressant therapies.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AXS-05 (dextromethorphan-bupropion) is a novel, oral, patent-protected, investigational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N-methyl-D-aspartate (NMDA) receptor antagonist, also known as a glutamate receptor modulator, which is a novel mechanism of action, meaning it works differently than currently approved oral therapies for major depressive disorder. The dextromethorphan component of AXS-05 is also a sigma-1 receptor agonist. The bupropion component of AXS-05 serves to increase the bioavailability of dextromethorphan, and is a norepinephrine and dopamine reuptake inhibitor. AXS-05 is currently covered by more than 100 issued U.S. and international patents, with expiration dates out to 2040. AXS-05 has been granted U.S. Food and Drug Administration (FDA) Breakthrough Therapy designations for the treatment of MDD and for treatment of Alzheimer’s disease agitation. A new drug application (NDA) for AXS-05 for the treatment of major depressive disorder is under Priority Review by the FDA, with a Prescription Drug User Fee Act (PDUFA) target action date of August 22, 2021. AXS-05 is not approved by the FDA.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intensely committed to developing products that meaningfully improve the lives of patients and provide additional therapeutic options for physicians. For more information, please visit the Company’s website at axsome.com. The Company may occasionally disseminate material, nonpublic information on the company website.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193" w:lineRule="exact"/>
        <w:rPr>
          <w:sz w:val="20"/>
          <w:szCs w:val="20"/>
          <w:color w:val="auto"/>
        </w:rPr>
      </w:pPr>
    </w:p>
    <w:p>
      <w:pPr>
        <w:ind w:left="400" w:right="20" w:hanging="392"/>
        <w:spacing w:after="0" w:line="246"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Substance Abuse and Mental Health Services Administration. (2020). Results from the 2019 National Survey on Drug Use and Health. Retrieved from </w:t>
      </w:r>
      <w:r>
        <w:rPr>
          <w:rFonts w:ascii="Arial" w:cs="Arial" w:eastAsia="Arial" w:hAnsi="Arial"/>
          <w:sz w:val="18"/>
          <w:szCs w:val="18"/>
          <w:u w:val="single" w:color="auto"/>
          <w:color w:val="auto"/>
        </w:rPr>
        <w:t>https://www.samhsa.gov/data/</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World Health Organization. Fact Sheets: Depression.</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Rush AJ, et al. (2007) Am J. Psychiatry 163:11, pp. 1905-1917 (STAR*D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 Looking Statements</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the successful submission of and approval by the FDA of an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22 Cortlandt Street, 16th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sectPr>
      <w:pgSz w:w="11900" w:h="16838" w:orient="portrait"/>
      <w:cols w:equalWidth="0" w:num="1">
        <w:col w:w="11240"/>
      </w:cols>
      <w:pgMar w:left="320" w:top="7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o"/>
      <w:numFmt w:val="bullet"/>
      <w:start w:val="1"/>
    </w:lvl>
  </w:abstractNum>
  <w:abstractNum w:abstractNumId="10">
    <w:nsid w:val="3352255A"/>
    <w:multiLevelType w:val="hybridMultilevel"/>
    <w:lvl w:ilvl="0">
      <w:lvlJc w:val="left"/>
      <w:lvlText w:val="•"/>
      <w:numFmt w:val="bullet"/>
      <w:start w:val="1"/>
    </w:lvl>
    <w:lvl w:ilvl="1">
      <w:lvlJc w:val="left"/>
      <w:lvlText w:val="o"/>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2021-08-09T06:35:06Z</dcterms:created>
  <dcterms:modified xsi:type="dcterms:W3CDTF">2021-08-09T06:35:06Z</dcterms:modified>
</cp:coreProperties>
</file>