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240" w:right="80" w:hanging="237"/>
        <w:spacing w:after="0" w:line="237" w:lineRule="auto"/>
        <w:tabs>
          <w:tab w:leader="none" w:pos="2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3"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 the quarterly period ended September 30, 2017</w:t>
      </w:r>
    </w:p>
    <w:p>
      <w:pPr>
        <w:spacing w:after="0" w:line="109"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240" w:right="80" w:hanging="237"/>
        <w:spacing w:after="0" w:line="237" w:lineRule="auto"/>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68580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AXSOME THERAPEUTICS, INC.</w:t>
      </w: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1"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863"/>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35"/>
        </w:trPr>
        <w:tc>
          <w:tcPr>
            <w:tcW w:w="3540" w:type="dxa"/>
            <w:vAlign w:val="bottom"/>
          </w:tcPr>
          <w:p>
            <w:pPr>
              <w:jc w:val="center"/>
              <w:ind w:right="838"/>
              <w:spacing w:after="0" w:line="135" w:lineRule="exact"/>
              <w:rPr>
                <w:sz w:val="20"/>
                <w:szCs w:val="20"/>
                <w:color w:val="auto"/>
              </w:rPr>
            </w:pPr>
            <w:r>
              <w:rPr>
                <w:rFonts w:ascii="Arial" w:cs="Arial" w:eastAsia="Arial" w:hAnsi="Arial"/>
                <w:sz w:val="14"/>
                <w:szCs w:val="14"/>
                <w:color w:val="auto"/>
                <w:w w:val="94"/>
              </w:rPr>
              <w:t>(State or other jurisdiction of</w:t>
            </w:r>
          </w:p>
        </w:tc>
        <w:tc>
          <w:tcPr>
            <w:tcW w:w="3680" w:type="dxa"/>
            <w:vAlign w:val="bottom"/>
          </w:tcPr>
          <w:p>
            <w:pPr>
              <w:jc w:val="center"/>
              <w:ind w:left="863"/>
              <w:spacing w:after="0" w:line="135"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incorporation or organization)</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50"/>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25 Broadway</w:t>
            </w:r>
          </w:p>
        </w:tc>
        <w:tc>
          <w:tcPr>
            <w:tcW w:w="3680" w:type="dxa"/>
            <w:vAlign w:val="bottom"/>
            <w:vMerge w:val="restart"/>
          </w:tcPr>
          <w:p>
            <w:pPr>
              <w:jc w:val="right"/>
              <w:ind w:right="1083"/>
              <w:spacing w:after="0"/>
              <w:rPr>
                <w:sz w:val="20"/>
                <w:szCs w:val="20"/>
                <w:color w:val="auto"/>
              </w:rPr>
            </w:pPr>
            <w:r>
              <w:rPr>
                <w:rFonts w:ascii="Arial" w:cs="Arial" w:eastAsia="Arial" w:hAnsi="Arial"/>
                <w:sz w:val="18"/>
                <w:szCs w:val="18"/>
                <w:b w:val="1"/>
                <w:bCs w:val="1"/>
                <w:color w:val="auto"/>
              </w:rPr>
              <w:t>10004</w:t>
            </w: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1"/>
              </w:rPr>
              <w:t>9</w:t>
            </w:r>
            <w:r>
              <w:rPr>
                <w:rFonts w:ascii="Arial" w:cs="Arial" w:eastAsia="Arial" w:hAnsi="Arial"/>
                <w:sz w:val="8"/>
                <w:szCs w:val="8"/>
                <w:b w:val="1"/>
                <w:bCs w:val="1"/>
                <w:color w:val="auto"/>
                <w:w w:val="91"/>
              </w:rPr>
              <w:t>th</w:t>
            </w:r>
            <w:r>
              <w:rPr>
                <w:rFonts w:ascii="Arial" w:cs="Arial" w:eastAsia="Arial" w:hAnsi="Arial"/>
                <w:sz w:val="18"/>
                <w:szCs w:val="18"/>
                <w:b w:val="1"/>
                <w:bCs w:val="1"/>
                <w:color w:val="auto"/>
                <w:w w:val="91"/>
              </w:rPr>
              <w:t xml:space="preserve"> Floor</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18"/>
              <w:spacing w:after="0"/>
              <w:rPr>
                <w:sz w:val="20"/>
                <w:szCs w:val="20"/>
                <w:color w:val="auto"/>
              </w:rPr>
            </w:pPr>
            <w:r>
              <w:rPr>
                <w:rFonts w:ascii="Arial" w:cs="Arial" w:eastAsia="Arial" w:hAnsi="Arial"/>
                <w:sz w:val="14"/>
                <w:szCs w:val="14"/>
                <w:color w:val="auto"/>
                <w:w w:val="95"/>
              </w:rPr>
              <w:t>(Address of principal executive offices)</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220" w:type="dxa"/>
            <w:vAlign w:val="bottom"/>
            <w:gridSpan w:val="2"/>
          </w:tcPr>
          <w:p>
            <w:pPr>
              <w:jc w:val="center"/>
              <w:ind w:right="3"/>
              <w:spacing w:after="0"/>
              <w:rPr>
                <w:sz w:val="20"/>
                <w:szCs w:val="20"/>
                <w:color w:val="auto"/>
              </w:rPr>
            </w:pPr>
            <w:r>
              <w:rPr>
                <w:rFonts w:ascii="Arial" w:cs="Arial" w:eastAsia="Arial" w:hAnsi="Arial"/>
                <w:sz w:val="18"/>
                <w:szCs w:val="18"/>
                <w:b w:val="1"/>
                <w:bCs w:val="1"/>
                <w:color w:val="auto"/>
                <w:w w:val="90"/>
              </w:rPr>
              <w:t>Registrant’s telephone number, including area code: (212) 332-3241</w:t>
            </w:r>
          </w:p>
        </w:tc>
        <w:tc>
          <w:tcPr>
            <w:tcW w:w="0" w:type="dxa"/>
            <w:vAlign w:val="bottom"/>
          </w:tcPr>
          <w:p>
            <w:pPr>
              <w:spacing w:after="0"/>
              <w:rPr>
                <w:sz w:val="1"/>
                <w:szCs w:val="1"/>
                <w:color w:val="auto"/>
              </w:rPr>
            </w:pPr>
          </w:p>
        </w:tc>
      </w:tr>
      <w:tr>
        <w:trPr>
          <w:trHeight w:val="292"/>
        </w:trPr>
        <w:tc>
          <w:tcPr>
            <w:tcW w:w="7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40"/>
        </w:trPr>
        <w:tc>
          <w:tcPr>
            <w:tcW w:w="3540" w:type="dxa"/>
            <w:vAlign w:val="bottom"/>
          </w:tcPr>
          <w:p>
            <w:pPr>
              <w:jc w:val="center"/>
              <w:ind w:right="838"/>
              <w:spacing w:after="0" w:line="141" w:lineRule="exact"/>
              <w:rPr>
                <w:sz w:val="20"/>
                <w:szCs w:val="20"/>
                <w:color w:val="auto"/>
              </w:rPr>
            </w:pPr>
            <w:r>
              <w:rPr>
                <w:rFonts w:ascii="Arial" w:cs="Arial" w:eastAsia="Arial" w:hAnsi="Arial"/>
                <w:sz w:val="14"/>
                <w:szCs w:val="14"/>
                <w:color w:val="auto"/>
                <w:w w:val="91"/>
              </w:rPr>
              <w:t>Common Stock, Par Value $0.0001 Per Share</w:t>
            </w:r>
          </w:p>
        </w:tc>
        <w:tc>
          <w:tcPr>
            <w:tcW w:w="3680" w:type="dxa"/>
            <w:vAlign w:val="bottom"/>
          </w:tcPr>
          <w:p>
            <w:pPr>
              <w:jc w:val="center"/>
              <w:ind w:left="843"/>
              <w:spacing w:after="0" w:line="141" w:lineRule="exact"/>
              <w:rPr>
                <w:sz w:val="20"/>
                <w:szCs w:val="20"/>
                <w:color w:val="auto"/>
              </w:rPr>
            </w:pPr>
            <w:r>
              <w:rPr>
                <w:rFonts w:ascii="Arial" w:cs="Arial" w:eastAsia="Arial" w:hAnsi="Arial"/>
                <w:sz w:val="14"/>
                <w:szCs w:val="14"/>
                <w:color w:val="auto"/>
                <w:w w:val="98"/>
              </w:rPr>
              <w:t>NASDAQ Global Market</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(Title of Class)</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39"/>
        <w:spacing w:after="0"/>
        <w:rPr>
          <w:sz w:val="20"/>
          <w:szCs w:val="20"/>
          <w:color w:val="auto"/>
        </w:rPr>
      </w:pPr>
      <w:r>
        <w:rPr>
          <w:rFonts w:ascii="Arial" w:cs="Arial" w:eastAsia="Arial" w:hAnsi="Arial"/>
          <w:sz w:val="14"/>
          <w:szCs w:val="14"/>
          <w:color w:val="auto"/>
        </w:rPr>
        <w:t>None</w:t>
      </w:r>
    </w:p>
    <w:p>
      <w:pPr>
        <w:spacing w:after="0" w:line="1" w:lineRule="exact"/>
        <w:rPr>
          <w:sz w:val="24"/>
          <w:szCs w:val="24"/>
          <w:color w:val="auto"/>
        </w:rPr>
      </w:pPr>
    </w:p>
    <w:p>
      <w:pPr>
        <w:ind w:right="24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214"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169"/>
        </w:trPr>
        <w:tc>
          <w:tcPr>
            <w:tcW w:w="5080" w:type="dxa"/>
            <w:vAlign w:val="bottom"/>
          </w:tcPr>
          <w:p>
            <w:pPr>
              <w:spacing w:after="0" w:line="169"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8"/>
                <w:szCs w:val="18"/>
                <w:color w:val="auto"/>
              </w:rPr>
              <w:t>☐</w:t>
            </w:r>
          </w:p>
        </w:tc>
        <w:tc>
          <w:tcPr>
            <w:tcW w:w="3320" w:type="dxa"/>
            <w:vAlign w:val="bottom"/>
          </w:tcPr>
          <w:p>
            <w:pPr>
              <w:jc w:val="right"/>
              <w:spacing w:after="0" w:line="169"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8"/>
                <w:szCs w:val="18"/>
                <w:color w:val="auto"/>
                <w:highlight w:val="black"/>
              </w:rPr>
              <w:t>☒</w:t>
            </w: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8"/>
                <w:szCs w:val="18"/>
                <w:color w:val="auto"/>
              </w:rPr>
              <w:t>☐</w:t>
            </w:r>
            <w:r>
              <w:rPr>
                <w:rFonts w:ascii="Arial" w:cs="Arial" w:eastAsia="Arial" w:hAnsi="Arial"/>
                <w:sz w:val="14"/>
                <w:szCs w:val="14"/>
                <w:color w:val="auto"/>
              </w:rPr>
              <w:t xml:space="preserve"> (Do not check if a smaller reporting</w:t>
            </w:r>
          </w:p>
        </w:tc>
        <w:tc>
          <w:tcPr>
            <w:tcW w:w="3320" w:type="dxa"/>
            <w:vAlign w:val="bottom"/>
          </w:tcPr>
          <w:p>
            <w:pPr>
              <w:jc w:val="right"/>
              <w:spacing w:after="0" w:line="189"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8"/>
                <w:szCs w:val="18"/>
                <w:color w:val="auto"/>
              </w:rPr>
              <w:t>☐</w:t>
            </w:r>
          </w:p>
        </w:tc>
      </w:tr>
      <w:tr>
        <w:trPr>
          <w:trHeight w:val="283"/>
        </w:trPr>
        <w:tc>
          <w:tcPr>
            <w:tcW w:w="5080" w:type="dxa"/>
            <w:vAlign w:val="bottom"/>
          </w:tcPr>
          <w:p>
            <w:pPr>
              <w:spacing w:after="0"/>
              <w:rPr>
                <w:sz w:val="20"/>
                <w:szCs w:val="20"/>
                <w:color w:val="auto"/>
              </w:rPr>
            </w:pPr>
            <w:r>
              <w:rPr>
                <w:rFonts w:ascii="Arial" w:cs="Arial" w:eastAsia="Arial" w:hAnsi="Arial"/>
                <w:sz w:val="14"/>
                <w:szCs w:val="14"/>
                <w:color w:val="auto"/>
              </w:rPr>
              <w:t>company)</w:t>
            </w:r>
          </w:p>
        </w:tc>
        <w:tc>
          <w:tcPr>
            <w:tcW w:w="3320" w:type="dxa"/>
            <w:vAlign w:val="bottom"/>
          </w:tcPr>
          <w:p>
            <w:pPr>
              <w:jc w:val="right"/>
              <w:spacing w:after="0" w:line="207"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8"/>
                <w:szCs w:val="18"/>
                <w:color w:val="auto"/>
                <w:highlight w:val="black"/>
              </w:rPr>
              <w:t>☒</w:t>
            </w:r>
          </w:p>
        </w:tc>
      </w:tr>
    </w:tbl>
    <w:p>
      <w:pPr>
        <w:spacing w:after="0" w:line="76" w:lineRule="exact"/>
        <w:rPr>
          <w:sz w:val="24"/>
          <w:szCs w:val="24"/>
          <w:color w:val="auto"/>
        </w:rPr>
      </w:pPr>
    </w:p>
    <w:p>
      <w:pPr>
        <w:ind w:right="2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1" w:lineRule="exact"/>
        <w:rPr>
          <w:sz w:val="24"/>
          <w:szCs w:val="24"/>
          <w:color w:val="auto"/>
        </w:rPr>
      </w:pPr>
    </w:p>
    <w:p>
      <w:pPr>
        <w:ind w:right="1620"/>
        <w:spacing w:after="0" w:line="26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highlight w:val="black"/>
        </w:rPr>
        <w:t>☒</w:t>
      </w:r>
      <w:r>
        <w:rPr>
          <w:rFonts w:ascii="Arial" w:cs="Arial" w:eastAsia="Arial" w:hAnsi="Arial"/>
          <w:sz w:val="13"/>
          <w:szCs w:val="13"/>
          <w:color w:val="auto"/>
        </w:rPr>
        <w:t xml:space="preserve"> There were 23,671,301 shares of the registrant’s common stock, $0.0001 par value, outstanding as of November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20" w:right="1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1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00" w:type="dxa"/>
            <w:vAlign w:val="bottom"/>
          </w:tcPr>
          <w:p>
            <w:pPr>
              <w:spacing w:after="0"/>
              <w:rPr>
                <w:sz w:val="17"/>
                <w:szCs w:val="17"/>
                <w:color w:val="auto"/>
              </w:rPr>
            </w:pPr>
          </w:p>
        </w:tc>
      </w:tr>
      <w:tr>
        <w:trPr>
          <w:trHeight w:val="682"/>
        </w:trPr>
        <w:tc>
          <w:tcPr>
            <w:tcW w:w="5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5"/>
          </w:tcPr>
          <w:p>
            <w:pPr>
              <w:jc w:val="center"/>
              <w:ind w:right="2620"/>
              <w:spacing w:after="0"/>
              <w:rPr>
                <w:sz w:val="20"/>
                <w:szCs w:val="20"/>
                <w:color w:val="auto"/>
              </w:rPr>
            </w:pPr>
            <w:r>
              <w:rPr>
                <w:rFonts w:ascii="Arial" w:cs="Arial" w:eastAsia="Arial" w:hAnsi="Arial"/>
                <w:sz w:val="18"/>
                <w:szCs w:val="18"/>
                <w:b w:val="1"/>
                <w:bCs w:val="1"/>
                <w:color w:val="auto"/>
              </w:rPr>
              <w:t>AXSOME THERAPEUTICS, INC.</w:t>
            </w:r>
          </w:p>
        </w:tc>
        <w:tc>
          <w:tcPr>
            <w:tcW w:w="50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20" w:type="dxa"/>
            <w:vAlign w:val="bottom"/>
            <w:gridSpan w:val="6"/>
          </w:tcPr>
          <w:p>
            <w:pPr>
              <w:jc w:val="center"/>
              <w:ind w:right="2340"/>
              <w:spacing w:after="0" w:line="176" w:lineRule="exact"/>
              <w:rPr>
                <w:sz w:val="20"/>
                <w:szCs w:val="20"/>
                <w:color w:val="auto"/>
              </w:rPr>
            </w:pPr>
            <w:r>
              <w:rPr>
                <w:rFonts w:ascii="Arial" w:cs="Arial" w:eastAsia="Arial" w:hAnsi="Arial"/>
                <w:sz w:val="18"/>
                <w:szCs w:val="18"/>
                <w:b w:val="1"/>
                <w:bCs w:val="1"/>
                <w:color w:val="auto"/>
                <w:w w:val="99"/>
              </w:rPr>
              <w:t>QUARTERLY REPORT ON FORM 10-Q</w:t>
            </w:r>
          </w:p>
        </w:tc>
        <w:tc>
          <w:tcPr>
            <w:tcW w:w="500" w:type="dxa"/>
            <w:vAlign w:val="bottom"/>
          </w:tcPr>
          <w:p>
            <w:pPr>
              <w:spacing w:after="0"/>
              <w:rPr>
                <w:sz w:val="15"/>
                <w:szCs w:val="15"/>
                <w:color w:val="auto"/>
              </w:rPr>
            </w:pP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0" w:type="dxa"/>
            <w:vAlign w:val="bottom"/>
            <w:gridSpan w:val="8"/>
          </w:tcPr>
          <w:p>
            <w:pPr>
              <w:jc w:val="center"/>
              <w:ind w:right="1860"/>
              <w:spacing w:after="0"/>
              <w:rPr>
                <w:sz w:val="20"/>
                <w:szCs w:val="20"/>
                <w:color w:val="auto"/>
              </w:rPr>
            </w:pPr>
            <w:r>
              <w:rPr>
                <w:rFonts w:ascii="Arial" w:cs="Arial" w:eastAsia="Arial" w:hAnsi="Arial"/>
                <w:sz w:val="18"/>
                <w:szCs w:val="18"/>
                <w:b w:val="1"/>
                <w:bCs w:val="1"/>
                <w:color w:val="auto"/>
                <w:w w:val="98"/>
              </w:rPr>
              <w:t>FOR THE QUARTER ENDED SEPTEMBER 30, 2017</w:t>
            </w:r>
          </w:p>
        </w:tc>
        <w:tc>
          <w:tcPr>
            <w:tcW w:w="500" w:type="dxa"/>
            <w:vAlign w:val="bottom"/>
          </w:tcPr>
          <w:p>
            <w:pPr>
              <w:spacing w:after="0"/>
              <w:rPr>
                <w:sz w:val="20"/>
                <w:szCs w:val="20"/>
                <w:color w:val="auto"/>
              </w:rPr>
            </w:pPr>
          </w:p>
        </w:tc>
      </w:tr>
      <w:tr>
        <w:trPr>
          <w:trHeight w:val="346"/>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5"/>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r>
      <w:tr>
        <w:trPr>
          <w:trHeight w:val="338"/>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331"/>
        </w:trPr>
        <w:tc>
          <w:tcPr>
            <w:tcW w:w="578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CAUTIONARY NOTE REGARDING FORWARD LOOKING STATEMENTS</w:t>
              </w:r>
            </w:hyperlink>
          </w:p>
        </w:tc>
        <w:tc>
          <w:tcPr>
            <w:tcW w:w="27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1"/>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420" w:type="dxa"/>
            <w:vAlign w:val="bottom"/>
            <w:tcBorders>
              <w:bottom w:val="single" w:sz="8" w:color="0000EE"/>
            </w:tcBorders>
            <w:gridSpan w:val="10"/>
          </w:tcPr>
          <w:p>
            <w:pPr>
              <w:ind w:left="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542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w:t>
              </w:r>
            </w:hyperlink>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800" w:type="dxa"/>
            <w:vAlign w:val="bottom"/>
            <w:gridSpan w:val="14"/>
          </w:tcPr>
          <w:p>
            <w:pPr>
              <w:ind w:left="10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15">
              <w:r>
                <w:rPr>
                  <w:rFonts w:ascii="Arial" w:cs="Arial" w:eastAsia="Arial" w:hAnsi="Arial"/>
                  <w:sz w:val="18"/>
                  <w:szCs w:val="18"/>
                  <w:color w:val="0000EE"/>
                  <w:w w:val="96"/>
                </w:rPr>
                <w:t>ITEM 2</w:t>
              </w:r>
            </w:hyperlink>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800" w:type="dxa"/>
            <w:vAlign w:val="bottom"/>
            <w:gridSpan w:val="14"/>
          </w:tcPr>
          <w:p>
            <w:pPr>
              <w:ind w:left="100"/>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ITEM 3</w:t>
              </w:r>
            </w:hyperlink>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800" w:type="dxa"/>
            <w:vAlign w:val="bottom"/>
            <w:gridSpan w:val="14"/>
          </w:tcPr>
          <w:p>
            <w:pPr>
              <w:ind w:left="100"/>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ITEM 4</w:t>
              </w:r>
            </w:hyperlink>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800" w:type="dxa"/>
            <w:vAlign w:val="bottom"/>
            <w:gridSpan w:val="14"/>
          </w:tcPr>
          <w:p>
            <w:pPr>
              <w:ind w:left="100"/>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40" w:type="dxa"/>
            <w:vAlign w:val="bottom"/>
            <w:tcBorders>
              <w:bottom w:val="single" w:sz="8" w:color="0000EE"/>
            </w:tcBorders>
          </w:tcPr>
          <w:p>
            <w:pPr>
              <w:spacing w:after="0"/>
              <w:rPr>
                <w:sz w:val="24"/>
                <w:szCs w:val="24"/>
                <w:color w:val="auto"/>
              </w:rPr>
            </w:pPr>
          </w:p>
        </w:tc>
        <w:tc>
          <w:tcPr>
            <w:tcW w:w="2080" w:type="dxa"/>
            <w:vAlign w:val="bottom"/>
            <w:tcBorders>
              <w:bottom w:val="single" w:sz="8" w:color="0000EE"/>
            </w:tcBorders>
            <w:gridSpan w:val="8"/>
          </w:tcPr>
          <w:p>
            <w:pPr>
              <w:ind w:left="6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572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ITEM 1</w:t>
              </w:r>
            </w:hyperlink>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800" w:type="dxa"/>
            <w:vAlign w:val="bottom"/>
            <w:gridSpan w:val="14"/>
          </w:tcPr>
          <w:p>
            <w:pPr>
              <w:ind w:left="100"/>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20" w:type="dxa"/>
            <w:vAlign w:val="bottom"/>
            <w:gridSpan w:val="3"/>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ITEM 1A</w:t>
              </w:r>
            </w:hyperlink>
          </w:p>
        </w:tc>
        <w:tc>
          <w:tcPr>
            <w:tcW w:w="40" w:type="dxa"/>
            <w:vAlign w:val="bottom"/>
          </w:tcPr>
          <w:p>
            <w:pPr>
              <w:spacing w:after="0"/>
              <w:rPr>
                <w:sz w:val="24"/>
                <w:szCs w:val="24"/>
                <w:color w:val="auto"/>
              </w:rPr>
            </w:pPr>
          </w:p>
        </w:tc>
        <w:tc>
          <w:tcPr>
            <w:tcW w:w="7800" w:type="dxa"/>
            <w:vAlign w:val="bottom"/>
            <w:gridSpan w:val="14"/>
          </w:tcPr>
          <w:p>
            <w:pPr>
              <w:ind w:left="100"/>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ITEM 2</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0" w:type="dxa"/>
            <w:vAlign w:val="bottom"/>
            <w:gridSpan w:val="14"/>
          </w:tcPr>
          <w:p>
            <w:pPr>
              <w:ind w:left="100"/>
              <w:spacing w:after="0"/>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5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ITEM 6</w:t>
              </w:r>
            </w:hyperlink>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800" w:type="dxa"/>
            <w:vAlign w:val="bottom"/>
            <w:gridSpan w:val="14"/>
          </w:tcPr>
          <w:p>
            <w:pPr>
              <w:ind w:left="100"/>
              <w:spacing w:after="0"/>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8560" w:type="dxa"/>
            <w:vAlign w:val="bottom"/>
            <w:gridSpan w:val="1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993"/>
        </w:trPr>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380" w:type="dxa"/>
            <w:vAlign w:val="bottom"/>
            <w:gridSpan w:val="10"/>
          </w:tcPr>
          <w:p>
            <w:pPr>
              <w:jc w:val="center"/>
              <w:ind w:left="307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w:t>
      </w:r>
    </w:p>
    <w:p>
      <w:pPr>
        <w:spacing w:after="0" w:line="18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expectations for increases or decreases in expenses;</w:t>
      </w:r>
    </w:p>
    <w:p>
      <w:pPr>
        <w:ind w:left="920" w:right="679" w:firstLine="29"/>
        <w:spacing w:after="0" w:line="203" w:lineRule="auto"/>
        <w:rPr>
          <w:sz w:val="20"/>
          <w:szCs w:val="20"/>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that we may acquire or in-license;</w:t>
      </w:r>
    </w:p>
    <w:p>
      <w:pPr>
        <w:spacing w:after="0" w:line="1" w:lineRule="exact"/>
        <w:rPr>
          <w:sz w:val="20"/>
          <w:szCs w:val="20"/>
          <w:color w:val="auto"/>
        </w:rPr>
      </w:pPr>
    </w:p>
    <w:p>
      <w:pPr>
        <w:ind w:left="920" w:right="999" w:firstLine="29"/>
        <w:spacing w:after="0" w:line="203" w:lineRule="auto"/>
        <w:rPr>
          <w:sz w:val="20"/>
          <w:szCs w:val="20"/>
          <w:color w:val="auto"/>
        </w:rPr>
      </w:pPr>
      <w:r>
        <w:rPr>
          <w:rFonts w:ascii="Arial" w:cs="Arial" w:eastAsia="Arial" w:hAnsi="Arial"/>
          <w:sz w:val="18"/>
          <w:szCs w:val="18"/>
          <w:color w:val="auto"/>
        </w:rPr>
        <w:t>estimates of the sufficiency of our existing capital resources combined with future anticipated cash flows to finance our operating requirements;</w:t>
      </w:r>
    </w:p>
    <w:p>
      <w:pPr>
        <w:spacing w:after="0" w:line="1" w:lineRule="exact"/>
        <w:rPr>
          <w:sz w:val="20"/>
          <w:szCs w:val="20"/>
          <w:color w:val="auto"/>
        </w:rPr>
      </w:pPr>
    </w:p>
    <w:p>
      <w:pPr>
        <w:ind w:left="920" w:right="1479" w:firstLine="29"/>
        <w:spacing w:after="0" w:line="203" w:lineRule="auto"/>
        <w:rPr>
          <w:sz w:val="20"/>
          <w:szCs w:val="20"/>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1" w:lineRule="exact"/>
        <w:rPr>
          <w:sz w:val="20"/>
          <w:szCs w:val="20"/>
          <w:color w:val="auto"/>
        </w:rPr>
      </w:pPr>
    </w:p>
    <w:p>
      <w:pPr>
        <w:ind w:left="940" w:right="1999"/>
        <w:spacing w:after="0" w:line="229" w:lineRule="auto"/>
        <w:rPr>
          <w:sz w:val="20"/>
          <w:szCs w:val="20"/>
          <w:color w:val="auto"/>
        </w:rPr>
      </w:pPr>
      <w:r>
        <w:rPr>
          <w:rFonts w:ascii="Arial" w:cs="Arial" w:eastAsia="Arial" w:hAnsi="Arial"/>
          <w:sz w:val="16"/>
          <w:szCs w:val="16"/>
          <w:color w:val="auto"/>
        </w:rPr>
        <w:t>expectations for generating revenue or becoming profitable on a sustained basis; expectations or ability to enter into marketing and other partnership agreements; expectations or ability to enter into product acquisition and in-licensing transactions;</w:t>
      </w:r>
    </w:p>
    <w:p>
      <w:pPr>
        <w:ind w:left="940"/>
        <w:spacing w:after="0" w:line="203" w:lineRule="auto"/>
        <w:rPr>
          <w:sz w:val="20"/>
          <w:szCs w:val="20"/>
          <w:color w:val="auto"/>
        </w:rPr>
      </w:pPr>
      <w:r>
        <w:rPr>
          <w:rFonts w:ascii="Arial" w:cs="Arial" w:eastAsia="Arial" w:hAnsi="Arial"/>
          <w:sz w:val="18"/>
          <w:szCs w:val="18"/>
          <w:color w:val="auto"/>
        </w:rPr>
        <w:t>expectations or ability to build our own commercial infrastructure to manufacture, market and sell our</w:t>
      </w:r>
    </w:p>
    <w:p>
      <w:pPr>
        <w:ind w:left="920"/>
        <w:spacing w:after="0" w:line="204" w:lineRule="auto"/>
        <w:rPr>
          <w:sz w:val="20"/>
          <w:szCs w:val="20"/>
          <w:color w:val="auto"/>
        </w:rPr>
      </w:pPr>
      <w:r>
        <w:rPr>
          <w:rFonts w:ascii="Arial" w:cs="Arial" w:eastAsia="Arial" w:hAnsi="Arial"/>
          <w:sz w:val="18"/>
          <w:szCs w:val="18"/>
          <w:color w:val="auto"/>
        </w:rPr>
        <w:t>product candidates;</w:t>
      </w:r>
    </w:p>
    <w:p>
      <w:pPr>
        <w:ind w:left="940"/>
        <w:spacing w:after="0" w:line="203" w:lineRule="auto"/>
        <w:rPr>
          <w:sz w:val="20"/>
          <w:szCs w:val="20"/>
          <w:color w:val="auto"/>
        </w:rPr>
      </w:pPr>
      <w:r>
        <w:rPr>
          <w:rFonts w:ascii="Arial" w:cs="Arial" w:eastAsia="Arial" w:hAnsi="Arial"/>
          <w:sz w:val="18"/>
          <w:szCs w:val="18"/>
          <w:color w:val="auto"/>
        </w:rPr>
        <w:t>expected losses;</w:t>
      </w:r>
    </w:p>
    <w:p>
      <w:pPr>
        <w:spacing w:after="0" w:line="1" w:lineRule="exact"/>
        <w:rPr>
          <w:sz w:val="20"/>
          <w:szCs w:val="20"/>
          <w:color w:val="auto"/>
        </w:rPr>
      </w:pPr>
    </w:p>
    <w:p>
      <w:pPr>
        <w:ind w:left="940" w:right="1719"/>
        <w:spacing w:after="0" w:line="203" w:lineRule="auto"/>
        <w:rPr>
          <w:sz w:val="20"/>
          <w:szCs w:val="20"/>
          <w:color w:val="auto"/>
        </w:rPr>
      </w:pPr>
      <w:r>
        <w:rPr>
          <w:rFonts w:ascii="Arial" w:cs="Arial" w:eastAsia="Arial" w:hAnsi="Arial"/>
          <w:sz w:val="18"/>
          <w:szCs w:val="18"/>
          <w:color w:val="auto"/>
        </w:rPr>
        <w:t>ability to obtain and maintain intellectual property protection for our product candidates; acceptance of our products by doctors, patients, or payors; stock price and its volatility;</w:t>
      </w:r>
    </w:p>
    <w:p>
      <w:pPr>
        <w:ind w:left="940"/>
        <w:spacing w:after="0" w:line="205" w:lineRule="auto"/>
        <w:rPr>
          <w:sz w:val="20"/>
          <w:szCs w:val="20"/>
          <w:color w:val="auto"/>
        </w:rPr>
      </w:pPr>
      <w:r>
        <w:rPr>
          <w:rFonts w:ascii="Arial" w:cs="Arial" w:eastAsia="Arial" w:hAnsi="Arial"/>
          <w:sz w:val="18"/>
          <w:szCs w:val="18"/>
          <w:color w:val="auto"/>
        </w:rPr>
        <w:t>ability to attract and retain key personnel;</w:t>
      </w:r>
    </w:p>
    <w:p>
      <w:pPr>
        <w:ind w:left="940"/>
        <w:spacing w:after="0" w:line="203" w:lineRule="auto"/>
        <w:rPr>
          <w:sz w:val="20"/>
          <w:szCs w:val="20"/>
          <w:color w:val="auto"/>
        </w:rPr>
      </w:pPr>
      <w:r>
        <w:rPr>
          <w:rFonts w:ascii="Arial" w:cs="Arial" w:eastAsia="Arial" w:hAnsi="Arial"/>
          <w:sz w:val="18"/>
          <w:szCs w:val="18"/>
          <w:color w:val="auto"/>
        </w:rPr>
        <w:t>the performance of third-party manufacturers;</w:t>
      </w:r>
    </w:p>
    <w:p>
      <w:pPr>
        <w:ind w:left="940"/>
        <w:spacing w:after="0" w:line="204" w:lineRule="auto"/>
        <w:rPr>
          <w:sz w:val="20"/>
          <w:szCs w:val="20"/>
          <w:color w:val="auto"/>
        </w:rPr>
      </w:pPr>
      <w:r>
        <w:rPr>
          <w:rFonts w:ascii="Arial" w:cs="Arial" w:eastAsia="Arial" w:hAnsi="Arial"/>
          <w:sz w:val="18"/>
          <w:szCs w:val="18"/>
          <w:color w:val="auto"/>
        </w:rPr>
        <w:t>expectations for future capital requirements; and</w:t>
      </w:r>
    </w:p>
    <w:p>
      <w:pPr>
        <w:ind w:left="940"/>
        <w:spacing w:after="0"/>
        <w:rPr>
          <w:sz w:val="20"/>
          <w:szCs w:val="20"/>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4" w:lineRule="exact"/>
        <w:rPr>
          <w:sz w:val="20"/>
          <w:szCs w:val="20"/>
          <w:color w:val="auto"/>
        </w:rPr>
      </w:pPr>
    </w:p>
    <w:p>
      <w:pPr>
        <w:jc w:val="both"/>
        <w:ind w:right="17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73"/>
              <w:spacing w:after="0" w:line="129"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Cash</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31,673,383</w:t>
            </w: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36,618,497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746,094</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1,380,560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32,419,477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37,999,057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79,344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100,730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119,291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112,821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32,618,112</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38,212,608</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2,942,999</w:t>
            </w: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4,081,173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2,743,575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2,820,377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Loan payable, current portion</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2,717,042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269,162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line="170"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8,403,616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7,170,712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Loan payable, long-term</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7,375,439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9,470,445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15,779,055</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16,641,157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7"/>
                <w:szCs w:val="17"/>
                <w:color w:val="auto"/>
                <w:w w:val="94"/>
              </w:rPr>
              <w:t>Preferred stock, $0.0001 par value per share (10,000,000 shares authorized, none issued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20" w:type="dxa"/>
            <w:vAlign w:val="bottom"/>
          </w:tcPr>
          <w:p>
            <w:pPr>
              <w:spacing w:after="0" w:line="202" w:lineRule="exact"/>
              <w:rPr>
                <w:sz w:val="20"/>
                <w:szCs w:val="20"/>
                <w:color w:val="auto"/>
              </w:rPr>
            </w:pPr>
            <w:r>
              <w:rPr>
                <w:rFonts w:ascii="Arial" w:cs="Arial" w:eastAsia="Arial" w:hAnsi="Arial"/>
                <w:sz w:val="18"/>
                <w:szCs w:val="18"/>
                <w:color w:val="auto"/>
              </w:rPr>
              <w:t>and outstanding at September 30, 2017 and December 31, 2016, respectively)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Common stock, $0.0001 par value per share (150,000,000 shares authorized,</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23,665,532 and 19,158,417 shares issued and outstanding at September 30, 2017 and</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2016, respectively)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line="176"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85,991,032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69,210,986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(69,154,342)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(47,641,451)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16,839,057</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21,571,451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32,618,112</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38,212,608</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32"/>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72"/>
              <w:spacing w:after="0" w:line="129"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4,471,126</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5,568,777</w:t>
            </w:r>
          </w:p>
        </w:tc>
        <w:tc>
          <w:tcPr>
            <w:tcW w:w="4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15,463,706</w:t>
            </w:r>
          </w:p>
        </w:tc>
        <w:tc>
          <w:tcPr>
            <w:tcW w:w="4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15,393,089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1,826,290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1,639,026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5,256,481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4,524,859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6,297,416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7,207,803</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20,720,187</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19,917,948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(6,297,416)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(7,207,803)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(20,720,187)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(19,917,948)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7"/>
                <w:szCs w:val="17"/>
                <w:color w:val="auto"/>
              </w:rPr>
              <w:t>Interest and amortization of debt discount/premium</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(343,234)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13,219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(999,818)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45,233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(expense) income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(6,433,536)</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(7,194,584)</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(21,512,891)</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(19,872,715)</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(0.27)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(0.38)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(0.97)</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tcPr>
          <w:p>
            <w:pPr>
              <w:spacing w:after="0" w:line="122" w:lineRule="exact"/>
              <w:rPr>
                <w:sz w:val="20"/>
                <w:szCs w:val="20"/>
                <w:color w:val="auto"/>
              </w:rPr>
            </w:pPr>
            <w:r>
              <w:rPr>
                <w:rFonts w:ascii="Arial" w:cs="Arial" w:eastAsia="Arial" w:hAnsi="Arial"/>
                <w:sz w:val="14"/>
                <w:szCs w:val="14"/>
                <w:color w:val="auto"/>
              </w:rPr>
              <w:t>Weighted average common shares outstanding, basic</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23,634,040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19,149,906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22,270,885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19,149,579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960" w:type="dxa"/>
            <w:vAlign w:val="bottom"/>
            <w:gridSpan w:val="2"/>
          </w:tcPr>
          <w:p>
            <w:pPr>
              <w:spacing w:after="0" w:line="189" w:lineRule="exact"/>
              <w:rPr>
                <w:sz w:val="20"/>
                <w:szCs w:val="20"/>
                <w:color w:val="auto"/>
              </w:rPr>
            </w:pPr>
            <w:r>
              <w:rPr>
                <w:rFonts w:ascii="Arial" w:cs="Arial" w:eastAsia="Arial" w:hAnsi="Arial"/>
                <w:sz w:val="18"/>
                <w:szCs w:val="18"/>
                <w:color w:val="auto"/>
              </w:rPr>
              <w:t>and diluted</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10"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80"/>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79"/>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(21,512,891)</w:t>
            </w:r>
          </w:p>
        </w:tc>
        <w:tc>
          <w:tcPr>
            <w:tcW w:w="420" w:type="dxa"/>
            <w:vAlign w:val="bottom"/>
            <w:gridSpan w:val="2"/>
          </w:tcPr>
          <w:p>
            <w:pPr>
              <w:jc w:val="right"/>
              <w:ind w:right="64"/>
              <w:spacing w:after="0" w:line="162"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(19,872,715)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Adjustments to reconcile net loss to net cash used in operating activities:</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Arial" w:cs="Arial" w:eastAsia="Arial" w:hAnsi="Arial"/>
                <w:sz w:val="16"/>
                <w:szCs w:val="16"/>
                <w:color w:val="auto"/>
              </w:rPr>
              <w:t>Stock-based compensation expense</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1,535,291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1,596,693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Amortization of debt discount</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352,874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Arial" w:cs="Arial" w:eastAsia="Arial" w:hAnsi="Arial"/>
                <w:sz w:val="16"/>
                <w:szCs w:val="16"/>
                <w:color w:val="auto"/>
              </w:rPr>
              <w:t>Depreciation</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31,283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10,733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20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634,466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129,519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Other assets</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(6,470)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200"/>
              <w:spacing w:after="0" w:line="162" w:lineRule="exact"/>
              <w:rPr>
                <w:sz w:val="20"/>
                <w:szCs w:val="20"/>
                <w:color w:val="auto"/>
              </w:rPr>
            </w:pPr>
            <w:r>
              <w:rPr>
                <w:rFonts w:ascii="Arial" w:cs="Arial" w:eastAsia="Arial" w:hAnsi="Arial"/>
                <w:sz w:val="16"/>
                <w:szCs w:val="16"/>
                <w:color w:val="auto"/>
              </w:rPr>
              <w:t>Accounts payable</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(1,138,174)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1,975,221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Accrued expenses and other current liabilities</w:t>
            </w:r>
          </w:p>
        </w:tc>
        <w:tc>
          <w:tcPr>
            <w:tcW w:w="8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(76,801)</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2,128,420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operating activities</w:t>
            </w:r>
          </w:p>
        </w:tc>
        <w:tc>
          <w:tcPr>
            <w:tcW w:w="8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(20,180,422)</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(14,064,629)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Purchases of equipment</w:t>
            </w:r>
          </w:p>
        </w:tc>
        <w:tc>
          <w:tcPr>
            <w:tcW w:w="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(9,897)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(98,506)</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8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(9,897)</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(98,506)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net</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14,781,092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Arial" w:cs="Arial" w:eastAsia="Arial" w:hAnsi="Arial"/>
                <w:sz w:val="16"/>
                <w:szCs w:val="16"/>
                <w:color w:val="auto"/>
              </w:rPr>
              <w:t>Proceeds from exercise of options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309,219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14,679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exercise of warrants</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154,894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provided by financing activities</w:t>
            </w:r>
          </w:p>
        </w:tc>
        <w:tc>
          <w:tcPr>
            <w:tcW w:w="8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15,245,205</w:t>
            </w: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14,679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(decrease) in cash</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(4,945,114)</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(14,148,456)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Cash at beginning of period</w:t>
            </w:r>
          </w:p>
        </w:tc>
        <w:tc>
          <w:tcPr>
            <w:tcW w:w="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36,618,497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48,036,260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Cash at end of period</w:t>
            </w:r>
          </w:p>
        </w:tc>
        <w:tc>
          <w:tcPr>
            <w:tcW w:w="8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31,673,383</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33,887,804</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89"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7"/>
          <w:szCs w:val="17"/>
          <w:color w:val="auto"/>
        </w:rPr>
        <w:t>Axsome Therapeutics, Inc. (“Axsome” or the “Company”) is a clinical-stage biopharmaceutical company developing novel therapies for central nervous system, or CNS, disorders for which there are limited treatment options. By focusing on this therapeutic area, the Company is addressing significant and growing markets where current treatment options are limited or inadequate. The Company’s product candidate portfolio includes three clinical</w:t>
      </w:r>
      <w:r>
        <w:rPr>
          <w:rFonts w:ascii="MS PGothic" w:cs="MS PGothic" w:eastAsia="MS PGothic" w:hAnsi="MS PGothic"/>
          <w:sz w:val="17"/>
          <w:szCs w:val="17"/>
          <w:color w:val="auto"/>
        </w:rPr>
        <w:t>‑</w:t>
      </w:r>
      <w:r>
        <w:rPr>
          <w:rFonts w:ascii="Arial" w:cs="Arial" w:eastAsia="Arial" w:hAnsi="Arial"/>
          <w:sz w:val="17"/>
          <w:szCs w:val="17"/>
          <w:color w:val="auto"/>
        </w:rPr>
        <w:t>stage candidates, AXS</w:t>
      </w:r>
      <w:r>
        <w:rPr>
          <w:rFonts w:ascii="MS PGothic" w:cs="MS PGothic" w:eastAsia="MS PGothic" w:hAnsi="MS PGothic"/>
          <w:sz w:val="17"/>
          <w:szCs w:val="17"/>
          <w:color w:val="auto"/>
        </w:rPr>
        <w:t>‑</w:t>
      </w:r>
      <w:r>
        <w:rPr>
          <w:rFonts w:ascii="Arial" w:cs="Arial" w:eastAsia="Arial" w:hAnsi="Arial"/>
          <w:sz w:val="17"/>
          <w:szCs w:val="17"/>
          <w:color w:val="auto"/>
        </w:rPr>
        <w:t>05, AXS</w:t>
      </w:r>
      <w:r>
        <w:rPr>
          <w:rFonts w:ascii="MS PGothic" w:cs="MS PGothic" w:eastAsia="MS PGothic" w:hAnsi="MS PGothic"/>
          <w:sz w:val="17"/>
          <w:szCs w:val="17"/>
          <w:color w:val="auto"/>
        </w:rPr>
        <w:t>‑</w:t>
      </w:r>
      <w:r>
        <w:rPr>
          <w:rFonts w:ascii="Arial" w:cs="Arial" w:eastAsia="Arial" w:hAnsi="Arial"/>
          <w:sz w:val="17"/>
          <w:szCs w:val="17"/>
          <w:color w:val="auto"/>
        </w:rPr>
        <w:t>02, and AXS-06,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68" w:lineRule="exact"/>
        <w:rPr>
          <w:sz w:val="20"/>
          <w:szCs w:val="20"/>
          <w:color w:val="auto"/>
        </w:rPr>
      </w:pPr>
    </w:p>
    <w:p>
      <w:pPr>
        <w:ind w:right="220" w:firstLine="648"/>
        <w:spacing w:after="0" w:line="239"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 normally included in financial statements prepared in accordance with U.S. GAAP have been condensed or omitted pursuant to such rules and regulations. These interim consolidated financial statements should be read in conjunction with the audited financial statements and related notes included in the Company’s annual report on Form 10-K for the year ended December 31, 2016 filed with the SEC on March 7, 2017.</w:t>
      </w:r>
    </w:p>
    <w:p>
      <w:pPr>
        <w:spacing w:after="0" w:line="163"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nine months ended September 30, 2017 are not necessarily indicative of the operating results for the full fiscal year or any future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September 30, 2017, the Company had an accumulated deficit of $69.2 million.</w:t>
      </w:r>
    </w:p>
    <w:p>
      <w:pPr>
        <w:spacing w:after="0" w:line="163"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Even if the Company commercializes one or more of its product candidates, it may not become profitable.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As of September 30, 2017, the Company had $31.7 million in cash. The Company currently anticipates its cash to be sufficient to fund its anticipated operating cash requirements into the first quarter of 2019.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Company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the accounting for research and development costs; and the recoverability of the Company’s net deferred tax assets and related valuation allowance.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and stock options, which would result in the issuance of incremental shares of common stock. As the impact of these items is anti</w:t>
      </w:r>
      <w:r>
        <w:rPr>
          <w:rFonts w:ascii="MS PGothic" w:cs="MS PGothic" w:eastAsia="MS PGothic" w:hAnsi="MS PGothic"/>
          <w:sz w:val="18"/>
          <w:szCs w:val="18"/>
          <w:color w:val="auto"/>
        </w:rPr>
        <w:t>‑</w:t>
      </w:r>
      <w:r>
        <w:rPr>
          <w:rFonts w:ascii="Arial" w:cs="Arial" w:eastAsia="Arial" w:hAnsi="Arial"/>
          <w:sz w:val="18"/>
          <w:szCs w:val="18"/>
          <w:color w:val="auto"/>
        </w:rPr>
        <w:t>dilutive during periods of net loss, there was no difference between basic and diluted net loss per share of common stock for the nine months ended September 30, 2017 and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The standard will be effective for annual and interim periods beginning after December 15, 2018, with early adoption permitted upon issuance. The Company is currently evaluating the potential impact of the new guidance.</w:t>
      </w:r>
    </w:p>
    <w:p>
      <w:pPr>
        <w:spacing w:after="0" w:line="163"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 Share-Based Payment Accounting</w:t>
      </w:r>
      <w:r>
        <w:rPr>
          <w:rFonts w:ascii="Arial" w:cs="Arial" w:eastAsia="Arial" w:hAnsi="Arial"/>
          <w:sz w:val="18"/>
          <w:szCs w:val="18"/>
          <w:color w:val="auto"/>
        </w:rPr>
        <w:t>, which allows for the simplification of several aspects of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 transactions. The standard is effective for interim and annual periods beginning after December 15, 2016. The Company adopted this guidance effective March 31, 2017. The adoption of the guidance did not have a material impact on the Company’s financial statements.</w:t>
      </w:r>
    </w:p>
    <w:p>
      <w:pPr>
        <w:spacing w:after="0" w:line="162"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 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Receipts and Cash Payments, </w:t>
      </w:r>
      <w:r>
        <w:rPr>
          <w:rFonts w:ascii="Arial" w:cs="Arial" w:eastAsia="Arial" w:hAnsi="Arial"/>
          <w:sz w:val="18"/>
          <w:szCs w:val="18"/>
          <w:color w:val="auto"/>
        </w:rPr>
        <w:t>which is guidance to address diversity in practice with respect to how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is currently evaluating the potential impact of the new guidance.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is currently evaluating the potential impact of the new guidance.</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Accrued Expenses and Other Current Liabilities</w:t>
      </w:r>
    </w:p>
    <w:p>
      <w:pPr>
        <w:spacing w:after="0" w:line="189"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At September 30, 2017 and December 31, 2016 accrued expenses and other current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8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345"/>
        </w:trPr>
        <w:tc>
          <w:tcPr>
            <w:tcW w:w="4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1,733,995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1,693,748</w:t>
            </w:r>
          </w:p>
        </w:tc>
        <w:tc>
          <w:tcPr>
            <w:tcW w:w="160" w:type="dxa"/>
            <w:vAlign w:val="bottom"/>
          </w:tcPr>
          <w:p>
            <w:pPr>
              <w:spacing w:after="0"/>
              <w:rPr>
                <w:sz w:val="24"/>
                <w:szCs w:val="24"/>
                <w:color w:val="auto"/>
              </w:rPr>
            </w:pPr>
          </w:p>
        </w:tc>
      </w:tr>
      <w:tr>
        <w:trPr>
          <w:trHeight w:val="176"/>
        </w:trPr>
        <w:tc>
          <w:tcPr>
            <w:tcW w:w="4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compensation</w:t>
            </w:r>
          </w:p>
        </w:tc>
        <w:tc>
          <w:tcPr>
            <w:tcW w:w="2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537,037</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539,290</w:t>
            </w:r>
          </w:p>
        </w:tc>
        <w:tc>
          <w:tcPr>
            <w:tcW w:w="160" w:type="dxa"/>
            <w:vAlign w:val="bottom"/>
            <w:shd w:val="clear" w:color="auto" w:fill="CCEEFF"/>
          </w:tcPr>
          <w:p>
            <w:pPr>
              <w:spacing w:after="0"/>
              <w:rPr>
                <w:sz w:val="15"/>
                <w:szCs w:val="15"/>
                <w:color w:val="auto"/>
              </w:rPr>
            </w:pPr>
          </w:p>
        </w:tc>
      </w:tr>
      <w:tr>
        <w:trPr>
          <w:trHeight w:val="176"/>
        </w:trPr>
        <w:tc>
          <w:tcPr>
            <w:tcW w:w="42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472,543</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587,339</w:t>
            </w:r>
          </w:p>
        </w:tc>
        <w:tc>
          <w:tcPr>
            <w:tcW w:w="160" w:type="dxa"/>
            <w:vAlign w:val="bottom"/>
            <w:tcBorders>
              <w:bottom w:val="single" w:sz="8" w:color="CCEEFF"/>
            </w:tcBorders>
          </w:tcPr>
          <w:p>
            <w:pPr>
              <w:spacing w:after="0"/>
              <w:rPr>
                <w:sz w:val="15"/>
                <w:szCs w:val="15"/>
                <w:color w:val="auto"/>
              </w:rPr>
            </w:pPr>
          </w:p>
        </w:tc>
      </w:tr>
      <w:tr>
        <w:trPr>
          <w:trHeight w:val="176"/>
        </w:trPr>
        <w:tc>
          <w:tcPr>
            <w:tcW w:w="42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2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2,743,575</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2,820,377</w:t>
            </w:r>
          </w:p>
        </w:tc>
        <w:tc>
          <w:tcPr>
            <w:tcW w:w="160" w:type="dxa"/>
            <w:vAlign w:val="bottom"/>
            <w:tcBorders>
              <w:bottom w:val="single" w:sz="8" w:color="CCEEFF"/>
            </w:tcBorders>
            <w:shd w:val="clear" w:color="auto" w:fill="CCEEFF"/>
          </w:tcPr>
          <w:p>
            <w:pPr>
              <w:spacing w:after="0"/>
              <w:rPr>
                <w:sz w:val="15"/>
                <w:szCs w:val="15"/>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 and Security Agreement</w:t>
      </w:r>
    </w:p>
    <w:p>
      <w:pPr>
        <w:spacing w:after="0" w:line="67"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November 2016, the Company entered into a $20.0 million Term Loan Agreement (“Term Loan”) with Silicon Valley Bank (“SVB”). The three-tranche Term Loan consists of an initial $10.0 million tranche triggered upon closing, with the remaining $10.0 million available to be drawn in two $5.0 million tranches, at the Company’s option, subject to the achievement of certain clinical and financial milestones.</w:t>
      </w:r>
    </w:p>
    <w:p>
      <w:pPr>
        <w:spacing w:after="0" w:line="28"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loan bears interest at an annual rate equal to 4.50% plus the prime rate, which is the greater of 3.50% or the Wall Street Journal prime rate, and is payable monthly. It matures in November 2020 and has an interest-only payment period until December 1, 2017, which may be extended to May 2018 upon the drawing of the second tranche. Following the interest-only payment period, the Company will begin making monthly payments of principal and interest until the maturity date. Principal payments coming due within twelve months have been classified as current liabilities in the accompanying balance sheet. In addition, the Company is required to pay a final payment fee of 8.5% of the principal amount extended on the date of repayment of the Term Loan, which is being accreted and amortized into interest expense using the effective interest rate method over the term of the loan.</w:t>
      </w:r>
    </w:p>
    <w:p>
      <w:pPr>
        <w:spacing w:after="0" w:line="46"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may prepay all, but not less than all, of the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the Company’s assets except intellectual property. The Company’s intellectual property is subject to a negative pledge.</w:t>
      </w:r>
    </w:p>
    <w:p>
      <w:pPr>
        <w:spacing w:after="0" w:line="41" w:lineRule="exact"/>
        <w:rPr>
          <w:sz w:val="20"/>
          <w:szCs w:val="20"/>
          <w:color w:val="auto"/>
        </w:rPr>
      </w:pPr>
    </w:p>
    <w:p>
      <w:pPr>
        <w:ind w:right="480" w:firstLine="648"/>
        <w:spacing w:after="0" w:line="235" w:lineRule="auto"/>
        <w:rPr>
          <w:sz w:val="20"/>
          <w:szCs w:val="20"/>
          <w:color w:val="auto"/>
        </w:rPr>
      </w:pPr>
      <w:r>
        <w:rPr>
          <w:rFonts w:ascii="Arial" w:cs="Arial" w:eastAsia="Arial" w:hAnsi="Arial"/>
          <w:sz w:val="18"/>
          <w:szCs w:val="18"/>
          <w:color w:val="auto"/>
        </w:rPr>
        <w:t>Interest expense was $646,944 and amortization of the final payment was $261,350 for the nine months ended September 30, 2017.</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unamortized debt discount balances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10,000,000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debt discount, net of current portion</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153,217</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debt, net of debt discount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10,153,217</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(2,777,778)</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7,375,439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line="203" w:lineRule="exact"/>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2,777,778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discount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Loan payable,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2,717,042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connection with the Term Loan, SVB and Life Science Loans, LLC (the “Lenders”) received warrants to purchase an aggregate 65,228 shares of the Company’s common stock at an exercise price of $7.41 per share, which are exercisable until November 8, 2023. The Lenders will receive additional warrants in connection with the second and third term tranches, if and when advanced by the Lenders.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proceeds of $10.0 million were allocated based on the relative fair values of the debt instrument and the warrant instrument. The fair value of the warrants and the closing costs were recorded as debt discounts and are being amortized using the effective interest rate method over the term of the loan. Amortization of the debt discount was $91,524 for the nine months ended September 30, 2017.</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w w:val="95"/>
              </w:rPr>
              <w:t>Scheduled principal payments on outstanding debt, as of September 30, 2017, are as follows: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2017</w:t>
            </w:r>
          </w:p>
        </w:tc>
        <w:tc>
          <w:tcPr>
            <w:tcW w:w="680" w:type="dxa"/>
            <w:vAlign w:val="bottom"/>
            <w:gridSpan w:val="2"/>
            <w:shd w:val="clear" w:color="auto" w:fill="CCEEFF"/>
          </w:tcPr>
          <w:p>
            <w:pPr>
              <w:jc w:val="right"/>
              <w:ind w:right="85"/>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277,778</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tcPr>
          <w:p>
            <w:pPr>
              <w:spacing w:after="0" w:line="176" w:lineRule="exact"/>
              <w:rPr>
                <w:sz w:val="20"/>
                <w:szCs w:val="20"/>
                <w:color w:val="auto"/>
              </w:rPr>
            </w:pPr>
            <w:r>
              <w:rPr>
                <w:rFonts w:ascii="Arial" w:cs="Arial" w:eastAsia="Arial" w:hAnsi="Arial"/>
                <w:sz w:val="18"/>
                <w:szCs w:val="18"/>
                <w:color w:val="auto"/>
              </w:rPr>
              <w:t>2018</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2019</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3,055,556</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10,000,000</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0"/>
              </w:rPr>
              <w:t>Three months ended September 30,</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36"/>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57"/>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(6,433,536)</w:t>
            </w:r>
          </w:p>
        </w:tc>
        <w:tc>
          <w:tcPr>
            <w:tcW w:w="3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(7,194,584)</w:t>
            </w: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w w:val="99"/>
              </w:rPr>
              <w:t>(21,512,891)</w:t>
            </w:r>
          </w:p>
        </w:tc>
        <w:tc>
          <w:tcPr>
            <w:tcW w:w="3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5"/>
              </w:rPr>
              <w:t>(19,872,715)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5"/>
              </w:rPr>
              <w:t>Weighted average common shares outstanding—basic</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23,634,040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19,149,906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22,270,885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19,149,579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diluted</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spacing w:after="0" w:line="170" w:lineRule="exact"/>
              <w:rPr>
                <w:sz w:val="20"/>
                <w:szCs w:val="20"/>
                <w:color w:val="auto"/>
              </w:rPr>
            </w:pPr>
            <w:r>
              <w:rPr>
                <w:rFonts w:ascii="Arial" w:cs="Arial" w:eastAsia="Arial" w:hAnsi="Arial"/>
                <w:sz w:val="18"/>
                <w:szCs w:val="18"/>
                <w:color w:val="auto"/>
              </w:rPr>
              <w:t>Net loss per common share—basic and diluted</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(0.27)</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(0.38)</w:t>
            </w:r>
          </w:p>
        </w:tc>
        <w:tc>
          <w:tcPr>
            <w:tcW w:w="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(0.97)</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536"/>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648"/>
        <w:spacing w:after="0" w:line="203" w:lineRule="exact"/>
        <w:rPr>
          <w:sz w:val="20"/>
          <w:szCs w:val="20"/>
          <w:color w:val="auto"/>
        </w:rPr>
      </w:pPr>
      <w:r>
        <w:rPr>
          <w:rFonts w:ascii="Arial" w:cs="Arial" w:eastAsia="Arial" w:hAnsi="Arial"/>
          <w:sz w:val="18"/>
          <w:szCs w:val="18"/>
          <w:color w:val="auto"/>
        </w:rPr>
        <w:t>The following potentially dilutive securities outstanding at September 30, 2017 and 2016 have been excluded from the computation of diluted weighted average shares outstanding, as they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40" w:type="dxa"/>
            <w:vAlign w:val="bottom"/>
            <w:gridSpan w:val="4"/>
          </w:tcPr>
          <w:p>
            <w:pPr>
              <w:ind w:lef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98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2,341,995</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1,776,856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Warrants</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218,547</w:t>
            </w:r>
          </w:p>
        </w:tc>
        <w:tc>
          <w:tcPr>
            <w:tcW w:w="2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272,468</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2,560,542</w:t>
            </w: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2,049,324</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On December 1, 2016, the Company filed a shelf registration statement with the SEC for the issuance of common stock, preferred stock, warrants, rights, debt securities and units up to an aggregate amount of $150.0 million, which the Company refers to as the 2016 Shelf Registration Statement. On December 16, 2016, the 2016 Shelf Registration Statement was declared effective by the SEC. The Company completed an offering of common stock in March 2017 and entered into an agreement to sell up to $30 million in shares of its common stock from time to time utilizing the 2016 Shelf Registration Statement (see below).</w:t>
      </w:r>
    </w:p>
    <w:p>
      <w:pPr>
        <w:spacing w:after="0" w:line="4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28"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2017, the Company completed an underwritten public offering, whereby it sold 4,304,813 shares of common stock at a public offering price of $3.74 per share. The Company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In October 2017, the Company entered into a sales agreement (the “Sales Agreement”) with Leerink Partners LLC ("Leerink"), pursuant to which the Company may sell up to $30 million in shares of its common stock from time to time through Leerink, acting as its sales agent, in one or more at-the-market offerings utilizing the 2016 Shelf Registration Statement. Leerink is entitled to receive a commission of 3.0% of the gross proceeds for any shares sold under the Sales Agreement. No sales were made under the Sales Agreement as of November 8, 2017.</w:t>
      </w:r>
    </w:p>
    <w:p>
      <w:pPr>
        <w:spacing w:after="0" w:line="121"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ind w:right="120" w:firstLine="648"/>
        <w:spacing w:after="0" w:line="226" w:lineRule="auto"/>
        <w:rPr>
          <w:sz w:val="20"/>
          <w:szCs w:val="20"/>
          <w:color w:val="auto"/>
        </w:rPr>
      </w:pPr>
      <w:r>
        <w:rPr>
          <w:rFonts w:ascii="Arial" w:cs="Arial" w:eastAsia="Arial" w:hAnsi="Arial"/>
          <w:sz w:val="18"/>
          <w:szCs w:val="18"/>
          <w:color w:val="auto"/>
        </w:rPr>
        <w:t>Shares available for the issuance of stock options or other stock-based awards under the Company’s 2015 Omnibus Incentive Compensation Plan were 2,831,963 at September 30, 2017.</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stock option activity for the nine months ended September 30,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9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920" w:type="dxa"/>
            <w:vAlign w:val="bottom"/>
          </w:tcPr>
          <w:p>
            <w:pPr>
              <w:jc w:val="right"/>
              <w:ind w:right="94"/>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term</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69"/>
        </w:trPr>
        <w:tc>
          <w:tcPr>
            <w:tcW w:w="50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2016</w:t>
            </w: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1,772,050</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5.74</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768,573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5.05</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(83,153)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3.72</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(99,407)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6.67</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(16,068)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line="170" w:lineRule="exact"/>
              <w:rPr>
                <w:sz w:val="20"/>
                <w:szCs w:val="20"/>
                <w:color w:val="auto"/>
              </w:rPr>
            </w:pPr>
            <w:r>
              <w:rPr>
                <w:rFonts w:ascii="Arial" w:cs="Arial" w:eastAsia="Arial" w:hAnsi="Arial"/>
                <w:sz w:val="18"/>
                <w:szCs w:val="18"/>
                <w:color w:val="auto"/>
              </w:rPr>
              <w:t>Outstanding at September 30, 2017</w:t>
            </w: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2,341,995</w:t>
            </w:r>
          </w:p>
        </w:tc>
        <w:tc>
          <w:tcPr>
            <w:tcW w:w="260" w:type="dxa"/>
            <w:vAlign w:val="bottom"/>
            <w:gridSpan w:val="2"/>
          </w:tcPr>
          <w:p>
            <w:pPr>
              <w:ind w:left="140"/>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5.52</w:t>
            </w:r>
          </w:p>
        </w:tc>
        <w:tc>
          <w:tcPr>
            <w:tcW w:w="160" w:type="dxa"/>
            <w:vAlign w:val="bottom"/>
          </w:tcPr>
          <w:p>
            <w:pPr>
              <w:spacing w:after="0"/>
              <w:rPr>
                <w:sz w:val="15"/>
                <w:szCs w:val="15"/>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8.4</w:t>
            </w:r>
          </w:p>
        </w:tc>
        <w:tc>
          <w:tcPr>
            <w:tcW w:w="160" w:type="dxa"/>
            <w:vAlign w:val="bottom"/>
          </w:tcPr>
          <w:p>
            <w:pPr>
              <w:spacing w:after="0"/>
              <w:rPr>
                <w:sz w:val="15"/>
                <w:szCs w:val="15"/>
                <w:color w:val="auto"/>
              </w:rPr>
            </w:pPr>
          </w:p>
        </w:tc>
        <w:tc>
          <w:tcPr>
            <w:tcW w:w="120" w:type="dxa"/>
            <w:vAlign w:val="bottom"/>
            <w:gridSpan w:val="2"/>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w w:val="97"/>
              </w:rPr>
              <w:t>2,346,070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September 30, 2017</w:t>
            </w:r>
          </w:p>
        </w:tc>
        <w:tc>
          <w:tcPr>
            <w:tcW w:w="9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2,335,826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2,319,852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60" w:type="dxa"/>
            <w:vAlign w:val="bottom"/>
          </w:tcPr>
          <w:p>
            <w:pPr>
              <w:spacing w:after="0" w:line="163" w:lineRule="exact"/>
              <w:rPr>
                <w:sz w:val="20"/>
                <w:szCs w:val="20"/>
                <w:color w:val="auto"/>
              </w:rPr>
            </w:pPr>
            <w:r>
              <w:rPr>
                <w:rFonts w:ascii="Arial" w:cs="Arial" w:eastAsia="Arial" w:hAnsi="Arial"/>
                <w:sz w:val="18"/>
                <w:szCs w:val="18"/>
                <w:color w:val="auto"/>
              </w:rPr>
              <w:t>Exercisable at September 30, 2017</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1,176,892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4.62</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7.6</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7"/>
              </w:rPr>
              <w:t>2,011,795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Company periodically remeasures the fair value of 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and records the expense over the requisite service period. The expected term of the Company’s stock options has been determined utilizing the “simplified” method as described in the SEC’s Staff Accounting Bulletin No. 107 relating to stock</w:t>
      </w:r>
      <w:r>
        <w:rPr>
          <w:rFonts w:ascii="MS PGothic" w:cs="MS PGothic" w:eastAsia="MS PGothic" w:hAnsi="MS PGothic"/>
          <w:sz w:val="16"/>
          <w:szCs w:val="16"/>
          <w:color w:val="auto"/>
        </w:rPr>
        <w:t>‑</w:t>
      </w:r>
      <w:r>
        <w:rPr>
          <w:rFonts w:ascii="Arial" w:cs="Arial" w:eastAsia="Arial" w:hAnsi="Arial"/>
          <w:sz w:val="16"/>
          <w:szCs w:val="16"/>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w:t>
      </w:r>
    </w:p>
    <w:p>
      <w:pPr>
        <w:spacing w:after="0" w:line="168" w:lineRule="exact"/>
        <w:rPr>
          <w:sz w:val="20"/>
          <w:szCs w:val="20"/>
          <w:color w:val="auto"/>
        </w:rPr>
      </w:pPr>
    </w:p>
    <w:p>
      <w:pPr>
        <w:ind w:right="260" w:firstLine="648"/>
        <w:spacing w:after="0" w:line="185" w:lineRule="exact"/>
        <w:rPr>
          <w:sz w:val="20"/>
          <w:szCs w:val="20"/>
          <w:color w:val="auto"/>
        </w:rPr>
      </w:pPr>
      <w:r>
        <w:rPr>
          <w:rFonts w:ascii="Arial" w:cs="Arial" w:eastAsia="Arial" w:hAnsi="Arial"/>
          <w:sz w:val="17"/>
          <w:szCs w:val="17"/>
          <w:color w:val="auto"/>
        </w:rPr>
        <w:t>The weighted average valuation date fair value of options granted was $3.21 and $5.14 per option for the nine months ended September 30, 2017 and 2016, respectively. As of September 30, 2017, there was $4.5 million of total unrecognized compensation cost related to non</w:t>
      </w:r>
      <w:r>
        <w:rPr>
          <w:rFonts w:ascii="MS PGothic" w:cs="MS PGothic" w:eastAsia="MS PGothic" w:hAnsi="MS PGothic"/>
          <w:sz w:val="17"/>
          <w:szCs w:val="17"/>
          <w:color w:val="auto"/>
        </w:rPr>
        <w:t>‑</w:t>
      </w:r>
      <w:r>
        <w:rPr>
          <w:rFonts w:ascii="Arial" w:cs="Arial" w:eastAsia="Arial" w:hAnsi="Arial"/>
          <w:sz w:val="17"/>
          <w:szCs w:val="17"/>
          <w:color w:val="auto"/>
        </w:rPr>
        <w:t>vested stock options which is expected to be recognized over a weighted average period of 2.9 years. These amounts do not include 6,169 options outstanding as of September 30, 2017, which are performance</w:t>
      </w:r>
      <w:r>
        <w:rPr>
          <w:rFonts w:ascii="MS PGothic" w:cs="MS PGothic" w:eastAsia="MS PGothic" w:hAnsi="MS PGothic"/>
          <w:sz w:val="17"/>
          <w:szCs w:val="17"/>
          <w:color w:val="auto"/>
        </w:rPr>
        <w:t>‑</w:t>
      </w:r>
      <w:r>
        <w:rPr>
          <w:rFonts w:ascii="Arial" w:cs="Arial" w:eastAsia="Arial" w:hAnsi="Arial"/>
          <w:sz w:val="17"/>
          <w:szCs w:val="17"/>
          <w:color w:val="auto"/>
        </w:rPr>
        <w:t>based and vest upon the achievement of certain corporate milestones.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will be measured and recorded if and when it is probable that the milestone will occur.</w:t>
      </w:r>
    </w:p>
    <w:p>
      <w:pPr>
        <w:spacing w:after="0" w:line="165" w:lineRule="exact"/>
        <w:rPr>
          <w:sz w:val="20"/>
          <w:szCs w:val="20"/>
          <w:color w:val="auto"/>
        </w:rPr>
      </w:pPr>
    </w:p>
    <w:p>
      <w:pPr>
        <w:ind w:right="20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the three and nine months ended September 30, 2017 and 2016 was allocated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Three months ended September 30,</w:t>
            </w:r>
          </w:p>
        </w:tc>
        <w:tc>
          <w:tcPr>
            <w:tcW w:w="60" w:type="dxa"/>
            <w:vAlign w:val="bottom"/>
          </w:tcPr>
          <w:p>
            <w:pPr>
              <w:spacing w:after="0"/>
              <w:rPr>
                <w:sz w:val="14"/>
                <w:szCs w:val="14"/>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540" w:type="dxa"/>
            <w:vAlign w:val="bottom"/>
            <w:gridSpan w:val="2"/>
            <w:shd w:val="clear" w:color="auto" w:fill="CCEEFF"/>
          </w:tcPr>
          <w:p>
            <w:pPr>
              <w:ind w:left="1300"/>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127,322</w:t>
            </w:r>
          </w:p>
        </w:tc>
        <w:tc>
          <w:tcPr>
            <w:tcW w:w="420" w:type="dxa"/>
            <w:vAlign w:val="bottom"/>
            <w:gridSpan w:val="2"/>
            <w:shd w:val="clear" w:color="auto" w:fill="CCEEFF"/>
          </w:tcPr>
          <w:p>
            <w:pPr>
              <w:jc w:val="right"/>
              <w:ind w:right="65"/>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174,287</w:t>
            </w:r>
          </w:p>
        </w:tc>
        <w:tc>
          <w:tcPr>
            <w:tcW w:w="240" w:type="dxa"/>
            <w:vAlign w:val="bottom"/>
            <w:gridSpan w:val="2"/>
            <w:shd w:val="clear" w:color="auto" w:fill="CCEEFF"/>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408,077</w:t>
            </w:r>
          </w:p>
        </w:tc>
        <w:tc>
          <w:tcPr>
            <w:tcW w:w="24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942,228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line="176" w:lineRule="exact"/>
              <w:rPr>
                <w:sz w:val="20"/>
                <w:szCs w:val="20"/>
                <w:color w:val="auto"/>
              </w:rPr>
            </w:pPr>
            <w:r>
              <w:rPr>
                <w:rFonts w:ascii="Arial" w:cs="Arial" w:eastAsia="Arial" w:hAnsi="Arial"/>
                <w:sz w:val="18"/>
                <w:szCs w:val="18"/>
                <w:color w:val="auto"/>
                <w:w w:val="95"/>
              </w:rPr>
              <w:t>260,723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8"/>
                <w:szCs w:val="18"/>
                <w:color w:val="auto"/>
                <w:w w:val="95"/>
              </w:rPr>
              <w:t>284,181</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1,127,214</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654,465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ind w:left="140"/>
              <w:spacing w:after="0" w:line="170" w:lineRule="exact"/>
              <w:rPr>
                <w:sz w:val="20"/>
                <w:szCs w:val="20"/>
                <w:color w:val="auto"/>
              </w:rPr>
            </w:pPr>
            <w:r>
              <w:rPr>
                <w:rFonts w:ascii="Arial" w:cs="Arial" w:eastAsia="Arial" w:hAnsi="Arial"/>
                <w:sz w:val="18"/>
                <w:szCs w:val="18"/>
                <w:color w:val="auto"/>
                <w:w w:val="95"/>
              </w:rPr>
              <w:t>388,045</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160"/>
              <w:spacing w:after="0" w:line="170" w:lineRule="exact"/>
              <w:rPr>
                <w:sz w:val="20"/>
                <w:szCs w:val="20"/>
                <w:color w:val="auto"/>
              </w:rPr>
            </w:pPr>
            <w:r>
              <w:rPr>
                <w:rFonts w:ascii="Arial" w:cs="Arial" w:eastAsia="Arial" w:hAnsi="Arial"/>
                <w:sz w:val="18"/>
                <w:szCs w:val="18"/>
                <w:color w:val="auto"/>
                <w:w w:val="95"/>
              </w:rPr>
              <w:t>458,468</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1,535,291</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1,596,693</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40" w:type="dxa"/>
            <w:vAlign w:val="bottom"/>
            <w:gridSpan w:val="2"/>
          </w:tcPr>
          <w:p>
            <w:pPr>
              <w:jc w:val="right"/>
              <w:ind w:right="39"/>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89" w:lineRule="exact"/>
        <w:rPr>
          <w:sz w:val="20"/>
          <w:szCs w:val="20"/>
          <w:color w:val="auto"/>
        </w:rPr>
      </w:pPr>
    </w:p>
    <w:p>
      <w:pPr>
        <w:ind w:right="60" w:firstLine="648"/>
        <w:spacing w:after="0" w:line="185" w:lineRule="exact"/>
        <w:rPr>
          <w:sz w:val="20"/>
          <w:szCs w:val="20"/>
          <w:color w:val="auto"/>
        </w:rPr>
      </w:pPr>
      <w:r>
        <w:rPr>
          <w:rFonts w:ascii="Arial" w:cs="Arial" w:eastAsia="Arial" w:hAnsi="Arial"/>
          <w:sz w:val="17"/>
          <w:szCs w:val="17"/>
          <w:color w:val="auto"/>
        </w:rPr>
        <w:t>The Company issued no performance-based awards during the nine months ended September 30, 2017 and 2016. For awards granted to employees with performance conditions, no expense will be recognized, and no measurement date can occur, until the occurrence of the event is probable. For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the Company will recognize the lowest aggregate amount within the range of potential values as expense until the measurement date is established. For the nine months ended September 30, 2017 and 2016, the Company recognized $23,694 and $573,708, respectively, as expense related to performance</w:t>
      </w:r>
      <w:r>
        <w:rPr>
          <w:rFonts w:ascii="MS PGothic" w:cs="MS PGothic" w:eastAsia="MS PGothic" w:hAnsi="MS PGothic"/>
          <w:sz w:val="17"/>
          <w:szCs w:val="17"/>
          <w:color w:val="auto"/>
        </w:rPr>
        <w:t>‑</w:t>
      </w:r>
      <w:r>
        <w:rPr>
          <w:rFonts w:ascii="Arial" w:cs="Arial" w:eastAsia="Arial" w:hAnsi="Arial"/>
          <w:sz w:val="17"/>
          <w:szCs w:val="17"/>
          <w:color w:val="auto"/>
        </w:rPr>
        <w:t>based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nine months ended September 30,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9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6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2016</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337,696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6"/>
        </w:trPr>
        <w:tc>
          <w:tcPr>
            <w:tcW w:w="65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Exercised</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(119,149)</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76"/>
        </w:trPr>
        <w:tc>
          <w:tcPr>
            <w:tcW w:w="65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September 30, 2017</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218,547</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2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2016 which was filed with the Securities and Exchange Commission, or SEC, on March 7, 2017</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We are a clinical-stage biopharmaceutical company developing novel therapies for central nervous system, or CNS, disorders for which there are limited treatment options. By focusing on this therapeutic area, we are addressing significant and growing markets where current treatment options are limited or inadequate. Our product candidate portfolio includes three clinical-stage candidates, AXS-05, AXS-02, and AXS-06, which we are developing for multiple indications. We are conducting a Phase 3 trial with AXS-05 in treatment resistant depression, or TRD, which we refer to as the STRIDE-1 study, and a Phase 2/3 trial in agitation in patients with Alzheimer’s disease, or AD, which we refer to as the ADVANCE-1 study. We are also conducting a Phase 3 trial with AXS-02 in complex regional pain syndrome, or CRPS, which we refer to as the CREATE-1 study, and a Phase 3 trial with AXS-02 in knee osteoarthritis, or OA, associated with bone marrow lesions, or BMLs, pursuant to a Special Protocol Assessment, or SPA, which we refer to as the COAST-1 study. We also plan to initiate a Phase 3 trial with AXS</w:t>
      </w:r>
      <w:r>
        <w:rPr>
          <w:rFonts w:ascii="MS PGothic" w:cs="MS PGothic" w:eastAsia="MS PGothic" w:hAnsi="MS PGothic"/>
          <w:sz w:val="17"/>
          <w:szCs w:val="17"/>
          <w:color w:val="auto"/>
        </w:rPr>
        <w:t>‑</w:t>
      </w:r>
      <w:r>
        <w:rPr>
          <w:rFonts w:ascii="Arial" w:cs="Arial" w:eastAsia="Arial" w:hAnsi="Arial"/>
          <w:sz w:val="17"/>
          <w:szCs w:val="17"/>
          <w:color w:val="auto"/>
        </w:rPr>
        <w:t>02 in chronic low back pain, or CLBP, associated with Modic changes, or MCs. We have completed a Phase 1 trial of AXS-06. We aim to become a fully integrated biopharmaceutical company that develops and commercializes differentiated therapies that expand the treatment options available to caregivers and improve the lives of patients living with CNS disorders.</w:t>
      </w:r>
    </w:p>
    <w:p>
      <w:pPr>
        <w:spacing w:after="0" w:line="169" w:lineRule="exact"/>
        <w:rPr>
          <w:sz w:val="20"/>
          <w:szCs w:val="20"/>
          <w:color w:val="auto"/>
        </w:rPr>
      </w:pPr>
    </w:p>
    <w:p>
      <w:pPr>
        <w:ind w:right="80" w:firstLine="648"/>
        <w:spacing w:after="0" w:line="182"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is an innovative fixed</w:t>
      </w:r>
      <w:r>
        <w:rPr>
          <w:rFonts w:ascii="MS PGothic" w:cs="MS PGothic" w:eastAsia="MS PGothic" w:hAnsi="MS PGothic"/>
          <w:sz w:val="16"/>
          <w:szCs w:val="16"/>
          <w:color w:val="auto"/>
        </w:rPr>
        <w:t>‑</w:t>
      </w:r>
      <w:r>
        <w:rPr>
          <w:rFonts w:ascii="Arial" w:cs="Arial" w:eastAsia="Arial" w:hAnsi="Arial"/>
          <w:sz w:val="16"/>
          <w:szCs w:val="16"/>
          <w:color w:val="auto"/>
        </w:rPr>
        <w:t>dose combination of dextromethorphan, or DM, and bupropion. We are developing AXS</w:t>
      </w:r>
      <w:r>
        <w:rPr>
          <w:rFonts w:ascii="MS PGothic" w:cs="MS PGothic" w:eastAsia="MS PGothic" w:hAnsi="MS PGothic"/>
          <w:sz w:val="16"/>
          <w:szCs w:val="16"/>
          <w:color w:val="auto"/>
        </w:rPr>
        <w:t>‑</w:t>
      </w:r>
      <w:r>
        <w:rPr>
          <w:rFonts w:ascii="Arial" w:cs="Arial" w:eastAsia="Arial" w:hAnsi="Arial"/>
          <w:sz w:val="16"/>
          <w:szCs w:val="16"/>
          <w:color w:val="auto"/>
        </w:rPr>
        <w:t>05 initially for the treatment of the following two conditions: TRD and agitation in patients with AD. DM is active at multiple CNS receptors but is rapidly and extensively metabolized in humans. As a result, it is difficult to attain potential therapeutic plasma levels of DM when it is dosed as a single agent. AXS</w:t>
      </w:r>
      <w:r>
        <w:rPr>
          <w:rFonts w:ascii="MS PGothic" w:cs="MS PGothic" w:eastAsia="MS PGothic" w:hAnsi="MS PGothic"/>
          <w:sz w:val="16"/>
          <w:szCs w:val="16"/>
          <w:color w:val="auto"/>
        </w:rPr>
        <w:t>‑</w:t>
      </w:r>
      <w:r>
        <w:rPr>
          <w:rFonts w:ascii="Arial" w:cs="Arial" w:eastAsia="Arial" w:hAnsi="Arial"/>
          <w:sz w:val="16"/>
          <w:szCs w:val="16"/>
          <w:color w:val="auto"/>
        </w:rPr>
        <w:t>05 uses bupropion as a novel drug delivery method to inhibit DM metabolism and increase its bioavailability. We have demonstrated in three Phase 1 trials that DM plasma levels are substantially increased into a potentially therapeutic range with the co</w:t>
      </w:r>
      <w:r>
        <w:rPr>
          <w:rFonts w:ascii="MS PGothic" w:cs="MS PGothic" w:eastAsia="MS PGothic" w:hAnsi="MS PGothic"/>
          <w:sz w:val="16"/>
          <w:szCs w:val="16"/>
          <w:color w:val="auto"/>
        </w:rPr>
        <w:t>‑</w:t>
      </w:r>
      <w:r>
        <w:rPr>
          <w:rFonts w:ascii="Arial" w:cs="Arial" w:eastAsia="Arial" w:hAnsi="Arial"/>
          <w:sz w:val="16"/>
          <w:szCs w:val="16"/>
          <w:color w:val="auto"/>
        </w:rPr>
        <w:t>administration of bupropion. Bupropion is itself active at distinct CNS receptors, providing the potential for an additive or synergistic effect. We intend to seek U.S. Food and Drug Administration, or FDA, approval for AXS</w:t>
      </w:r>
      <w:r>
        <w:rPr>
          <w:rFonts w:ascii="MS PGothic" w:cs="MS PGothic" w:eastAsia="MS PGothic" w:hAnsi="MS PGothic"/>
          <w:sz w:val="16"/>
          <w:szCs w:val="16"/>
          <w:color w:val="auto"/>
        </w:rPr>
        <w:t>‑</w:t>
      </w:r>
      <w:r>
        <w:rPr>
          <w:rFonts w:ascii="Arial" w:cs="Arial" w:eastAsia="Arial" w:hAnsi="Arial"/>
          <w:sz w:val="16"/>
          <w:szCs w:val="16"/>
          <w:color w:val="auto"/>
        </w:rPr>
        <w:t>05 utilizing the 505(b)(2) regulatory development pathway.</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second product candidate, AXS</w:t>
      </w:r>
      <w:r>
        <w:rPr>
          <w:rFonts w:ascii="MS PGothic" w:cs="MS PGothic" w:eastAsia="MS PGothic" w:hAnsi="MS PGothic"/>
          <w:sz w:val="17"/>
          <w:szCs w:val="17"/>
          <w:color w:val="auto"/>
        </w:rPr>
        <w:t>‑</w:t>
      </w:r>
      <w:r>
        <w:rPr>
          <w:rFonts w:ascii="Arial" w:cs="Arial" w:eastAsia="Arial" w:hAnsi="Arial"/>
          <w:sz w:val="17"/>
          <w:szCs w:val="17"/>
          <w:color w:val="auto"/>
        </w:rPr>
        <w:t>02 (disodium zoledronate tetrahydrate), is a potentially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oral, targeted, non</w:t>
      </w:r>
      <w:r>
        <w:rPr>
          <w:rFonts w:ascii="MS PGothic" w:cs="MS PGothic" w:eastAsia="MS PGothic" w:hAnsi="MS PGothic"/>
          <w:sz w:val="17"/>
          <w:szCs w:val="17"/>
          <w:color w:val="auto"/>
        </w:rPr>
        <w:t>‑</w:t>
      </w:r>
      <w:r>
        <w:rPr>
          <w:rFonts w:ascii="Arial" w:cs="Arial" w:eastAsia="Arial" w:hAnsi="Arial"/>
          <w:sz w:val="17"/>
          <w:szCs w:val="17"/>
          <w:color w:val="auto"/>
        </w:rPr>
        <w:t>opioid therapeutic for chronic pain. AXS</w:t>
      </w:r>
      <w:r>
        <w:rPr>
          <w:rFonts w:ascii="MS PGothic" w:cs="MS PGothic" w:eastAsia="MS PGothic" w:hAnsi="MS PGothic"/>
          <w:sz w:val="17"/>
          <w:szCs w:val="17"/>
          <w:color w:val="auto"/>
        </w:rPr>
        <w:t>‑</w:t>
      </w:r>
      <w:r>
        <w:rPr>
          <w:rFonts w:ascii="Arial" w:cs="Arial" w:eastAsia="Arial" w:hAnsi="Arial"/>
          <w:sz w:val="17"/>
          <w:szCs w:val="17"/>
          <w:color w:val="auto"/>
        </w:rPr>
        <w:t>02 is a potent inhibitor of osteoclasts, which are bone remodeling cells that break down bone tissue. We are initially developing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in the following three conditions: CRPS;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7"/>
          <w:szCs w:val="17"/>
          <w:color w:val="auto"/>
        </w:rPr>
        <w:t>‑</w:t>
      </w:r>
      <w:r>
        <w:rPr>
          <w:rFonts w:ascii="Arial" w:cs="Arial" w:eastAsia="Arial" w:hAnsi="Arial"/>
          <w:sz w:val="17"/>
          <w:szCs w:val="17"/>
          <w:color w:val="auto"/>
        </w:rPr>
        <w:t>02, such as inhibition of osteoclast activity. These mechanisms may result in a reduction of pain in these conditions. We have successfully completed a Phase 1 trial of AXS</w:t>
      </w:r>
      <w:r>
        <w:rPr>
          <w:rFonts w:ascii="MS PGothic" w:cs="MS PGothic" w:eastAsia="MS PGothic" w:hAnsi="MS PGothic"/>
          <w:sz w:val="17"/>
          <w:szCs w:val="17"/>
          <w:color w:val="auto"/>
        </w:rPr>
        <w:t>‑</w:t>
      </w:r>
      <w:r>
        <w:rPr>
          <w:rFonts w:ascii="Arial" w:cs="Arial" w:eastAsia="Arial" w:hAnsi="Arial"/>
          <w:sz w:val="17"/>
          <w:szCs w:val="17"/>
          <w:color w:val="auto"/>
        </w:rPr>
        <w:t>02 to characterize the pharmacokinetics of zoledronic acid and its effects on markers of bone resorption after oral administration of AXS</w:t>
      </w:r>
      <w:r>
        <w:rPr>
          <w:rFonts w:ascii="MS PGothic" w:cs="MS PGothic" w:eastAsia="MS PGothic" w:hAnsi="MS PGothic"/>
          <w:sz w:val="17"/>
          <w:szCs w:val="17"/>
          <w:color w:val="auto"/>
        </w:rPr>
        <w:t>‑</w:t>
      </w:r>
      <w:r>
        <w:rPr>
          <w:rFonts w:ascii="Arial" w:cs="Arial" w:eastAsia="Arial" w:hAnsi="Arial"/>
          <w:sz w:val="17"/>
          <w:szCs w:val="17"/>
          <w:color w:val="auto"/>
        </w:rPr>
        <w:t>02. The results of our Phase 1 trial demonstrated that oral administration of AXS</w:t>
      </w:r>
      <w:r>
        <w:rPr>
          <w:rFonts w:ascii="MS PGothic" w:cs="MS PGothic" w:eastAsia="MS PGothic" w:hAnsi="MS PGothic"/>
          <w:sz w:val="17"/>
          <w:szCs w:val="17"/>
          <w:color w:val="auto"/>
        </w:rPr>
        <w:t>‑</w:t>
      </w:r>
      <w:r>
        <w:rPr>
          <w:rFonts w:ascii="Arial" w:cs="Arial" w:eastAsia="Arial" w:hAnsi="Arial"/>
          <w:sz w:val="17"/>
          <w:szCs w:val="17"/>
          <w:color w:val="auto"/>
        </w:rPr>
        <w:t>02 tablets resulted in rapid absorption of zoledronic acid, which is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and the free acid form of disodium zoledronate tetrahydrate, and substantial suppression of bone resorption markers, which are proteins indicative of bone tissue breakdown. We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194" w:lineRule="exact"/>
        <w:rPr>
          <w:sz w:val="20"/>
          <w:szCs w:val="20"/>
          <w:color w:val="auto"/>
        </w:rPr>
      </w:pPr>
      <w:r>
        <w:rPr>
          <w:rFonts w:ascii="Arial" w:cs="Arial" w:eastAsia="Arial" w:hAnsi="Arial"/>
          <w:sz w:val="18"/>
          <w:szCs w:val="18"/>
          <w:color w:val="auto"/>
        </w:rPr>
        <w:t>intend to seek FDA approval for AXS</w:t>
      </w:r>
      <w:r>
        <w:rPr>
          <w:rFonts w:ascii="MS PGothic" w:cs="MS PGothic" w:eastAsia="MS PGothic" w:hAnsi="MS PGothic"/>
          <w:sz w:val="18"/>
          <w:szCs w:val="18"/>
          <w:color w:val="auto"/>
        </w:rPr>
        <w:t>‑</w:t>
      </w:r>
      <w:r>
        <w:rPr>
          <w:rFonts w:ascii="Arial" w:cs="Arial" w:eastAsia="Arial" w:hAnsi="Arial"/>
          <w:sz w:val="18"/>
          <w:szCs w:val="18"/>
          <w:color w:val="auto"/>
        </w:rPr>
        <w:t>02 utilizing the 505(b)(2) regulatory development pathway. AXS</w:t>
      </w:r>
      <w:r>
        <w:rPr>
          <w:rFonts w:ascii="MS PGothic" w:cs="MS PGothic" w:eastAsia="MS PGothic" w:hAnsi="MS PGothic"/>
          <w:sz w:val="18"/>
          <w:szCs w:val="18"/>
          <w:color w:val="auto"/>
        </w:rPr>
        <w:t>‑</w:t>
      </w:r>
      <w:r>
        <w:rPr>
          <w:rFonts w:ascii="Arial" w:cs="Arial" w:eastAsia="Arial" w:hAnsi="Arial"/>
          <w:sz w:val="18"/>
          <w:szCs w:val="18"/>
          <w:color w:val="auto"/>
        </w:rPr>
        <w:t>02 has been granted Orphan Drug Designation by the FDA and Orphan Medicinal Product Designation by the European Medicines Agency, or EMA, for the treatment of CRPS.</w:t>
      </w:r>
    </w:p>
    <w:p>
      <w:pPr>
        <w:spacing w:after="0" w:line="163"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Our third product candidate, AXS 06, is a novel, oral, non-opioid, fixed-dose combination of MoSEIC™, or Molecular Solubility Enhanced Inclusion Complex, meloxicam and esomeprazole. We are developing AXS-06 initially for the treatment of osteoarthritis and rheumatoid arthritis.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AXS-06 utilizes our proprietary MoSEIC™ technology to substantially increase the solubility and speed the absorption of meloxicam while maintaining durability of action.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 We have successfully completed a Phase 1 trial of AXS-06 to characterize the pharmacokinetics of meloxicam and esomeprazole after oral administration of AXS-06. The results of our Phase 1 trial demonstrated that the median Tmax for meloxicam, the trial’s primary endpoint, was nine times faster for AXS-06 as compared to standard meloxicam. We intend to seek FDA approval for AXS 06 utilizing the 505(b)(2) regulatory development pathway.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October 2017, we entered into a sales agreement, or the Sales Agreement, with Leerink Partners LLC, or Leerink, pursuant to which we may sell up to $30 million in shares of our common stock from time to time through Leerink, acting as our sales agent, in one or more at-the-market offerings. Leerink is entitled to receive a commission of 3.0% of the gross proceeds for any shares sold under the Sales Agreement. We are not required to sell shares under the Sales Agreement and any sales of shares will be made pursuant to the 2016 Shelf Registration Statement (as described below). No sales were made under the Sales Agreement through November 8, 2017.</w:t>
      </w:r>
    </w:p>
    <w:p>
      <w:pPr>
        <w:spacing w:after="0" w:line="125" w:lineRule="exact"/>
        <w:rPr>
          <w:sz w:val="20"/>
          <w:szCs w:val="20"/>
          <w:color w:val="auto"/>
        </w:rPr>
      </w:pPr>
    </w:p>
    <w:p>
      <w:pPr>
        <w:ind w:right="160" w:firstLine="648"/>
        <w:spacing w:after="0" w:line="244" w:lineRule="auto"/>
        <w:rPr>
          <w:sz w:val="20"/>
          <w:szCs w:val="20"/>
          <w:color w:val="auto"/>
        </w:rPr>
      </w:pPr>
      <w:r>
        <w:rPr>
          <w:rFonts w:ascii="Arial" w:cs="Arial" w:eastAsia="Arial" w:hAnsi="Arial"/>
          <w:sz w:val="16"/>
          <w:szCs w:val="16"/>
          <w:color w:val="auto"/>
        </w:rPr>
        <w:t>In September 2017, we announced that the interim efficacy analysis of the CREATE-1 trial is expected year-end 2017. The interim analysis for CREATE-1 will be performed by an independent data monitoring committee, or IDMC. The IDMC will also perform the planned interim analysis of the Phase 3 COAST-1 trial of AXS-02 in knee osteoarthritis (OA) associated with bone marrow lesions (BMLs). The IDMC will analyze both CREATE-1 and COAST-1 trials at the same committee meeting and the results of these analyses are expected late December 2017 to early January 2018.</w:t>
      </w:r>
    </w:p>
    <w:p>
      <w:pPr>
        <w:spacing w:after="0" w:line="118"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July 2017, we announced that AXS-06 met the primary endpoint in a recently completed Phase 1 clinical trial. We also received in July 2017, from the FDA, Pre-Investigational New Drug Application, or Pre-IND, written guidance on a proposed clinical developmental program for AXS-06 for the relief of the signs and symptoms of OA and RA, and the reduction in the risk of developing upper gastrointestinal ulcers in patients at risk of developing NSAID associated upper gastrointestinal ulcers.</w:t>
      </w:r>
    </w:p>
    <w:p>
      <w:pPr>
        <w:spacing w:after="0" w:line="12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Also in July 2017, we enrolled the first patient in our ADVANCE-1 (Addressing Dementia Via Agitation-Centered Evaluation 1) study, a Phase 2/3 trial evaluating the efficacy and safety of AXS-05 for the treatment of AD agitation.</w:t>
      </w:r>
    </w:p>
    <w:p>
      <w:pPr>
        <w:spacing w:after="0" w:line="84"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2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have incurred significant operating and net losses since inception. We incurred net losses of $21.5 million and $19.9 million for the nine months ended September 30, 2017 and 2016, respectively. Our accumulated deficit as of September 30, 2017 was $69.2 million, and we expect to incur significant expenses and increasing operating losses for the foreseeable future. We expect our expenses to increase in connection with our ongoing activities, as we continue the development and clinical trials of, and seek regulatory approval for,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AXS-06, and any other product candidates that we develop or in</w:t>
      </w:r>
      <w:r>
        <w:rPr>
          <w:rFonts w:ascii="MS PGothic" w:cs="MS PGothic" w:eastAsia="MS PGothic" w:hAnsi="MS PGothic"/>
          <w:sz w:val="16"/>
          <w:szCs w:val="16"/>
          <w:color w:val="auto"/>
        </w:rPr>
        <w:t>‑</w:t>
      </w:r>
      <w:r>
        <w:rPr>
          <w:rFonts w:ascii="Arial" w:cs="Arial" w:eastAsia="Arial" w:hAnsi="Arial"/>
          <w:sz w:val="16"/>
          <w:szCs w:val="16"/>
          <w:color w:val="auto"/>
        </w:rPr>
        <w:t>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Accordingly, we will need additional financing to support our continuing operations. We will seek to fund our operations through public or private equity or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The following table summarizes our research and development expenses by program for the three and nine months ended September 30,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r>
      <w:tr>
        <w:trPr>
          <w:trHeight w:val="162"/>
        </w:trPr>
        <w:tc>
          <w:tcPr>
            <w:tcW w:w="3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29"/>
        </w:trPr>
        <w:tc>
          <w:tcPr>
            <w:tcW w:w="3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244"/>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6"/>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r>
      <w:tr>
        <w:trPr>
          <w:trHeight w:val="129"/>
        </w:trPr>
        <w:tc>
          <w:tcPr>
            <w:tcW w:w="3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3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AXS-02</w:t>
            </w:r>
          </w:p>
        </w:tc>
        <w:tc>
          <w:tcPr>
            <w:tcW w:w="1740" w:type="dxa"/>
            <w:vAlign w:val="bottom"/>
            <w:gridSpan w:val="2"/>
            <w:shd w:val="clear" w:color="auto" w:fill="CCEEFF"/>
          </w:tcPr>
          <w:p>
            <w:pPr>
              <w:jc w:val="right"/>
              <w:ind w:right="4"/>
              <w:spacing w:after="0" w:line="176" w:lineRule="exact"/>
              <w:rPr>
                <w:sz w:val="20"/>
                <w:szCs w:val="20"/>
                <w:color w:val="auto"/>
              </w:rPr>
            </w:pPr>
            <w:r>
              <w:rPr>
                <w:rFonts w:ascii="Arial" w:cs="Arial" w:eastAsia="Arial" w:hAnsi="Arial"/>
                <w:sz w:val="18"/>
                <w:szCs w:val="18"/>
                <w:color w:val="auto"/>
              </w:rPr>
              <w:t>$ 1,260,775</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2,473,888</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5,884,906</w:t>
            </w:r>
          </w:p>
        </w:tc>
        <w:tc>
          <w:tcPr>
            <w:tcW w:w="1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6,690,987</w:t>
            </w:r>
          </w:p>
        </w:tc>
        <w:tc>
          <w:tcPr>
            <w:tcW w:w="140" w:type="dxa"/>
            <w:vAlign w:val="bottom"/>
            <w:shd w:val="clear" w:color="auto" w:fill="CCEEFF"/>
          </w:tcPr>
          <w:p>
            <w:pPr>
              <w:spacing w:after="0"/>
              <w:rPr>
                <w:sz w:val="15"/>
                <w:szCs w:val="15"/>
                <w:color w:val="auto"/>
              </w:rPr>
            </w:pPr>
          </w:p>
        </w:tc>
      </w:tr>
      <w:tr>
        <w:trPr>
          <w:trHeight w:val="176"/>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AXS-05</w:t>
            </w:r>
          </w:p>
        </w:tc>
        <w:tc>
          <w:tcPr>
            <w:tcW w:w="1740" w:type="dxa"/>
            <w:vAlign w:val="bottom"/>
            <w:gridSpan w:val="2"/>
          </w:tcPr>
          <w:p>
            <w:pPr>
              <w:jc w:val="right"/>
              <w:ind w:right="4"/>
              <w:spacing w:after="0" w:line="176" w:lineRule="exact"/>
              <w:rPr>
                <w:sz w:val="20"/>
                <w:szCs w:val="20"/>
                <w:color w:val="auto"/>
              </w:rPr>
            </w:pPr>
            <w:r>
              <w:rPr>
                <w:rFonts w:ascii="Arial" w:cs="Arial" w:eastAsia="Arial" w:hAnsi="Arial"/>
                <w:sz w:val="18"/>
                <w:szCs w:val="18"/>
                <w:color w:val="auto"/>
              </w:rPr>
              <w:t>2,378,716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w w:val="92"/>
              </w:rPr>
              <w:t>2,552,026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7,062,448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5,921,846</w:t>
            </w:r>
          </w:p>
        </w:tc>
        <w:tc>
          <w:tcPr>
            <w:tcW w:w="140" w:type="dxa"/>
            <w:vAlign w:val="bottom"/>
          </w:tcPr>
          <w:p>
            <w:pPr>
              <w:spacing w:after="0"/>
              <w:rPr>
                <w:sz w:val="15"/>
                <w:szCs w:val="15"/>
                <w:color w:val="auto"/>
              </w:rPr>
            </w:pPr>
          </w:p>
        </w:tc>
      </w:tr>
      <w:tr>
        <w:trPr>
          <w:trHeight w:val="176"/>
        </w:trPr>
        <w:tc>
          <w:tcPr>
            <w:tcW w:w="3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AXS-06</w:t>
            </w:r>
          </w:p>
        </w:tc>
        <w:tc>
          <w:tcPr>
            <w:tcW w:w="1740" w:type="dxa"/>
            <w:vAlign w:val="bottom"/>
            <w:gridSpan w:val="2"/>
            <w:shd w:val="clear" w:color="auto" w:fill="CCEEFF"/>
          </w:tcPr>
          <w:p>
            <w:pPr>
              <w:jc w:val="right"/>
              <w:ind w:right="4"/>
              <w:spacing w:after="0" w:line="176" w:lineRule="exact"/>
              <w:rPr>
                <w:sz w:val="20"/>
                <w:szCs w:val="20"/>
                <w:color w:val="auto"/>
              </w:rPr>
            </w:pPr>
            <w:r>
              <w:rPr>
                <w:rFonts w:ascii="Arial" w:cs="Arial" w:eastAsia="Arial" w:hAnsi="Arial"/>
                <w:sz w:val="18"/>
                <w:szCs w:val="18"/>
                <w:color w:val="auto"/>
              </w:rPr>
              <w:t>68,087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19,524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478,085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224,033</w:t>
            </w:r>
          </w:p>
        </w:tc>
        <w:tc>
          <w:tcPr>
            <w:tcW w:w="140" w:type="dxa"/>
            <w:vAlign w:val="bottom"/>
            <w:shd w:val="clear" w:color="auto" w:fill="CCEEFF"/>
          </w:tcPr>
          <w:p>
            <w:pPr>
              <w:spacing w:after="0"/>
              <w:rPr>
                <w:sz w:val="15"/>
                <w:szCs w:val="15"/>
                <w:color w:val="auto"/>
              </w:rPr>
            </w:pPr>
          </w:p>
        </w:tc>
      </w:tr>
      <w:tr>
        <w:trPr>
          <w:trHeight w:val="176"/>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1740" w:type="dxa"/>
            <w:vAlign w:val="bottom"/>
            <w:gridSpan w:val="2"/>
          </w:tcPr>
          <w:p>
            <w:pPr>
              <w:jc w:val="right"/>
              <w:ind w:right="4"/>
              <w:spacing w:after="0" w:line="176" w:lineRule="exact"/>
              <w:rPr>
                <w:sz w:val="20"/>
                <w:szCs w:val="20"/>
                <w:color w:val="auto"/>
              </w:rPr>
            </w:pPr>
            <w:r>
              <w:rPr>
                <w:rFonts w:ascii="Arial" w:cs="Arial" w:eastAsia="Arial" w:hAnsi="Arial"/>
                <w:sz w:val="18"/>
                <w:szCs w:val="18"/>
                <w:color w:val="auto"/>
              </w:rPr>
              <w:t>636,226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349,052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1,630,190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1,613,995</w:t>
            </w:r>
          </w:p>
        </w:tc>
        <w:tc>
          <w:tcPr>
            <w:tcW w:w="140" w:type="dxa"/>
            <w:vAlign w:val="bottom"/>
          </w:tcPr>
          <w:p>
            <w:pPr>
              <w:spacing w:after="0"/>
              <w:rPr>
                <w:sz w:val="15"/>
                <w:szCs w:val="15"/>
                <w:color w:val="auto"/>
              </w:rPr>
            </w:pPr>
          </w:p>
        </w:tc>
      </w:tr>
      <w:tr>
        <w:trPr>
          <w:trHeight w:val="176"/>
        </w:trPr>
        <w:tc>
          <w:tcPr>
            <w:tcW w:w="3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1740" w:type="dxa"/>
            <w:vAlign w:val="bottom"/>
            <w:gridSpan w:val="2"/>
            <w:shd w:val="clear" w:color="auto" w:fill="CCEEFF"/>
          </w:tcPr>
          <w:p>
            <w:pPr>
              <w:jc w:val="right"/>
              <w:ind w:right="4"/>
              <w:spacing w:after="0" w:line="176" w:lineRule="exact"/>
              <w:rPr>
                <w:sz w:val="20"/>
                <w:szCs w:val="20"/>
                <w:color w:val="auto"/>
              </w:rPr>
            </w:pPr>
            <w:r>
              <w:rPr>
                <w:rFonts w:ascii="Arial" w:cs="Arial" w:eastAsia="Arial" w:hAnsi="Arial"/>
                <w:sz w:val="18"/>
                <w:szCs w:val="18"/>
                <w:color w:val="auto"/>
              </w:rPr>
              <w:t>127,322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174,287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408,077</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942,228</w:t>
            </w:r>
          </w:p>
        </w:tc>
        <w:tc>
          <w:tcPr>
            <w:tcW w:w="140" w:type="dxa"/>
            <w:vAlign w:val="bottom"/>
            <w:shd w:val="clear" w:color="auto" w:fill="CCEEFF"/>
          </w:tcPr>
          <w:p>
            <w:pPr>
              <w:spacing w:after="0"/>
              <w:rPr>
                <w:sz w:val="15"/>
                <w:szCs w:val="15"/>
                <w:color w:val="auto"/>
              </w:rPr>
            </w:pPr>
          </w:p>
        </w:tc>
      </w:tr>
      <w:tr>
        <w:trPr>
          <w:trHeight w:val="176"/>
        </w:trPr>
        <w:tc>
          <w:tcPr>
            <w:tcW w:w="3820" w:type="dxa"/>
            <w:vAlign w:val="bottom"/>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8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4"/>
              <w:spacing w:after="0" w:line="170" w:lineRule="exact"/>
              <w:rPr>
                <w:sz w:val="20"/>
                <w:szCs w:val="20"/>
                <w:color w:val="auto"/>
              </w:rPr>
            </w:pPr>
            <w:r>
              <w:rPr>
                <w:rFonts w:ascii="Arial" w:cs="Arial" w:eastAsia="Arial" w:hAnsi="Arial"/>
                <w:sz w:val="18"/>
                <w:szCs w:val="18"/>
                <w:color w:val="auto"/>
                <w:w w:val="86"/>
              </w:rPr>
              <w:t>$ 4,471,126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5,568,777</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15,463,706</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3"/>
              </w:rPr>
              <w:t>15,393,089</w:t>
            </w:r>
          </w:p>
        </w:tc>
        <w:tc>
          <w:tcPr>
            <w:tcW w:w="140" w:type="dxa"/>
            <w:vAlign w:val="bottom"/>
          </w:tcPr>
          <w:p>
            <w:pPr>
              <w:spacing w:after="0"/>
              <w:rPr>
                <w:sz w:val="15"/>
                <w:szCs w:val="15"/>
                <w:color w:val="auto"/>
              </w:rPr>
            </w:pPr>
          </w:p>
        </w:tc>
      </w:tr>
    </w:tbl>
    <w:p>
      <w:pPr>
        <w:spacing w:after="0" w:line="188"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Other research and development expenses primarily consist of employee salaries and benefits, and facilities and overhead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440"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discount/premium (expense) income</w:t>
      </w:r>
    </w:p>
    <w:p>
      <w:pPr>
        <w:spacing w:after="0" w:line="185" w:lineRule="exact"/>
        <w:rPr>
          <w:sz w:val="20"/>
          <w:szCs w:val="20"/>
          <w:color w:val="auto"/>
        </w:rPr>
      </w:pPr>
    </w:p>
    <w:p>
      <w:pPr>
        <w:ind w:right="280" w:firstLine="648"/>
        <w:spacing w:after="0" w:line="187" w:lineRule="exact"/>
        <w:rPr>
          <w:sz w:val="20"/>
          <w:szCs w:val="20"/>
          <w:color w:val="auto"/>
        </w:rPr>
      </w:pPr>
      <w:r>
        <w:rPr>
          <w:rFonts w:ascii="Arial" w:cs="Arial" w:eastAsia="Arial" w:hAnsi="Arial"/>
          <w:sz w:val="17"/>
          <w:szCs w:val="17"/>
          <w:color w:val="auto"/>
        </w:rPr>
        <w:t>Interest and amortization of debt discount/premium (expense) income primarily consists of cash interest and non</w:t>
      </w:r>
      <w:r>
        <w:rPr>
          <w:rFonts w:ascii="MS PGothic" w:cs="MS PGothic" w:eastAsia="MS PGothic" w:hAnsi="MS PGothic"/>
          <w:sz w:val="17"/>
          <w:szCs w:val="17"/>
          <w:color w:val="auto"/>
        </w:rPr>
        <w:t>‑</w:t>
      </w:r>
      <w:r>
        <w:rPr>
          <w:rFonts w:ascii="Arial" w:cs="Arial" w:eastAsia="Arial" w:hAnsi="Arial"/>
          <w:sz w:val="17"/>
          <w:szCs w:val="17"/>
          <w:color w:val="auto"/>
        </w:rPr>
        <w:t>cash costs related to our term loan with SVB, which was entered into in November 2016. We record costs incurred in connection with the issuance of debt as a direct deduction from the debt liability. We amortize these costs over the term of our debt agreements as interest expense in our consolidated statement of operations. Interest and amortization of debt discount/premium (expense) income also includes interest income earned on cash.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tax credit represents the receipt by Axsome Therapeutics Australia PTY LTD, our Australian subsidiary, of the Australia Tax Incentive Credit related to research and development expenses incurred during calendar year 2016 for our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400" w:firstLine="648"/>
        <w:spacing w:after="0" w:line="216" w:lineRule="auto"/>
        <w:rPr>
          <w:sz w:val="20"/>
          <w:szCs w:val="20"/>
          <w:color w:val="auto"/>
        </w:rPr>
      </w:pPr>
      <w:r>
        <w:rPr>
          <w:rFonts w:ascii="Arial" w:cs="Arial" w:eastAsia="Arial" w:hAnsi="Arial"/>
          <w:sz w:val="18"/>
          <w:szCs w:val="18"/>
          <w:color w:val="auto"/>
        </w:rPr>
        <w:t>Our discussion and analysis of financial condition and results of operations are based upon our consolidated financial statements, which have been prepared in accordance with U.S. generally accepted accounting principles. The preparation of these financial statements requires us to make significant estimates and judgments that affect the reported amounts of assets, liabilities, expenses and related disclosures. On an ongoing basis, our actual results may differ significantly from our estimates.</w:t>
      </w:r>
    </w:p>
    <w:p>
      <w:pPr>
        <w:spacing w:after="0" w:line="122"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“Management’s Discussion and Analysis of Financial Condition and Results of Operations” included in our annual report on Form 10-K filed with the SEC on March 7, 2017.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6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5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4"/>
              </w:rPr>
              <w:t>4,471,126</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4"/>
              </w:rPr>
              <w:t>5,568,777</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w w:val="97"/>
              </w:rPr>
              <w:t>15,463,706</w:t>
            </w:r>
          </w:p>
        </w:tc>
        <w:tc>
          <w:tcPr>
            <w:tcW w:w="14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15,393,089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1,826,290</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1,639,026</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5,256,481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4,524,859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6,297,416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7,207,803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20,720,187</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19,917,948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(6,297,416)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(7,207,803)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(20,720,187)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(19,917,948)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7"/>
                <w:szCs w:val="17"/>
                <w:color w:val="auto"/>
              </w:rPr>
              <w:t>Interest and amortization of debt discount/premium</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(343,234)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13,219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(999,818)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45,233</w:t>
            </w: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(expense) income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4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1"/>
              </w:rPr>
              <w:t>(6,433,536)</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1"/>
              </w:rPr>
              <w:t>(7,194,584)</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(21,512,891)</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(19,872,715)</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w:t>
      </w:r>
    </w:p>
    <w:p>
      <w:pPr>
        <w:spacing w:after="0" w:line="185"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were $4.5 million, compared to $5.6 million for the three months ended September 30, 2016, a decrease of $1.1 million. The decrease was primarily due to a reduction in the costs of our previously initiated clinical trials, which was partially offset by the initiation of our ADVANCE-1 study, pre-clinical costs for AXS-06, and manufacturing costs associated with our product candidates.</w:t>
      </w:r>
    </w:p>
    <w:p>
      <w:pPr>
        <w:spacing w:after="0" w:line="162"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were $1.8 million, compared to $1.6 million for the three months ended September 30, 2016, an increase of $0.2 million. The increase was primarily due to higher intellectual property expenses.</w:t>
      </w:r>
    </w:p>
    <w:p>
      <w:pPr>
        <w:spacing w:after="0" w:line="163"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i w:val="1"/>
          <w:iCs w:val="1"/>
          <w:color w:val="auto"/>
        </w:rPr>
        <w:t xml:space="preserve">Interest and Amortization of Debt Discount/Premium (Expense) Income. </w:t>
      </w:r>
      <w:r>
        <w:rPr>
          <w:rFonts w:ascii="Arial" w:cs="Arial" w:eastAsia="Arial" w:hAnsi="Arial"/>
          <w:sz w:val="18"/>
          <w:szCs w:val="18"/>
          <w:color w:val="auto"/>
        </w:rPr>
        <w:t>Interest and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discount/premium (expense) income for the three months ended September 30, 2017 was $0.3 million of expense, compared to income of approximately $13,000 for the three months ended September 30, 2016, an increase in expense of approximately $0.3 million. In 2017, the expense was related to interest and the amortization of the debt discount associated with our loan and security agreement with SVB.</w:t>
      </w:r>
    </w:p>
    <w:p>
      <w:pPr>
        <w:spacing w:after="0" w:line="162" w:lineRule="exact"/>
        <w:rPr>
          <w:sz w:val="20"/>
          <w:szCs w:val="20"/>
          <w:color w:val="auto"/>
        </w:rPr>
      </w:pPr>
    </w:p>
    <w:p>
      <w:pPr>
        <w:jc w:val="both"/>
        <w:ind w:right="60" w:firstLine="648"/>
        <w:spacing w:after="0" w:line="219" w:lineRule="auto"/>
        <w:rPr>
          <w:sz w:val="20"/>
          <w:szCs w:val="20"/>
          <w:color w:val="auto"/>
        </w:rPr>
      </w:pPr>
      <w:r>
        <w:rPr>
          <w:rFonts w:ascii="Arial" w:cs="Arial" w:eastAsia="Arial" w:hAnsi="Arial"/>
          <w:sz w:val="18"/>
          <w:szCs w:val="18"/>
          <w:i w:val="1"/>
          <w:iCs w:val="1"/>
          <w:color w:val="auto"/>
        </w:rPr>
        <w:t xml:space="preserve">Tax Credit. </w:t>
      </w:r>
      <w:r>
        <w:rPr>
          <w:rFonts w:ascii="Arial" w:cs="Arial" w:eastAsia="Arial" w:hAnsi="Arial"/>
          <w:sz w:val="18"/>
          <w:szCs w:val="18"/>
          <w:color w:val="auto"/>
        </w:rPr>
        <w:t>Tax credit income for the three months ended September 30, 2017 was $0.2 million and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by Axsome Therapeutics Australia PTY LTD, our Australian subsidiary, of the Australia Tax Incentive Credit related to the 2016 research and development expenses incurred for our product candidates. No tax credit was received for the three months ended September 30,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2016</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were $15.5 million, compared to $15.4 million for the nine months ended September 30, 2016, an increase of $0.1 million. The increase was primarily due to the initiation of our ADVANCE-1 study, the conduct of the AXS-06 Phase 1 trial, as well as manufacturing costs associated with our product candidates. These increased costs were partially offset by a decrease in costs of our previously initiated clinical trials and stock compensation expense.</w:t>
      </w:r>
    </w:p>
    <w:p>
      <w:pPr>
        <w:spacing w:after="0" w:line="173"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were $5.3 million, compared to $4.5 million for the nine months ended September 30, 2016, an increase of $0.8 million. The increase was primarily due to higher intellectual property expenses and stock compensation expense.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i w:val="1"/>
          <w:iCs w:val="1"/>
          <w:color w:val="auto"/>
        </w:rPr>
        <w:t xml:space="preserve">Interest and Amortization of Debt Discount/Premium (Expense) Income. </w:t>
      </w:r>
      <w:r>
        <w:rPr>
          <w:rFonts w:ascii="Arial" w:cs="Arial" w:eastAsia="Arial" w:hAnsi="Arial"/>
          <w:sz w:val="18"/>
          <w:szCs w:val="18"/>
          <w:color w:val="auto"/>
        </w:rPr>
        <w:t>Interest and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discount/premium (expense) income for the nine months ended September 30, 2017 was $1.0 million of expense, compared to income of $45,000 for the nine months ended September 30, 2016, an increase in expense of approximately $1.0 million. In 2017, the expense was related to interest and the amortization of the debt discount associated with our loan and security agreement with SVB.</w:t>
      </w:r>
    </w:p>
    <w:p>
      <w:pPr>
        <w:spacing w:after="0" w:line="162" w:lineRule="exact"/>
        <w:rPr>
          <w:sz w:val="20"/>
          <w:szCs w:val="20"/>
          <w:color w:val="auto"/>
        </w:rPr>
      </w:pPr>
    </w:p>
    <w:p>
      <w:pPr>
        <w:ind w:right="100" w:firstLine="693"/>
        <w:spacing w:after="0" w:line="219" w:lineRule="auto"/>
        <w:rPr>
          <w:sz w:val="20"/>
          <w:szCs w:val="20"/>
          <w:color w:val="auto"/>
        </w:rPr>
      </w:pPr>
      <w:r>
        <w:rPr>
          <w:rFonts w:ascii="Arial" w:cs="Arial" w:eastAsia="Arial" w:hAnsi="Arial"/>
          <w:sz w:val="18"/>
          <w:szCs w:val="18"/>
          <w:i w:val="1"/>
          <w:iCs w:val="1"/>
          <w:color w:val="auto"/>
        </w:rPr>
        <w:t xml:space="preserve">Tax Credit. </w:t>
      </w:r>
      <w:r>
        <w:rPr>
          <w:rFonts w:ascii="Arial" w:cs="Arial" w:eastAsia="Arial" w:hAnsi="Arial"/>
          <w:sz w:val="18"/>
          <w:szCs w:val="18"/>
          <w:color w:val="auto"/>
        </w:rPr>
        <w:t>Tax credit income for the nine months ended September 30, 2017 was $0.2 million and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by Axsome Therapeutics Australia PTY LTD, our Australian subsidiary, of the Australia Tax Incentive Credit related to the 2016 research and development expenses for our product candidates. No tax credit was received for the nine months ended September 30, 2016.</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November 2016, we entered into a loan and security agreement with SVB for a term loan of up to $20.0 million.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initial tranche of $10.0 million was funded shortly after executing the loan agreement.</w:t>
      </w:r>
    </w:p>
    <w:p>
      <w:pPr>
        <w:spacing w:after="0" w:line="47"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We completed an offering of common stock in March 2017 utilizing the 2016 Shelf Registration Statement (see below). In the future, we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33"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In March 2017, we completed an underwritten public offering, in which we sold 4,304,813 shares of common stock at a public offering price of $3.74 per share. We received gross proceeds of approximately $16.1 million and net proceeds of approximately $14.8 million, net of underwriting discounts and offering expenses.</w:t>
      </w:r>
    </w:p>
    <w:p>
      <w:pPr>
        <w:spacing w:after="0" w:line="123"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In October 2017, we entered into the Sales Agreement with Leerink, pursuant to which we may sell up to $30 million in shares of our common stock from time to time through Leerink, acting as our sales agent, in one or more at-the-market offerings. Leerink is entitled to receive commission of 3.0% of the gross proceeds for any shares sold under the Sales Agreement. We are not required to sell shares under the Sales Agreement and any sales of shares will be made pursuant to the shelf registration filed with the SEC. No sales were made under the Sales Agreement through November 8, 2017.</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At September 30, 2017, we had cash of $31.7 million. We currently anticipate our cash to be sufficient to fund our anticipated operating cash requirements into the first quarter of 2019.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16"/>
              <w:spacing w:after="0" w:line="129"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00"/>
              <w:spacing w:after="0" w:line="176" w:lineRule="exact"/>
              <w:rPr>
                <w:sz w:val="20"/>
                <w:szCs w:val="20"/>
                <w:color w:val="auto"/>
              </w:rPr>
            </w:pPr>
            <w:r>
              <w:rPr>
                <w:rFonts w:ascii="Arial" w:cs="Arial" w:eastAsia="Arial" w:hAnsi="Arial"/>
                <w:sz w:val="18"/>
                <w:szCs w:val="18"/>
                <w:color w:val="auto"/>
              </w:rPr>
              <w:t>Operating activities</w:t>
            </w:r>
          </w:p>
        </w:tc>
        <w:tc>
          <w:tcPr>
            <w:tcW w:w="2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w w:val="94"/>
              </w:rPr>
              <w:t>(20,180,422)</w:t>
            </w:r>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(14,064,629)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Investing activities</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(9,897)</w:t>
            </w:r>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(98,506)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00"/>
              <w:spacing w:after="0" w:line="176" w:lineRule="exact"/>
              <w:rPr>
                <w:sz w:val="20"/>
                <w:szCs w:val="20"/>
                <w:color w:val="auto"/>
              </w:rPr>
            </w:pPr>
            <w:r>
              <w:rPr>
                <w:rFonts w:ascii="Arial" w:cs="Arial" w:eastAsia="Arial" w:hAnsi="Arial"/>
                <w:sz w:val="18"/>
                <w:szCs w:val="18"/>
                <w:color w:val="auto"/>
              </w:rPr>
              <w:t>Financing activities</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w w:val="97"/>
              </w:rPr>
              <w:t>15,245,205</w:t>
            </w:r>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14,679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(decrease) in cash</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(4,945,114)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8"/>
              </w:rPr>
              <w:t>$ (14,148,456)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used in operating activities for the nine months ended September 30, 2017 was $20.2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$14.1 million for the nine months ended September 30, 2016. The increase of $6.1 million in net cash used was primarily related to a reduction in accounts payable and accrued expenses, and an increase in expenditures, driven by manufacturing costs for our product candidates, the initiation of our ADVANCE-1 study, personnel costs, the conduct of the AXS-06 Phase 1 trial, interest related to our term loan with SVB, which were partially offset by a decrease in costs of our previously initiated clinical trials.</w:t>
      </w:r>
    </w:p>
    <w:p>
      <w:pPr>
        <w:spacing w:after="0" w:line="162"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property and equipment was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nine months ended September 30, 2017 and 2016.</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$15.2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which included the net proceeds from the sale of common stock in the March 2017 public offering of $14.8 million as well as $0.4 million from the exercise of options and warrants. Cash provided by financing activities was less than $0.1 million for the nine months ended September 30, 2016 .</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sz w:val="20"/>
          <w:szCs w:val="20"/>
          <w:color w:val="auto"/>
        </w:rPr>
      </w:pPr>
    </w:p>
    <w:p>
      <w:pPr>
        <w:ind w:left="920" w:right="360" w:firstLine="29"/>
        <w:spacing w:after="0" w:line="235" w:lineRule="auto"/>
        <w:rPr>
          <w:sz w:val="20"/>
          <w:szCs w:val="20"/>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81" w:lineRule="exact"/>
        <w:rPr>
          <w:sz w:val="20"/>
          <w:szCs w:val="20"/>
          <w:color w:val="auto"/>
        </w:rPr>
      </w:pPr>
    </w:p>
    <w:p>
      <w:pPr>
        <w:ind w:left="940" w:right="1580"/>
        <w:spacing w:after="0" w:line="422" w:lineRule="auto"/>
        <w:rPr>
          <w:sz w:val="20"/>
          <w:szCs w:val="20"/>
          <w:color w:val="auto"/>
        </w:rPr>
      </w:pPr>
      <w:r>
        <w:rPr>
          <w:rFonts w:ascii="Arial" w:cs="Arial" w:eastAsia="Arial" w:hAnsi="Arial"/>
          <w:sz w:val="16"/>
          <w:szCs w:val="16"/>
          <w:color w:val="auto"/>
        </w:rPr>
        <w:t>the number and development requirements of any other product candidates that we pursue; the costs, timing, and outcome of regulatory reviews of our product candidates;</w:t>
      </w:r>
    </w:p>
    <w:p>
      <w:pPr>
        <w:spacing w:after="0" w:line="1" w:lineRule="exact"/>
        <w:rPr>
          <w:sz w:val="20"/>
          <w:szCs w:val="20"/>
          <w:color w:val="auto"/>
        </w:rPr>
      </w:pPr>
    </w:p>
    <w:p>
      <w:pPr>
        <w:ind w:left="920" w:right="160" w:firstLine="29"/>
        <w:spacing w:after="0" w:line="258" w:lineRule="auto"/>
        <w:rPr>
          <w:sz w:val="20"/>
          <w:szCs w:val="20"/>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any product liability or other lawsuits related to our product candidates;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expenses needed to attract and retain skilled personnel;</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general and administrative expenses related to being a public company;</w:t>
      </w:r>
    </w:p>
    <w:p>
      <w:pPr>
        <w:spacing w:after="0" w:line="104" w:lineRule="exact"/>
        <w:rPr>
          <w:sz w:val="20"/>
          <w:szCs w:val="20"/>
          <w:color w:val="auto"/>
        </w:rPr>
      </w:pPr>
    </w:p>
    <w:p>
      <w:pPr>
        <w:ind w:left="920" w:right="200" w:firstLine="29"/>
        <w:spacing w:after="0" w:line="235" w:lineRule="auto"/>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94" w:lineRule="exact"/>
        <w:rPr>
          <w:sz w:val="20"/>
          <w:szCs w:val="20"/>
          <w:color w:val="auto"/>
        </w:rPr>
      </w:pPr>
    </w:p>
    <w:p>
      <w:pPr>
        <w:ind w:left="920" w:right="520" w:firstLine="29"/>
        <w:spacing w:after="0" w:line="203" w:lineRule="exact"/>
        <w:rPr>
          <w:sz w:val="20"/>
          <w:szCs w:val="20"/>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sz w:val="20"/>
          <w:szCs w:val="20"/>
          <w:color w:val="auto"/>
        </w:rPr>
      </w:pPr>
    </w:p>
    <w:p>
      <w:pPr>
        <w:ind w:right="1360" w:firstLine="648"/>
        <w:spacing w:after="0" w:line="454" w:lineRule="auto"/>
        <w:rPr>
          <w:sz w:val="20"/>
          <w:szCs w:val="20"/>
          <w:color w:val="auto"/>
        </w:rPr>
      </w:pPr>
      <w:r>
        <w:rPr>
          <w:rFonts w:ascii="Arial" w:cs="Arial" w:eastAsia="Arial" w:hAnsi="Arial"/>
          <w:sz w:val="18"/>
          <w:szCs w:val="18"/>
          <w:color w:val="auto"/>
        </w:rPr>
        <w:t xml:space="preserve">Please see “Risk Factors” for additional risks associated with our substantial capital requirements. </w:t>
      </w:r>
      <w:r>
        <w:rPr>
          <w:rFonts w:ascii="Arial" w:cs="Arial" w:eastAsia="Arial" w:hAnsi="Arial"/>
          <w:sz w:val="18"/>
          <w:szCs w:val="18"/>
          <w:b w:val="1"/>
          <w:bCs w:val="1"/>
          <w:color w:val="auto"/>
        </w:rPr>
        <w:t>Contractual Obligations and Commitments</w:t>
      </w:r>
    </w:p>
    <w:p>
      <w:pPr>
        <w:ind w:right="160" w:firstLine="648"/>
        <w:spacing w:after="0" w:line="232"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2016 Loan and Security Agreement—Silicon Valley Bank</w:t>
      </w:r>
    </w:p>
    <w:p>
      <w:pPr>
        <w:spacing w:after="0" w:line="67"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In November 2016, we entered into a loan and security agreement with SVB for a term loan of up to $20.0 million. The initial tranche of $10.0 million was funded shortly after executing the loan agreement. We are scheduled to make interest only payments on the loan until December 1, 2017, which period may be extended under certain circumstances. Under the terms of the loan, we may, but are not obligated to, draw two additional tranches of $5.0 million each prior to November 9, 2017 and December 31, 2017, subject to the achievement of certain clinical and financial milestones.</w:t>
      </w:r>
    </w:p>
    <w:p>
      <w:pPr>
        <w:spacing w:after="0" w:line="24"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6"/>
          <w:szCs w:val="16"/>
          <w:color w:val="auto"/>
        </w:rPr>
        <w:t>The SVB loan accrues interest at an annual rate equal to 4.50% plus the prime rate, which is the greater of 3.50% or the Wall Street Journal prime rate, and is payable monthly. Following the interest only payment period, we will begin making monthly payments of principal and interest until the maturity date of November 1, 2020. In addition, we are required to pay a final payment fee of 8.5% of the principal amount extended to us on the date of repayment of the outstanding loan.</w:t>
      </w:r>
    </w:p>
    <w:p>
      <w:pPr>
        <w:spacing w:after="0" w:line="33"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may prepay all, but not less than all, of the SVB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our assets except intellectual property. Our intellectual property is subject to a negative pledge.</w:t>
      </w:r>
    </w:p>
    <w:p>
      <w:pPr>
        <w:spacing w:after="0" w:line="4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connection with the loan, SVB and Life Science Loans, LLC, collectively referred to as the lenders, received warrants to purchase an aggregate 65,228 shares of our common stock at an exercise price of $7.41 per share, which are exercisable until November 8, 2023. The lenders will receive additional warrants in connection with the second and third tranches, if and when advanced by the lenders.</w:t>
      </w:r>
    </w:p>
    <w:p>
      <w:pPr>
        <w:spacing w:after="0" w:line="28"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 pricing model, was recorded as additional paid-in capital and reduced the carrying value of the debt. The discount on the debt is being amortized to interest expense over the term of the debt.</w:t>
      </w:r>
    </w:p>
    <w:p>
      <w:pPr>
        <w:spacing w:after="0" w:line="3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 xml:space="preserve">In February 2016, the Financial Accounting Standards Board, or FASB, issued Accounting Standards Update, or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The standard will be effective for annual and interim periods beginning after December 15, 2018, with early adoption permitted upon issuance. The Company is currently evaluating the potential impact of the new guidance.</w:t>
      </w:r>
    </w:p>
    <w:p>
      <w:pPr>
        <w:spacing w:after="0" w:line="163"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Share-Based Payment Accounting</w:t>
      </w:r>
      <w:r>
        <w:rPr>
          <w:rFonts w:ascii="Arial" w:cs="Arial" w:eastAsia="Arial" w:hAnsi="Arial"/>
          <w:sz w:val="17"/>
          <w:szCs w:val="17"/>
          <w:color w:val="auto"/>
        </w:rPr>
        <w:t>, which allows for the simplification of several aspects of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payment transactions. The standard is effective for interim and annual periods beginning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after December 15, 2016. We adopted this guidance effective March 31, 2017. The adoption of the guidance did not have a material impact on our financial statements.</w:t>
      </w:r>
    </w:p>
    <w:p>
      <w:pPr>
        <w:spacing w:after="0" w:line="16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 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Receipts and Cash Payments, </w:t>
      </w:r>
      <w:r>
        <w:rPr>
          <w:rFonts w:ascii="Arial" w:cs="Arial" w:eastAsia="Arial" w:hAnsi="Arial"/>
          <w:sz w:val="18"/>
          <w:szCs w:val="18"/>
          <w:color w:val="auto"/>
        </w:rPr>
        <w:t>which is guidance to address diversity in practice with respect to how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We are currently evaluating the potential impact of the new guidance.</w:t>
      </w:r>
    </w:p>
    <w:p>
      <w:pPr>
        <w:spacing w:after="0" w:line="162"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is currently evaluating the potential impact of the new guidance.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0"/>
        <w:spacing w:after="0" w:line="456"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We are exposed to market risks in the ordinary course of our business. These market risks are principally limited to interest rate fluctuations. We had cash of $31.7 million and $36.6 million as of September 30, 2017 and December 31, 2016, respectively.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We do not believe a 10% change in these currencies on September 30, 2017 would have had a material effect on our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nine months ended September 30,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are effective, at the reasonable assurance level,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5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internal controls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that occurred during the period covered by this report that has materially affected, or is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580" w:firstLine="648"/>
        <w:spacing w:after="0" w:line="224"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with the goal of achieving regulatory approval. Since inception, we have incurred significant operating losses. Our net losses were $21.5 million and $27.2 million for the nine months ended September 30, 2017 and the year ended December 31, 2016, respectively. As of September 30, 2017, we had an accumulated deficit of $69.2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6" w:lineRule="exact"/>
        <w:rPr>
          <w:sz w:val="20"/>
          <w:szCs w:val="20"/>
          <w:color w:val="auto"/>
        </w:rPr>
      </w:pPr>
    </w:p>
    <w:p>
      <w:pPr>
        <w:ind w:left="920" w:right="80" w:firstLine="29"/>
        <w:spacing w:after="0" w:line="203" w:lineRule="exact"/>
        <w:rPr>
          <w:sz w:val="20"/>
          <w:szCs w:val="20"/>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complex regional pain syndrome, or CRPS;</w:t>
      </w:r>
    </w:p>
    <w:p>
      <w:pPr>
        <w:spacing w:after="0" w:line="162" w:lineRule="exact"/>
        <w:rPr>
          <w:sz w:val="20"/>
          <w:szCs w:val="20"/>
          <w:color w:val="auto"/>
        </w:rPr>
      </w:pPr>
    </w:p>
    <w:p>
      <w:pPr>
        <w:ind w:left="920" w:right="120" w:firstLine="29"/>
        <w:spacing w:after="0" w:line="203" w:lineRule="exact"/>
        <w:rPr>
          <w:sz w:val="20"/>
          <w:szCs w:val="20"/>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knee osteoarthritis, or OA, associated with bone marrow lesions, or BMLs;</w:t>
      </w:r>
    </w:p>
    <w:p>
      <w:pPr>
        <w:spacing w:after="0" w:line="162" w:lineRule="exact"/>
        <w:rPr>
          <w:sz w:val="20"/>
          <w:szCs w:val="20"/>
          <w:color w:val="auto"/>
        </w:rPr>
      </w:pPr>
    </w:p>
    <w:p>
      <w:pPr>
        <w:ind w:left="940"/>
        <w:spacing w:after="0" w:line="196" w:lineRule="exact"/>
        <w:rPr>
          <w:sz w:val="20"/>
          <w:szCs w:val="20"/>
          <w:color w:val="auto"/>
        </w:rPr>
      </w:pPr>
      <w:r>
        <w:rPr>
          <w:rFonts w:ascii="Arial" w:cs="Arial" w:eastAsia="Arial" w:hAnsi="Arial"/>
          <w:sz w:val="17"/>
          <w:szCs w:val="17"/>
          <w:color w:val="auto"/>
        </w:rPr>
        <w:t>conduct our Phase 3 clinical trials with AXS</w:t>
      </w:r>
      <w:r>
        <w:rPr>
          <w:rFonts w:ascii="MS PGothic" w:cs="MS PGothic" w:eastAsia="MS PGothic" w:hAnsi="MS PGothic"/>
          <w:sz w:val="17"/>
          <w:szCs w:val="17"/>
          <w:color w:val="auto"/>
        </w:rPr>
        <w:t>‑</w:t>
      </w:r>
      <w:r>
        <w:rPr>
          <w:rFonts w:ascii="Arial" w:cs="Arial" w:eastAsia="Arial" w:hAnsi="Arial"/>
          <w:sz w:val="17"/>
          <w:szCs w:val="17"/>
          <w:color w:val="auto"/>
        </w:rPr>
        <w:t>05 for the treatment of treatment resistant depression, or TRD;</w:t>
      </w:r>
    </w:p>
    <w:p>
      <w:pPr>
        <w:spacing w:after="0" w:line="196" w:lineRule="exact"/>
        <w:rPr>
          <w:sz w:val="20"/>
          <w:szCs w:val="20"/>
          <w:color w:val="auto"/>
        </w:rPr>
      </w:pPr>
    </w:p>
    <w:p>
      <w:pPr>
        <w:ind w:left="940"/>
        <w:spacing w:after="0" w:line="196" w:lineRule="exact"/>
        <w:rPr>
          <w:sz w:val="20"/>
          <w:szCs w:val="20"/>
          <w:color w:val="auto"/>
        </w:rPr>
      </w:pPr>
      <w:r>
        <w:rPr>
          <w:rFonts w:ascii="Arial" w:cs="Arial" w:eastAsia="Arial" w:hAnsi="Arial"/>
          <w:sz w:val="17"/>
          <w:szCs w:val="17"/>
          <w:color w:val="auto"/>
        </w:rPr>
        <w:t>conduct our Phase 3 clinical trials with AXS</w:t>
      </w:r>
      <w:r>
        <w:rPr>
          <w:rFonts w:ascii="MS PGothic" w:cs="MS PGothic" w:eastAsia="MS PGothic" w:hAnsi="MS PGothic"/>
          <w:sz w:val="17"/>
          <w:szCs w:val="17"/>
          <w:color w:val="auto"/>
        </w:rPr>
        <w:t>‑</w:t>
      </w:r>
      <w:r>
        <w:rPr>
          <w:rFonts w:ascii="Arial" w:cs="Arial" w:eastAsia="Arial" w:hAnsi="Arial"/>
          <w:sz w:val="17"/>
          <w:szCs w:val="17"/>
          <w:color w:val="auto"/>
        </w:rPr>
        <w:t>05 for the treatment of Alzheimer’s disease, or AD, agitation;</w:t>
      </w:r>
    </w:p>
    <w:p>
      <w:pPr>
        <w:spacing w:after="0" w:line="196"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initiate and enroll patients in our Phase 3 clinical trials in other indications for AXS</w:t>
      </w:r>
      <w:r>
        <w:rPr>
          <w:rFonts w:ascii="MS PGothic" w:cs="MS PGothic" w:eastAsia="MS PGothic" w:hAnsi="MS PGothic"/>
          <w:sz w:val="18"/>
          <w:szCs w:val="18"/>
          <w:color w:val="auto"/>
        </w:rPr>
        <w:t>‑</w:t>
      </w:r>
      <w:r>
        <w:rPr>
          <w:rFonts w:ascii="Arial" w:cs="Arial" w:eastAsia="Arial" w:hAnsi="Arial"/>
          <w:sz w:val="18"/>
          <w:szCs w:val="18"/>
          <w:color w:val="auto"/>
        </w:rPr>
        <w:t>02 and for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85" w:lineRule="exact"/>
        <w:rPr>
          <w:sz w:val="20"/>
          <w:szCs w:val="20"/>
          <w:color w:val="auto"/>
        </w:rPr>
      </w:pPr>
    </w:p>
    <w:p>
      <w:pPr>
        <w:ind w:left="940"/>
        <w:spacing w:after="0" w:line="184" w:lineRule="exact"/>
        <w:rPr>
          <w:sz w:val="20"/>
          <w:szCs w:val="20"/>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8" w:lineRule="exact"/>
        <w:rPr>
          <w:sz w:val="20"/>
          <w:szCs w:val="20"/>
          <w:color w:val="auto"/>
        </w:rPr>
      </w:pPr>
    </w:p>
    <w:p>
      <w:pPr>
        <w:ind w:left="940"/>
        <w:spacing w:after="0" w:line="196" w:lineRule="exact"/>
        <w:rPr>
          <w:sz w:val="20"/>
          <w:szCs w:val="20"/>
          <w:color w:val="auto"/>
        </w:rPr>
      </w:pPr>
      <w:r>
        <w:rPr>
          <w:rFonts w:ascii="Arial" w:cs="Arial" w:eastAsia="Arial" w:hAnsi="Arial"/>
          <w:sz w:val="17"/>
          <w:szCs w:val="17"/>
          <w:color w:val="auto"/>
        </w:rPr>
        <w:t>seek regulatory approval for any product candidates that successfully complete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right="3220"/>
        <w:spacing w:after="0" w:line="311" w:lineRule="exact"/>
        <w:rPr>
          <w:sz w:val="20"/>
          <w:szCs w:val="20"/>
          <w:color w:val="auto"/>
        </w:rPr>
      </w:pPr>
      <w:r>
        <w:rPr>
          <w:rFonts w:ascii="Arial" w:cs="Arial" w:eastAsia="Arial" w:hAnsi="Arial"/>
          <w:sz w:val="16"/>
          <w:szCs w:val="16"/>
          <w:color w:val="auto"/>
        </w:rPr>
        <w:t>conduct additional non</w:t>
      </w:r>
      <w:r>
        <w:rPr>
          <w:rFonts w:ascii="MS PGothic" w:cs="MS PGothic" w:eastAsia="MS PGothic" w:hAnsi="MS PGothic"/>
          <w:sz w:val="16"/>
          <w:szCs w:val="16"/>
          <w:color w:val="auto"/>
        </w:rPr>
        <w:t>‑</w:t>
      </w:r>
      <w:r>
        <w:rPr>
          <w:rFonts w:ascii="Arial" w:cs="Arial" w:eastAsia="Arial" w:hAnsi="Arial"/>
          <w:sz w:val="16"/>
          <w:szCs w:val="16"/>
          <w:color w:val="auto"/>
        </w:rPr>
        <w:t>clinical studies with any product candidates; conduct clinical studies with any additional product candidates;</w:t>
      </w:r>
    </w:p>
    <w:p>
      <w:pPr>
        <w:spacing w:after="0" w:line="162" w:lineRule="exact"/>
        <w:rPr>
          <w:sz w:val="20"/>
          <w:szCs w:val="20"/>
          <w:color w:val="auto"/>
        </w:rPr>
      </w:pPr>
    </w:p>
    <w:p>
      <w:pPr>
        <w:ind w:left="920" w:right="580" w:firstLine="29"/>
        <w:spacing w:after="0" w:line="203" w:lineRule="exact"/>
        <w:rPr>
          <w:sz w:val="20"/>
          <w:szCs w:val="20"/>
          <w:color w:val="auto"/>
        </w:rPr>
      </w:pPr>
      <w:r>
        <w:rPr>
          <w:rFonts w:ascii="Arial" w:cs="Arial" w:eastAsia="Arial" w:hAnsi="Arial"/>
          <w:sz w:val="18"/>
          <w:szCs w:val="18"/>
          <w:color w:val="auto"/>
        </w:rPr>
        <w:t>increase manufacturing batch sizes of AXS</w:t>
      </w:r>
      <w:r>
        <w:rPr>
          <w:rFonts w:ascii="MS PGothic" w:cs="MS PGothic" w:eastAsia="MS PGothic" w:hAnsi="MS PGothic"/>
          <w:sz w:val="18"/>
          <w:szCs w:val="18"/>
          <w:color w:val="auto"/>
        </w:rPr>
        <w:t>‑</w:t>
      </w:r>
      <w:r>
        <w:rPr>
          <w:rFonts w:ascii="Arial" w:cs="Arial" w:eastAsia="Arial" w:hAnsi="Arial"/>
          <w:sz w:val="18"/>
          <w:szCs w:val="18"/>
          <w:color w:val="auto"/>
        </w:rPr>
        <w:t>02 and AXS-05 to satisfy FDA requirements for a marketing application submission;</w:t>
      </w:r>
    </w:p>
    <w:p>
      <w:pPr>
        <w:spacing w:after="0" w:line="162" w:lineRule="exact"/>
        <w:rPr>
          <w:sz w:val="20"/>
          <w:szCs w:val="20"/>
          <w:color w:val="auto"/>
        </w:rPr>
      </w:pPr>
    </w:p>
    <w:p>
      <w:pPr>
        <w:jc w:val="both"/>
        <w:ind w:left="920" w:right="80" w:firstLine="29"/>
        <w:spacing w:after="0" w:line="224" w:lineRule="auto"/>
        <w:rPr>
          <w:sz w:val="20"/>
          <w:szCs w:val="20"/>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require larger quantities of product;</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maintain, expand, and protect our intellectual property portfolio;</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hire additional clinical, quality control, and scientific personnel; and</w:t>
      </w:r>
    </w:p>
    <w:p>
      <w:pPr>
        <w:spacing w:after="0" w:line="185" w:lineRule="exact"/>
        <w:rPr>
          <w:sz w:val="20"/>
          <w:szCs w:val="20"/>
          <w:color w:val="auto"/>
        </w:rPr>
      </w:pPr>
    </w:p>
    <w:p>
      <w:pPr>
        <w:ind w:left="920" w:right="120" w:firstLine="29"/>
        <w:spacing w:after="0" w:line="258" w:lineRule="auto"/>
        <w:rPr>
          <w:sz w:val="20"/>
          <w:szCs w:val="20"/>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47"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4"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right="200"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5"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will need to raise additional capital to:</w:t>
      </w:r>
    </w:p>
    <w:p>
      <w:pPr>
        <w:spacing w:after="0" w:line="161" w:lineRule="exact"/>
        <w:rPr>
          <w:sz w:val="20"/>
          <w:szCs w:val="20"/>
          <w:color w:val="auto"/>
        </w:rPr>
      </w:pPr>
    </w:p>
    <w:p>
      <w:pPr>
        <w:ind w:left="920" w:right="440" w:firstLine="29"/>
        <w:spacing w:after="0" w:line="235" w:lineRule="auto"/>
        <w:rPr>
          <w:sz w:val="20"/>
          <w:szCs w:val="20"/>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160" w:firstLine="29"/>
        <w:spacing w:after="0" w:line="224" w:lineRule="auto"/>
        <w:rPr>
          <w:sz w:val="20"/>
          <w:szCs w:val="20"/>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3" w:lineRule="exact"/>
        <w:rPr>
          <w:sz w:val="20"/>
          <w:szCs w:val="20"/>
          <w:color w:val="auto"/>
        </w:rPr>
      </w:pPr>
    </w:p>
    <w:p>
      <w:pPr>
        <w:ind w:left="920" w:right="220" w:firstLine="29"/>
        <w:spacing w:after="0" w:line="203" w:lineRule="exact"/>
        <w:rPr>
          <w:sz w:val="20"/>
          <w:szCs w:val="20"/>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develop additional product candidates; and</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We believe that with our available cash as of September 30, 2017, we will have sufficient funds to meet our anticipated operating cash requirements into the first quarter of 2019. We have based this estimate on assumptions that may prove to be wrong and we could spend our available financial resources faster than we currently expect. Further, we may not have sufficient financial resources to meet all of our objectives if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 is approved, which could require us to postpone, scale back, or eliminate some, or all, of these objectives, including our potential launch activities relating to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Our future funding requirements will depend on many factors, including, but not limited to:</w:t>
      </w:r>
    </w:p>
    <w:p>
      <w:pPr>
        <w:spacing w:after="0" w:line="166"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the rate of progress and costs related to our Phase 3 development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5" w:lineRule="exact"/>
        <w:rPr>
          <w:sz w:val="20"/>
          <w:szCs w:val="20"/>
          <w:color w:val="auto"/>
        </w:rPr>
      </w:pPr>
    </w:p>
    <w:p>
      <w:pPr>
        <w:ind w:left="940"/>
        <w:spacing w:after="0" w:line="196" w:lineRule="exact"/>
        <w:rPr>
          <w:sz w:val="20"/>
          <w:szCs w:val="20"/>
          <w:color w:val="auto"/>
        </w:rPr>
      </w:pPr>
      <w:r>
        <w:rPr>
          <w:rFonts w:ascii="Arial" w:cs="Arial" w:eastAsia="Arial" w:hAnsi="Arial"/>
          <w:sz w:val="17"/>
          <w:szCs w:val="17"/>
          <w:color w:val="auto"/>
        </w:rPr>
        <w:t>the costs associated with conducting additional non</w:t>
      </w:r>
      <w:r>
        <w:rPr>
          <w:rFonts w:ascii="MS PGothic" w:cs="MS PGothic" w:eastAsia="MS PGothic" w:hAnsi="MS PGothic"/>
          <w:sz w:val="17"/>
          <w:szCs w:val="17"/>
          <w:color w:val="auto"/>
        </w:rPr>
        <w:t>‑</w:t>
      </w:r>
      <w:r>
        <w:rPr>
          <w:rFonts w:ascii="Arial" w:cs="Arial" w:eastAsia="Arial" w:hAnsi="Arial"/>
          <w:sz w:val="17"/>
          <w:szCs w:val="17"/>
          <w:color w:val="auto"/>
        </w:rPr>
        <w:t>clinical studies with any of our product candidates;</w:t>
      </w:r>
    </w:p>
    <w:p>
      <w:pPr>
        <w:spacing w:after="0" w:line="196" w:lineRule="exact"/>
        <w:rPr>
          <w:sz w:val="20"/>
          <w:szCs w:val="20"/>
          <w:color w:val="auto"/>
        </w:rPr>
      </w:pPr>
    </w:p>
    <w:p>
      <w:pPr>
        <w:ind w:left="920" w:right="540" w:firstLine="29"/>
        <w:spacing w:after="0" w:line="203" w:lineRule="exact"/>
        <w:rPr>
          <w:sz w:val="20"/>
          <w:szCs w:val="20"/>
          <w:color w:val="auto"/>
        </w:rPr>
      </w:pPr>
      <w:r>
        <w:rPr>
          <w:rFonts w:ascii="Arial" w:cs="Arial" w:eastAsia="Arial" w:hAnsi="Arial"/>
          <w:sz w:val="18"/>
          <w:szCs w:val="18"/>
          <w:color w:val="auto"/>
        </w:rPr>
        <w:t>the potential for delays in our efforts to seek regulatory approval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and any costs associated with such delays;</w:t>
      </w:r>
    </w:p>
    <w:p>
      <w:pPr>
        <w:spacing w:after="0" w:line="162" w:lineRule="exact"/>
        <w:rPr>
          <w:sz w:val="20"/>
          <w:szCs w:val="20"/>
          <w:color w:val="auto"/>
        </w:rPr>
      </w:pPr>
    </w:p>
    <w:p>
      <w:pPr>
        <w:ind w:left="940" w:right="620"/>
        <w:spacing w:after="0" w:line="311" w:lineRule="exact"/>
        <w:rPr>
          <w:sz w:val="20"/>
          <w:szCs w:val="20"/>
          <w:color w:val="auto"/>
        </w:rPr>
      </w:pPr>
      <w:r>
        <w:rPr>
          <w:rFonts w:ascii="Arial" w:cs="Arial" w:eastAsia="Arial" w:hAnsi="Arial"/>
          <w:sz w:val="16"/>
          <w:szCs w:val="16"/>
          <w:color w:val="auto"/>
        </w:rPr>
        <w:t>the costs of establishing a commercial organization to sell, market, and distribute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the rate of progress and costs related to our Phase 3 development of AXS-02 and AXS-05;</w:t>
      </w:r>
    </w:p>
    <w:p>
      <w:pPr>
        <w:spacing w:after="0" w:line="162" w:lineRule="exact"/>
        <w:rPr>
          <w:sz w:val="20"/>
          <w:szCs w:val="20"/>
          <w:color w:val="auto"/>
        </w:rPr>
      </w:pPr>
    </w:p>
    <w:p>
      <w:pPr>
        <w:ind w:left="920" w:right="20" w:firstLine="29"/>
        <w:spacing w:after="0" w:line="194" w:lineRule="exact"/>
        <w:rPr>
          <w:sz w:val="20"/>
          <w:szCs w:val="20"/>
          <w:color w:val="auto"/>
        </w:rPr>
      </w:pPr>
      <w:r>
        <w:rPr>
          <w:rFonts w:ascii="Arial" w:cs="Arial" w:eastAsia="Arial" w:hAnsi="Arial"/>
          <w:sz w:val="17"/>
          <w:szCs w:val="17"/>
          <w:color w:val="auto"/>
        </w:rPr>
        <w:t>the rate of progress and costs of our efforts to prepare for the submission of a new drug application, or NDA, for any product candidates that we may in</w:t>
      </w:r>
      <w:r>
        <w:rPr>
          <w:rFonts w:ascii="MS PGothic" w:cs="MS PGothic" w:eastAsia="MS PGothic" w:hAnsi="MS PGothic"/>
          <w:sz w:val="17"/>
          <w:szCs w:val="17"/>
          <w:color w:val="auto"/>
        </w:rPr>
        <w:t>‑</w:t>
      </w:r>
      <w:r>
        <w:rPr>
          <w:rFonts w:ascii="Arial" w:cs="Arial" w:eastAsia="Arial" w:hAnsi="Arial"/>
          <w:sz w:val="17"/>
          <w:szCs w:val="17"/>
          <w:color w:val="auto"/>
        </w:rPr>
        <w:t>license or acquire in the future, and the potential that we may need to conduct additional clinical or preclinical trials to support applications for regulatory approval;</w:t>
      </w:r>
    </w:p>
    <w:p>
      <w:pPr>
        <w:spacing w:after="0" w:line="161" w:lineRule="exact"/>
        <w:rPr>
          <w:sz w:val="20"/>
          <w:szCs w:val="20"/>
          <w:color w:val="auto"/>
        </w:rPr>
      </w:pPr>
    </w:p>
    <w:p>
      <w:pPr>
        <w:ind w:left="920" w:right="40" w:firstLine="29"/>
        <w:spacing w:after="0" w:line="235" w:lineRule="auto"/>
        <w:rPr>
          <w:sz w:val="20"/>
          <w:szCs w:val="20"/>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2" w:lineRule="exact"/>
        <w:rPr>
          <w:sz w:val="20"/>
          <w:szCs w:val="20"/>
          <w:color w:val="auto"/>
        </w:rPr>
      </w:pPr>
    </w:p>
    <w:p>
      <w:pPr>
        <w:ind w:left="920" w:right="980" w:firstLine="29"/>
        <w:spacing w:after="0" w:line="203" w:lineRule="exact"/>
        <w:rPr>
          <w:sz w:val="20"/>
          <w:szCs w:val="20"/>
          <w:color w:val="auto"/>
        </w:rPr>
      </w:pPr>
      <w:r>
        <w:rPr>
          <w:rFonts w:ascii="Arial" w:cs="Arial" w:eastAsia="Arial" w:hAnsi="Arial"/>
          <w:sz w:val="18"/>
          <w:szCs w:val="18"/>
          <w:color w:val="auto"/>
        </w:rPr>
        <w:t>the cost and timing of manufacturing sufficient supplies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in preparation for commercialization;</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effect of competing technological and market developments;</w:t>
      </w:r>
    </w:p>
    <w:p>
      <w:pPr>
        <w:spacing w:after="0" w:line="185" w:lineRule="exact"/>
        <w:rPr>
          <w:sz w:val="20"/>
          <w:szCs w:val="20"/>
          <w:color w:val="auto"/>
        </w:rPr>
      </w:pPr>
    </w:p>
    <w:p>
      <w:pPr>
        <w:ind w:left="920" w:right="220" w:firstLine="29"/>
        <w:spacing w:after="0" w:line="235" w:lineRule="auto"/>
        <w:rPr>
          <w:sz w:val="20"/>
          <w:szCs w:val="20"/>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162" w:lineRule="exact"/>
        <w:rPr>
          <w:sz w:val="20"/>
          <w:szCs w:val="20"/>
          <w:color w:val="auto"/>
        </w:rPr>
      </w:pPr>
    </w:p>
    <w:p>
      <w:pPr>
        <w:ind w:left="920" w:firstLine="29"/>
        <w:spacing w:after="0" w:line="203" w:lineRule="exact"/>
        <w:rPr>
          <w:sz w:val="20"/>
          <w:szCs w:val="20"/>
          <w:color w:val="auto"/>
        </w:rPr>
      </w:pPr>
      <w:r>
        <w:rPr>
          <w:rFonts w:ascii="Arial" w:cs="Arial" w:eastAsia="Arial" w:hAnsi="Arial"/>
          <w:sz w:val="18"/>
          <w:szCs w:val="18"/>
          <w:color w:val="auto"/>
        </w:rPr>
        <w:t>the terms and timing of any collaborative, licensing, co</w:t>
      </w:r>
      <w:r>
        <w:rPr>
          <w:rFonts w:ascii="MS PGothic" w:cs="MS PGothic" w:eastAsia="MS PGothic" w:hAnsi="MS PGothic"/>
          <w:sz w:val="18"/>
          <w:szCs w:val="18"/>
          <w:color w:val="auto"/>
        </w:rPr>
        <w:t>‑</w:t>
      </w:r>
      <w:r>
        <w:rPr>
          <w:rFonts w:ascii="Arial" w:cs="Arial" w:eastAsia="Arial" w:hAnsi="Arial"/>
          <w:sz w:val="18"/>
          <w:szCs w:val="18"/>
          <w:color w:val="auto"/>
        </w:rPr>
        <w:t>promotion, or other arrangements that we may establish; and</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success of the commercialization of any of our current or future product candidates.</w:t>
      </w:r>
    </w:p>
    <w:p>
      <w:pPr>
        <w:spacing w:after="0" w:line="185"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3"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November 2016, we entered into a loan and security agreement, referred to herein as the SVB Loan, with Silicon Valley Bank, or SVB, for a term loan facility in the aggregate principal amount of up to $20.0 million, of which $10.0 million was funded shortly after closing. Availability of $5.0 million under the second term advance is conditioned upon the achievement of both a clinical and financial milestone on or prior to November 9, 2017. The clinical milestone requires our receipt of positive interim results of our ongoing CREATE-1 study of AXS-02 in CRPS, while the financial milestone requires that we receive unrestricted and unencumbered net cash proceeds of at least $30.0 million from the issuance and sale of our equity securities to investors. Availability of $5.0 million under the third term advance is tied to achievement of the clinical and financial milestones described above, as well as our receipt of positive data with respect to our ongoing CREATE-1 study by December 31, 2017 sufficient to file a new drug application with the FDA.</w:t>
      </w:r>
    </w:p>
    <w:p>
      <w:pPr>
        <w:spacing w:after="0" w:line="162" w:lineRule="exact"/>
        <w:rPr>
          <w:sz w:val="20"/>
          <w:szCs w:val="20"/>
          <w:color w:val="auto"/>
        </w:rPr>
      </w:pPr>
    </w:p>
    <w:p>
      <w:pPr>
        <w:ind w:right="20" w:firstLine="648"/>
        <w:spacing w:after="0" w:line="189" w:lineRule="exact"/>
        <w:rPr>
          <w:sz w:val="20"/>
          <w:szCs w:val="20"/>
          <w:color w:val="auto"/>
        </w:rPr>
      </w:pPr>
      <w:r>
        <w:rPr>
          <w:rFonts w:ascii="Arial" w:cs="Arial" w:eastAsia="Arial" w:hAnsi="Arial"/>
          <w:sz w:val="16"/>
          <w:szCs w:val="16"/>
          <w:color w:val="auto"/>
        </w:rPr>
        <w:t>The loan advances mature on November 1, 2020 and have an interest</w:t>
      </w:r>
      <w:r>
        <w:rPr>
          <w:rFonts w:ascii="MS PGothic" w:cs="MS PGothic" w:eastAsia="MS PGothic" w:hAnsi="MS PGothic"/>
          <w:sz w:val="16"/>
          <w:szCs w:val="16"/>
          <w:color w:val="auto"/>
        </w:rPr>
        <w:t>‑</w:t>
      </w:r>
      <w:r>
        <w:rPr>
          <w:rFonts w:ascii="Arial" w:cs="Arial" w:eastAsia="Arial" w:hAnsi="Arial"/>
          <w:sz w:val="16"/>
          <w:szCs w:val="16"/>
          <w:color w:val="auto"/>
        </w:rPr>
        <w:t>only monthly payment period until December 1, 2017, which may be extended to May 2018 upon our receipt of the second term advance. Following the interest-only payment period, we will begin making monthly payments of principal and interest until the maturity date. Interest will accrue on the unpaid principal balance of the outstanding loan advances at a floating per annum rate of 4.50% above the prime rate.</w:t>
      </w:r>
    </w:p>
    <w:p>
      <w:pPr>
        <w:spacing w:after="0" w:line="164" w:lineRule="exact"/>
        <w:rPr>
          <w:sz w:val="20"/>
          <w:szCs w:val="20"/>
          <w:color w:val="auto"/>
        </w:rPr>
      </w:pPr>
    </w:p>
    <w:p>
      <w:pPr>
        <w:ind w:right="220" w:firstLine="648"/>
        <w:spacing w:after="0" w:line="225" w:lineRule="auto"/>
        <w:rPr>
          <w:sz w:val="20"/>
          <w:szCs w:val="20"/>
          <w:color w:val="auto"/>
        </w:rPr>
      </w:pPr>
      <w:r>
        <w:rPr>
          <w:rFonts w:ascii="Arial" w:cs="Arial" w:eastAsia="Arial" w:hAnsi="Arial"/>
          <w:sz w:val="17"/>
          <w:szCs w:val="17"/>
          <w:color w:val="auto"/>
        </w:rPr>
        <w:t>The SVB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62"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Additionally, we may be required to repay the outstanding indebtedness under the SVB Loan if an event of default occurs under the SVB Loan. Under the SVB Loan, an event of default will occur if, among other things, we fail to make payments under the SVB Loan; we breach any of our covenants under the SVB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SVB Loan, subject to the covenants and limitations described in the SVB Loan.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lead product candidates,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and our other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189" w:lineRule="exact"/>
        <w:rPr>
          <w:sz w:val="20"/>
          <w:szCs w:val="20"/>
          <w:color w:val="auto"/>
        </w:rPr>
      </w:pPr>
    </w:p>
    <w:p>
      <w:pPr>
        <w:spacing w:after="0" w:line="194" w:lineRule="exact"/>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candidates,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and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and cannot guarantee that these product candidates will successfully complete our planned and ongoing Phase 3 clinical trials, receive regulatory approval, or be successfully commercialized.</w:t>
      </w:r>
    </w:p>
    <w:p>
      <w:pPr>
        <w:spacing w:after="0" w:line="163" w:lineRule="exact"/>
        <w:rPr>
          <w:sz w:val="20"/>
          <w:szCs w:val="20"/>
          <w:color w:val="auto"/>
        </w:rPr>
      </w:pPr>
    </w:p>
    <w:p>
      <w:pPr>
        <w:ind w:right="40" w:firstLine="648"/>
        <w:spacing w:after="0" w:line="183" w:lineRule="exact"/>
        <w:rPr>
          <w:sz w:val="20"/>
          <w:szCs w:val="20"/>
          <w:color w:val="auto"/>
        </w:rPr>
      </w:pPr>
      <w:r>
        <w:rPr>
          <w:rFonts w:ascii="Arial" w:cs="Arial" w:eastAsia="Arial" w:hAnsi="Arial"/>
          <w:sz w:val="18"/>
          <w:szCs w:val="18"/>
          <w:color w:val="auto"/>
        </w:rPr>
        <w:t>We currently have no products approved for commercial distribution. We have invested a significant portion of our efforts and financial resources in the development of our most advanced product candidates,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Our business depends entirely on the successful development and commercialization of our product candidates, and in particular,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which may never occur. Our ability to generate revenues in the near term is substantially dependent on our ability to develop, obtain regulatory approval for, and then successfully commercialize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We currently generate no revenues from sales of any products, and we may never be able to develop or commercialize a marketable product.</w:t>
      </w:r>
    </w:p>
    <w:p>
      <w:pPr>
        <w:spacing w:after="0" w:line="16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lead product candidates,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will require additional clinical and non</w:t>
      </w:r>
      <w:r>
        <w:rPr>
          <w:rFonts w:ascii="MS PGothic" w:cs="MS PGothic" w:eastAsia="MS PGothic" w:hAnsi="MS PGothic"/>
          <w:sz w:val="17"/>
          <w:szCs w:val="17"/>
          <w:color w:val="auto"/>
        </w:rPr>
        <w:t>‑</w:t>
      </w:r>
      <w:r>
        <w:rPr>
          <w:rFonts w:ascii="Arial" w:cs="Arial" w:eastAsia="Arial" w:hAnsi="Arial"/>
          <w:sz w:val="17"/>
          <w:szCs w:val="17"/>
          <w:color w:val="auto"/>
        </w:rPr>
        <w:t>clinical development, regulatory approval, commercial manufacturing arrangements, establishment of a commercial organization, significant marketing efforts, and further investment before we generate any revenues from product sales. We initiated our Phase 3 clinical trial with AXS</w:t>
      </w:r>
      <w:r>
        <w:rPr>
          <w:rFonts w:ascii="MS PGothic" w:cs="MS PGothic" w:eastAsia="MS PGothic" w:hAnsi="MS PGothic"/>
          <w:sz w:val="17"/>
          <w:szCs w:val="17"/>
          <w:color w:val="auto"/>
        </w:rPr>
        <w:t>‑</w:t>
      </w:r>
      <w:r>
        <w:rPr>
          <w:rFonts w:ascii="Arial" w:cs="Arial" w:eastAsia="Arial" w:hAnsi="Arial"/>
          <w:sz w:val="17"/>
          <w:szCs w:val="17"/>
          <w:color w:val="auto"/>
        </w:rPr>
        <w:t xml:space="preserve">02 for the treatment of the pain of knee OA associated with BMLs in March 2016 and for the treatment of pain in patients with CRPS in July 2015. Further, we initiated our Phase 3 clinical trial with AXS </w:t>
      </w:r>
      <w:r>
        <w:rPr>
          <w:rFonts w:ascii="MS PGothic" w:cs="MS PGothic" w:eastAsia="MS PGothic" w:hAnsi="MS PGothic"/>
          <w:sz w:val="17"/>
          <w:szCs w:val="17"/>
          <w:color w:val="auto"/>
        </w:rPr>
        <w:t>‑</w:t>
      </w:r>
      <w:r>
        <w:rPr>
          <w:rFonts w:ascii="Arial" w:cs="Arial" w:eastAsia="Arial" w:hAnsi="Arial"/>
          <w:sz w:val="17"/>
          <w:szCs w:val="17"/>
          <w:color w:val="auto"/>
        </w:rPr>
        <w:t>05 for the treatment of TRD in March 2016 and for the treatment of AD agitation in July 2017. As a result of one or more risks discussed in this section, we cannot assure you that we will meet projected timelines related to these trials. Two of our Phase 1 trials with AXS</w:t>
      </w:r>
      <w:r>
        <w:rPr>
          <w:rFonts w:ascii="MS PGothic" w:cs="MS PGothic" w:eastAsia="MS PGothic" w:hAnsi="MS PGothic"/>
          <w:sz w:val="17"/>
          <w:szCs w:val="17"/>
          <w:color w:val="auto"/>
        </w:rPr>
        <w:t>‑</w:t>
      </w:r>
      <w:r>
        <w:rPr>
          <w:rFonts w:ascii="Arial" w:cs="Arial" w:eastAsia="Arial" w:hAnsi="Arial"/>
          <w:sz w:val="17"/>
          <w:szCs w:val="17"/>
          <w:color w:val="auto"/>
        </w:rPr>
        <w:t>05 were conducted with two tablets, one tablet consisting of dextromethorphan, or DM, and one tablet consisting of bupropion. Our third Phase 1 trial with AXS-05 was conducted with one tablet containing both DM and bupropion. We are also conducting our Phase 3 clinical trial using one tablet containing both DM and bupropion. This change in formulation may result in a pharmacokinetic profile that is different from those observed in our completed Phase 1 trials. As a result, the FDA may request additional clinical trials, analyses, reports, data, or preclinical trials and attendant costs and delays.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We are not permitted to market or promote any of our product candidates, including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before we receive regulatory approval from the FDA or comparable foreign regulatory authorities, and we may never receive such regulatory approval for any of our product candidates. Even if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is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the submission of a risk evaluation and mitigation strategy, or REMS, to monitor the safety or efficacy of the products. If we do not receive regulatory approval for, and successfully commercialize,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we will not be able to generate revenue from these product candidates in the foreseeable future, or at all. Any significant delays in obtaining approval for and commercializing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will have a material adverse impact on our business and financial condition.</w:t>
      </w:r>
    </w:p>
    <w:p>
      <w:pPr>
        <w:spacing w:after="0" w:line="167" w:lineRule="exact"/>
        <w:rPr>
          <w:sz w:val="20"/>
          <w:szCs w:val="20"/>
          <w:color w:val="auto"/>
        </w:rPr>
      </w:pPr>
    </w:p>
    <w:p>
      <w:pPr>
        <w:ind w:right="140" w:firstLine="648"/>
        <w:spacing w:after="0" w:line="185" w:lineRule="exact"/>
        <w:rPr>
          <w:sz w:val="20"/>
          <w:szCs w:val="20"/>
          <w:color w:val="auto"/>
        </w:rPr>
      </w:pPr>
      <w:r>
        <w:rPr>
          <w:rFonts w:ascii="Arial" w:cs="Arial" w:eastAsia="Arial" w:hAnsi="Arial"/>
          <w:sz w:val="18"/>
          <w:szCs w:val="18"/>
          <w:color w:val="auto"/>
        </w:rPr>
        <w:t>We have not previously submitted an NDA to the FDA, or similar drug approval filings to comparable foreign authorities, for any product candidate, and we cannot be certain that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or any other of our current or future product candidates will be successful in clinical trials or receive regulatory approval. In addition, AXS</w:t>
      </w:r>
      <w:r>
        <w:rPr>
          <w:rFonts w:ascii="MS PGothic" w:cs="MS PGothic" w:eastAsia="MS PGothic" w:hAnsi="MS PGothic"/>
          <w:sz w:val="18"/>
          <w:szCs w:val="18"/>
          <w:color w:val="auto"/>
        </w:rPr>
        <w:t>‑</w:t>
      </w:r>
      <w:r>
        <w:rPr>
          <w:rFonts w:ascii="Arial" w:cs="Arial" w:eastAsia="Arial" w:hAnsi="Arial"/>
          <w:sz w:val="18"/>
          <w:szCs w:val="18"/>
          <w:color w:val="auto"/>
        </w:rPr>
        <w:t>02 has only completed one Phase 1 clinical trial. Furthermore, our product candidate AXS</w:t>
      </w:r>
      <w:r>
        <w:rPr>
          <w:rFonts w:ascii="MS PGothic" w:cs="MS PGothic" w:eastAsia="MS PGothic" w:hAnsi="MS PGothic"/>
          <w:sz w:val="18"/>
          <w:szCs w:val="18"/>
          <w:color w:val="auto"/>
        </w:rPr>
        <w:t>‑</w:t>
      </w:r>
      <w:r>
        <w:rPr>
          <w:rFonts w:ascii="Arial" w:cs="Arial" w:eastAsia="Arial" w:hAnsi="Arial"/>
          <w:sz w:val="18"/>
          <w:szCs w:val="18"/>
          <w:color w:val="auto"/>
        </w:rPr>
        <w:t>06 is only in the early stages of product development and additional manufacturing work is required before we may submit an investigational new drug application, or IND, and begin late-stage clinical trials.</w:t>
      </w:r>
    </w:p>
    <w:p>
      <w:pPr>
        <w:spacing w:after="0" w:line="162"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plan to conduct an interim analysis for our ongoing Phase 3 trials of AXS-02 for the treatment of CRPS and for the treatment of the pain of knee OA associated with BMLs, as well as for our ongoing Phase 2/3 trial of AXS-05 for the treatment of AD agitation, and may elect to conduct interim analyses for other clinical trials. Interim results of a clinical trial do not necessarily predict final results, and interim results may result in early stoppage of our clinical trials for futility. Further, our product candidates, including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may not receive regulatory approval even if they are successful in clinical trials.</w:t>
      </w:r>
    </w:p>
    <w:p>
      <w:pPr>
        <w:spacing w:after="0" w:line="164"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If approved for marketing by applicable regulatory authorities, our ability to generate revenues from AXS</w:t>
      </w:r>
      <w:r>
        <w:rPr>
          <w:rFonts w:ascii="MS PGothic" w:cs="MS PGothic" w:eastAsia="MS PGothic" w:hAnsi="MS PGothic"/>
          <w:sz w:val="17"/>
          <w:szCs w:val="17"/>
          <w:color w:val="auto"/>
        </w:rPr>
        <w:t>‑</w:t>
      </w:r>
      <w:r>
        <w:rPr>
          <w:rFonts w:ascii="Arial" w:cs="Arial" w:eastAsia="Arial" w:hAnsi="Arial"/>
          <w:sz w:val="17"/>
          <w:szCs w:val="17"/>
          <w:color w:val="auto"/>
        </w:rPr>
        <w:t>02 or</w:t>
      </w:r>
    </w:p>
    <w:p>
      <w:pPr>
        <w:spacing w:after="0" w:line="207"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05 will depend on our ability to:</w:t>
      </w:r>
    </w:p>
    <w:p>
      <w:pPr>
        <w:spacing w:after="0" w:line="169" w:lineRule="exact"/>
        <w:rPr>
          <w:sz w:val="20"/>
          <w:szCs w:val="20"/>
          <w:color w:val="auto"/>
        </w:rPr>
      </w:pPr>
    </w:p>
    <w:p>
      <w:pPr>
        <w:ind w:left="920" w:right="180" w:firstLine="29"/>
        <w:spacing w:after="0" w:line="203" w:lineRule="exact"/>
        <w:rPr>
          <w:sz w:val="20"/>
          <w:szCs w:val="20"/>
          <w:color w:val="auto"/>
        </w:rPr>
      </w:pPr>
      <w:r>
        <w:rPr>
          <w:rFonts w:ascii="Arial" w:cs="Arial" w:eastAsia="Arial" w:hAnsi="Arial"/>
          <w:sz w:val="18"/>
          <w:szCs w:val="18"/>
          <w:color w:val="auto"/>
        </w:rPr>
        <w:t>create market demand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through our own marketing and sales activities, and any other arrangements to promote these product candidates that we may otherwise establish;</w:t>
      </w:r>
    </w:p>
    <w:p>
      <w:pPr>
        <w:spacing w:after="0" w:line="162" w:lineRule="exact"/>
        <w:rPr>
          <w:sz w:val="20"/>
          <w:szCs w:val="20"/>
          <w:color w:val="auto"/>
        </w:rPr>
      </w:pPr>
    </w:p>
    <w:p>
      <w:pPr>
        <w:ind w:left="940" w:right="1180"/>
        <w:spacing w:after="0" w:line="311" w:lineRule="exact"/>
        <w:rPr>
          <w:sz w:val="20"/>
          <w:szCs w:val="20"/>
          <w:color w:val="auto"/>
        </w:rPr>
      </w:pPr>
      <w:r>
        <w:rPr>
          <w:rFonts w:ascii="Arial" w:cs="Arial" w:eastAsia="Arial" w:hAnsi="Arial"/>
          <w:sz w:val="16"/>
          <w:szCs w:val="16"/>
          <w:color w:val="auto"/>
        </w:rPr>
        <w:t>receive regulatory approval for claims that are necessary or desirable for successful marketing; hire, train, and deploy a sales force to commercialize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in the United States;</w:t>
      </w:r>
    </w:p>
    <w:p>
      <w:pPr>
        <w:spacing w:after="0" w:line="162" w:lineRule="exact"/>
        <w:rPr>
          <w:sz w:val="20"/>
          <w:szCs w:val="20"/>
          <w:color w:val="auto"/>
        </w:rPr>
      </w:pPr>
    </w:p>
    <w:p>
      <w:pPr>
        <w:ind w:left="920" w:right="200" w:firstLine="29"/>
        <w:spacing w:after="0" w:line="203" w:lineRule="exact"/>
        <w:rPr>
          <w:sz w:val="20"/>
          <w:szCs w:val="20"/>
          <w:color w:val="auto"/>
        </w:rPr>
      </w:pPr>
      <w:r>
        <w:rPr>
          <w:rFonts w:ascii="Arial" w:cs="Arial" w:eastAsia="Arial" w:hAnsi="Arial"/>
          <w:sz w:val="18"/>
          <w:szCs w:val="18"/>
          <w:color w:val="auto"/>
        </w:rPr>
        <w:t>manufacture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in sufficient quantities and at acceptable quality and manufacturing cost to meet commercial demand at launch and thereafter;</w:t>
      </w:r>
    </w:p>
    <w:p>
      <w:pPr>
        <w:spacing w:after="0" w:line="162" w:lineRule="exact"/>
        <w:rPr>
          <w:sz w:val="20"/>
          <w:szCs w:val="20"/>
          <w:color w:val="auto"/>
        </w:rPr>
      </w:pPr>
    </w:p>
    <w:p>
      <w:pPr>
        <w:ind w:left="920" w:right="580" w:firstLine="29"/>
        <w:spacing w:after="0" w:line="235" w:lineRule="auto"/>
        <w:rPr>
          <w:sz w:val="20"/>
          <w:szCs w:val="20"/>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2" w:lineRule="exact"/>
        <w:rPr>
          <w:sz w:val="20"/>
          <w:szCs w:val="20"/>
          <w:color w:val="auto"/>
        </w:rPr>
      </w:pPr>
    </w:p>
    <w:p>
      <w:pPr>
        <w:ind w:left="920" w:right="220" w:firstLine="29"/>
        <w:spacing w:after="0" w:line="235" w:lineRule="auto"/>
        <w:rPr>
          <w:sz w:val="20"/>
          <w:szCs w:val="20"/>
          <w:color w:val="auto"/>
        </w:rPr>
      </w:pPr>
      <w:r>
        <w:rPr>
          <w:rFonts w:ascii="Arial" w:cs="Arial" w:eastAsia="Arial" w:hAnsi="Arial"/>
          <w:sz w:val="18"/>
          <w:szCs w:val="18"/>
          <w:color w:val="auto"/>
        </w:rPr>
        <w:t>create partnerships with, or offer licenses to, third parties to promote and sell AXS-02 and AXS-05 in foreign markets where we receive marketing approval;</w:t>
      </w:r>
    </w:p>
    <w:p>
      <w:pPr>
        <w:spacing w:after="0" w:line="162"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maintain patent and trade secret protection and regulatory exclusivity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launch commercial sales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whether alone or in collaboration with others;</w:t>
      </w:r>
    </w:p>
    <w:p>
      <w:pPr>
        <w:spacing w:after="0" w:line="185" w:lineRule="exact"/>
        <w:rPr>
          <w:sz w:val="20"/>
          <w:szCs w:val="20"/>
          <w:color w:val="auto"/>
        </w:rPr>
      </w:pPr>
    </w:p>
    <w:p>
      <w:pPr>
        <w:ind w:left="940"/>
        <w:spacing w:after="0" w:line="184" w:lineRule="exact"/>
        <w:rPr>
          <w:sz w:val="20"/>
          <w:szCs w:val="20"/>
          <w:color w:val="auto"/>
        </w:rPr>
      </w:pPr>
      <w:r>
        <w:rPr>
          <w:rFonts w:ascii="Arial" w:cs="Arial" w:eastAsia="Arial" w:hAnsi="Arial"/>
          <w:sz w:val="16"/>
          <w:szCs w:val="16"/>
          <w:color w:val="auto"/>
        </w:rPr>
        <w:t>achieve market acceptance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by patients,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achieve appropriate reimbursement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effectively compete with other therapies; and</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maintain a continued acceptable safety profile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following launch.</w:t>
      </w:r>
    </w:p>
    <w:p>
      <w:pPr>
        <w:spacing w:after="0" w:line="185" w:lineRule="exact"/>
        <w:rPr>
          <w:sz w:val="20"/>
          <w:szCs w:val="20"/>
          <w:color w:val="auto"/>
        </w:rPr>
      </w:pPr>
    </w:p>
    <w:p>
      <w:pPr>
        <w:ind w:right="280" w:firstLine="648"/>
        <w:spacing w:after="0" w:line="194" w:lineRule="exact"/>
        <w:rPr>
          <w:sz w:val="20"/>
          <w:szCs w:val="20"/>
          <w:color w:val="auto"/>
        </w:rPr>
      </w:pPr>
      <w:r>
        <w:rPr>
          <w:rFonts w:ascii="Arial" w:cs="Arial" w:eastAsia="Arial" w:hAnsi="Arial"/>
          <w:sz w:val="18"/>
          <w:szCs w:val="18"/>
          <w:color w:val="auto"/>
        </w:rPr>
        <w:t>As we continue to develop our other product candidates, we expect to face similar risks related to our ability to develop, obtain regulatory approval for, and successfully commercialize such product candidates as we face with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63"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4"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and knee OA associated with BMLs, and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TRD and agitation associated with AD. As a result, we may forego or delay pursuit of opportunities with other product candidates or for other indications that may prove to have greater commercial potential. Additionally,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
        <w:spacing w:after="0" w:line="32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02" w:lineRule="exact"/>
        <w:rPr>
          <w:sz w:val="20"/>
          <w:szCs w:val="20"/>
          <w:color w:val="auto"/>
        </w:rPr>
      </w:pPr>
    </w:p>
    <w:p>
      <w:pPr>
        <w:ind w:right="239" w:firstLine="648"/>
        <w:spacing w:after="0" w:line="238"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difficulty or inability to secure financing to fund business activities for such development;</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disruption of our business and diversion of our management’s time and attention;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higher than expected development costs;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exposure to unknown liabilities;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difficulty in managing multiple product development programs;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8" w:lineRule="exact"/>
        <w:rPr>
          <w:sz w:val="20"/>
          <w:szCs w:val="20"/>
          <w:color w:val="auto"/>
        </w:rPr>
      </w:pPr>
    </w:p>
    <w:p>
      <w:pPr>
        <w:ind w:right="59" w:firstLine="3"/>
        <w:spacing w:after="0" w:line="212"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4" w:lineRule="exact"/>
        <w:rPr>
          <w:sz w:val="20"/>
          <w:szCs w:val="20"/>
          <w:color w:val="auto"/>
        </w:rPr>
      </w:pPr>
    </w:p>
    <w:p>
      <w:pPr>
        <w:jc w:val="both"/>
        <w:ind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w:t>
      </w:r>
    </w:p>
    <w:p>
      <w:pPr>
        <w:spacing w:after="0" w:line="1" w:lineRule="exact"/>
        <w:rPr>
          <w:sz w:val="20"/>
          <w:szCs w:val="20"/>
          <w:color w:val="auto"/>
        </w:rPr>
      </w:pPr>
    </w:p>
    <w:p>
      <w:pPr>
        <w:ind w:right="499" w:firstLine="3"/>
        <w:spacing w:after="0" w:line="185" w:lineRule="exact"/>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process. The label, however, may require all or some of the limitations, contraindications, warnings, or precautions included in the reference product’s label, including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Arial" w:cs="Arial" w:eastAsia="Arial" w:hAnsi="Arial"/>
          <w:sz w:val="16"/>
          <w:szCs w:val="16"/>
          <w:color w:val="auto"/>
        </w:rPr>
        <w:t>wide warnings. For instance, antidepressants, including bupropion, include a class</w:t>
      </w:r>
      <w:r>
        <w:rPr>
          <w:rFonts w:ascii="MS PGothic" w:cs="MS PGothic" w:eastAsia="MS PGothic" w:hAnsi="MS PGothic"/>
          <w:sz w:val="16"/>
          <w:szCs w:val="16"/>
          <w:color w:val="auto"/>
        </w:rPr>
        <w:t>‑</w:t>
      </w:r>
      <w:r>
        <w:rPr>
          <w:rFonts w:ascii="Arial" w:cs="Arial" w:eastAsia="Arial" w:hAnsi="Arial"/>
          <w:sz w:val="16"/>
          <w:szCs w:val="16"/>
          <w:color w:val="auto"/>
        </w:rPr>
        <w:t>wide black box warning regarding the increased risk of suicidal thoughts and behavior.</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Zyban, Contrave, and Nuedexta.</w:t>
      </w:r>
    </w:p>
    <w:p>
      <w:pPr>
        <w:spacing w:after="0" w:line="163"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7"/>
          <w:szCs w:val="17"/>
          <w:color w:val="auto"/>
        </w:rPr>
        <w:t>‑</w:t>
      </w:r>
      <w:r>
        <w:rPr>
          <w:rFonts w:ascii="Arial" w:cs="Arial" w:eastAsia="Arial" w:hAnsi="Arial"/>
          <w:sz w:val="17"/>
          <w:szCs w:val="17"/>
          <w:color w:val="auto"/>
        </w:rPr>
        <w:t>initiated Phase 2 clinical trials and other third</w:t>
      </w:r>
      <w:r>
        <w:rPr>
          <w:rFonts w:ascii="MS PGothic" w:cs="MS PGothic" w:eastAsia="MS PGothic" w:hAnsi="MS PGothic"/>
          <w:sz w:val="17"/>
          <w:szCs w:val="17"/>
          <w:color w:val="auto"/>
        </w:rPr>
        <w:t>‑</w:t>
      </w:r>
      <w:r>
        <w:rPr>
          <w:rFonts w:ascii="Arial" w:cs="Arial" w:eastAsia="Arial" w:hAnsi="Arial"/>
          <w:sz w:val="17"/>
          <w:szCs w:val="17"/>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pursuant to the 505(b)(2) process, we have not conducted Phase 2 clinical trials for these product candidates and, as such, we will have less experience with actual testing of the product candidate.</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may also be circumstances under which the FDA would not allow us to pursue a 505(b)(2) application. For instance, should the FDA approve a pharmaceutically equivalent product to our product candidates,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8"/>
          <w:szCs w:val="18"/>
          <w:color w:val="auto"/>
        </w:rPr>
        <w:t>‑</w:t>
      </w:r>
      <w:r>
        <w:rPr>
          <w:rFonts w:ascii="Arial" w:cs="Arial" w:eastAsia="Arial" w:hAnsi="Arial"/>
          <w:sz w:val="18"/>
          <w:szCs w:val="18"/>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or, possibly, withdraw the product from the market.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applicant relies. One such certification is known as a paragraph IV certification, which certifies that any patents listed in the FDA’s publication, the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commonly known as the Orange Book, are invalid, unenforceable, or will not be infringed by the manufacture, use, or sale of the product that is the subject of the 505(b)(2) NDA.</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6"/>
          <w:szCs w:val="16"/>
          <w:color w:val="auto"/>
        </w:rPr>
        <w:t>‑</w:t>
      </w:r>
      <w:r>
        <w:rPr>
          <w:rFonts w:ascii="Arial" w:cs="Arial" w:eastAsia="Arial" w:hAnsi="Arial"/>
          <w:sz w:val="16"/>
          <w:szCs w:val="16"/>
          <w:color w:val="auto"/>
        </w:rPr>
        <w:t>time, automatic, 30</w:t>
      </w:r>
      <w:r>
        <w:rPr>
          <w:rFonts w:ascii="MS PGothic" w:cs="MS PGothic" w:eastAsia="MS PGothic" w:hAnsi="MS PGothic"/>
          <w:sz w:val="16"/>
          <w:szCs w:val="16"/>
          <w:color w:val="auto"/>
        </w:rPr>
        <w:t>‑</w:t>
      </w:r>
      <w:r>
        <w:rPr>
          <w:rFonts w:ascii="Arial" w:cs="Arial" w:eastAsia="Arial" w:hAnsi="Arial"/>
          <w:sz w:val="16"/>
          <w:szCs w:val="16"/>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0"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7"/>
          <w:szCs w:val="17"/>
          <w:color w:val="auto"/>
        </w:rPr>
        <w:t>‑</w:t>
      </w:r>
      <w:r>
        <w:rPr>
          <w:rFonts w:ascii="Arial" w:cs="Arial" w:eastAsia="Arial" w:hAnsi="Arial"/>
          <w:sz w:val="17"/>
          <w:szCs w:val="17"/>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While, at this time, we believe that we will not need to file a paragraph IV certification for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should circumstances change, should the FDA disagree or should we be required to file a paragraph IV certification in the future for other product candidates, we may risk patent litigation and substantial delays.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7"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2" w:lineRule="exact"/>
        <w:rPr>
          <w:sz w:val="20"/>
          <w:szCs w:val="20"/>
          <w:color w:val="auto"/>
        </w:rPr>
      </w:pPr>
    </w:p>
    <w:p>
      <w:pPr>
        <w:ind w:right="440" w:firstLine="648"/>
        <w:spacing w:after="0" w:line="258"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47" w:lineRule="exact"/>
        <w:rPr>
          <w:sz w:val="20"/>
          <w:szCs w:val="20"/>
          <w:color w:val="auto"/>
        </w:rPr>
      </w:pPr>
    </w:p>
    <w:p>
      <w:pPr>
        <w:ind w:left="920" w:right="240" w:firstLine="29"/>
        <w:spacing w:after="0" w:line="235" w:lineRule="auto"/>
        <w:rPr>
          <w:sz w:val="20"/>
          <w:szCs w:val="20"/>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62" w:lineRule="exact"/>
        <w:rPr>
          <w:sz w:val="20"/>
          <w:szCs w:val="20"/>
          <w:color w:val="auto"/>
        </w:rPr>
      </w:pPr>
    </w:p>
    <w:p>
      <w:pPr>
        <w:ind w:left="920" w:right="560" w:firstLine="29"/>
        <w:spacing w:after="0" w:line="235" w:lineRule="auto"/>
        <w:rPr>
          <w:sz w:val="20"/>
          <w:szCs w:val="20"/>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2" w:lineRule="exact"/>
        <w:rPr>
          <w:sz w:val="20"/>
          <w:szCs w:val="20"/>
          <w:color w:val="auto"/>
        </w:rPr>
      </w:pPr>
    </w:p>
    <w:p>
      <w:pPr>
        <w:jc w:val="both"/>
        <w:ind w:left="920" w:right="80" w:firstLine="29"/>
        <w:spacing w:after="0" w:line="249" w:lineRule="auto"/>
        <w:rPr>
          <w:sz w:val="20"/>
          <w:szCs w:val="20"/>
          <w:color w:val="auto"/>
        </w:rPr>
      </w:pPr>
      <w:r>
        <w:rPr>
          <w:rFonts w:ascii="Arial" w:cs="Arial" w:eastAsia="Arial" w:hAnsi="Arial"/>
          <w:sz w:val="16"/>
          <w:szCs w:val="16"/>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 For instance, as CRPS may spontaneously resolve on its own, our studies in recently diagnosed patients may fail to show a treatment effect;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firstLine="29"/>
        <w:spacing w:after="0" w:line="224" w:lineRule="auto"/>
        <w:rPr>
          <w:sz w:val="20"/>
          <w:szCs w:val="20"/>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3" w:lineRule="exact"/>
        <w:rPr>
          <w:sz w:val="20"/>
          <w:szCs w:val="20"/>
          <w:color w:val="auto"/>
        </w:rPr>
      </w:pPr>
    </w:p>
    <w:p>
      <w:pPr>
        <w:ind w:left="920" w:firstLine="29"/>
        <w:spacing w:after="0" w:line="194" w:lineRule="exact"/>
        <w:rPr>
          <w:sz w:val="20"/>
          <w:szCs w:val="20"/>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3" w:lineRule="exact"/>
        <w:rPr>
          <w:sz w:val="20"/>
          <w:szCs w:val="20"/>
          <w:color w:val="auto"/>
        </w:rPr>
      </w:pPr>
    </w:p>
    <w:p>
      <w:pPr>
        <w:ind w:left="920" w:right="220" w:firstLine="29"/>
        <w:spacing w:after="0" w:line="216" w:lineRule="auto"/>
        <w:rPr>
          <w:sz w:val="20"/>
          <w:szCs w:val="20"/>
          <w:color w:val="auto"/>
        </w:rPr>
      </w:pPr>
      <w:r>
        <w:rPr>
          <w:rFonts w:ascii="Arial" w:cs="Arial" w:eastAsia="Arial" w:hAnsi="Arial"/>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w:t>
      </w:r>
    </w:p>
    <w:p>
      <w:pPr>
        <w:spacing w:after="0" w:line="162" w:lineRule="exact"/>
        <w:rPr>
          <w:sz w:val="20"/>
          <w:szCs w:val="20"/>
          <w:color w:val="auto"/>
        </w:rPr>
      </w:pPr>
    </w:p>
    <w:p>
      <w:pPr>
        <w:ind w:left="920" w:right="120" w:firstLine="29"/>
        <w:spacing w:after="0" w:line="235" w:lineRule="auto"/>
        <w:rPr>
          <w:sz w:val="20"/>
          <w:szCs w:val="20"/>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2" w:lineRule="exact"/>
        <w:rPr>
          <w:sz w:val="20"/>
          <w:szCs w:val="20"/>
          <w:color w:val="auto"/>
        </w:rPr>
      </w:pPr>
    </w:p>
    <w:p>
      <w:pPr>
        <w:ind w:left="940" w:right="3140"/>
        <w:spacing w:after="0" w:line="510" w:lineRule="auto"/>
        <w:rPr>
          <w:sz w:val="20"/>
          <w:szCs w:val="20"/>
          <w:color w:val="auto"/>
        </w:rPr>
      </w:pPr>
      <w:r>
        <w:rPr>
          <w:rFonts w:ascii="Arial" w:cs="Arial" w:eastAsia="Arial" w:hAnsi="Arial"/>
          <w:sz w:val="16"/>
          <w:szCs w:val="16"/>
          <w:color w:val="auto"/>
        </w:rPr>
        <w:t>changes in or the enactment of additional statutes or regulations; changes in regulatory review for each submitted product application;</w:t>
      </w:r>
    </w:p>
    <w:p>
      <w:pPr>
        <w:spacing w:after="0" w:line="1" w:lineRule="exact"/>
        <w:rPr>
          <w:sz w:val="20"/>
          <w:szCs w:val="20"/>
          <w:color w:val="auto"/>
        </w:rPr>
      </w:pPr>
    </w:p>
    <w:p>
      <w:pPr>
        <w:ind w:left="920" w:right="80" w:firstLine="29"/>
        <w:spacing w:after="0" w:line="224" w:lineRule="auto"/>
        <w:rPr>
          <w:sz w:val="20"/>
          <w:szCs w:val="20"/>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3" w:lineRule="exact"/>
        <w:rPr>
          <w:sz w:val="20"/>
          <w:szCs w:val="20"/>
          <w:color w:val="auto"/>
        </w:rPr>
      </w:pPr>
    </w:p>
    <w:p>
      <w:pPr>
        <w:ind w:left="920" w:right="420" w:firstLine="29"/>
        <w:spacing w:after="0" w:line="235"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2" w:lineRule="exact"/>
        <w:rPr>
          <w:sz w:val="20"/>
          <w:szCs w:val="20"/>
          <w:color w:val="auto"/>
        </w:rPr>
      </w:pPr>
    </w:p>
    <w:p>
      <w:pPr>
        <w:ind w:left="920" w:right="20" w:firstLine="29"/>
        <w:spacing w:after="0" w:line="180" w:lineRule="exact"/>
        <w:rPr>
          <w:sz w:val="20"/>
          <w:szCs w:val="20"/>
          <w:color w:val="auto"/>
        </w:rPr>
      </w:pPr>
      <w:r>
        <w:rPr>
          <w:rFonts w:ascii="Arial" w:cs="Arial" w:eastAsia="Arial" w:hAnsi="Arial"/>
          <w:sz w:val="17"/>
          <w:szCs w:val="17"/>
          <w:color w:val="auto"/>
        </w:rPr>
        <w:t>we may decide, or regulators may require us, to conduct additional clinical trials, analyses, reports, data, or preclinical trials, or we may abandon product development programs. For instance, for the development of AXS</w:t>
      </w:r>
      <w:r>
        <w:rPr>
          <w:rFonts w:ascii="MS PGothic" w:cs="MS PGothic" w:eastAsia="MS PGothic" w:hAnsi="MS PGothic"/>
          <w:sz w:val="17"/>
          <w:szCs w:val="17"/>
          <w:color w:val="auto"/>
        </w:rPr>
        <w:t>‑</w:t>
      </w:r>
      <w:r>
        <w:rPr>
          <w:rFonts w:ascii="Arial" w:cs="Arial" w:eastAsia="Arial" w:hAnsi="Arial"/>
          <w:sz w:val="17"/>
          <w:szCs w:val="17"/>
          <w:color w:val="auto"/>
        </w:rPr>
        <w:t>02, the FDA has indicated that we will need to file a new IND for each indication to supplement the initial IND that we filed in 2013 for the treatment of pain associated with CRPS, and that we will need to conduct additional preclinical studies and clinical trials, such as non</w:t>
      </w:r>
      <w:r>
        <w:rPr>
          <w:rFonts w:ascii="MS PGothic" w:cs="MS PGothic" w:eastAsia="MS PGothic" w:hAnsi="MS PGothic"/>
          <w:sz w:val="17"/>
          <w:szCs w:val="17"/>
          <w:color w:val="auto"/>
        </w:rPr>
        <w:t>‑</w:t>
      </w:r>
      <w:r>
        <w:rPr>
          <w:rFonts w:ascii="Arial" w:cs="Arial" w:eastAsia="Arial" w:hAnsi="Arial"/>
          <w:sz w:val="17"/>
          <w:szCs w:val="17"/>
          <w:color w:val="auto"/>
        </w:rPr>
        <w:t>clinical oral toxicology studies and clinical trials to further assess the safety and duration of effect of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02 food effects, and possibly repeat dosing. For our ongoing Phase 3 clinical trial with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the pain of knee OA associated with BMLs, although we have received a Special Protocol Assessment, or SPA, the FDA stated that if there is a recurrence of knee OA pain, we will need to explore repeat dosing, which would require additional preclinical studies. For AXS</w:t>
      </w:r>
      <w:r>
        <w:rPr>
          <w:rFonts w:ascii="MS PGothic" w:cs="MS PGothic" w:eastAsia="MS PGothic" w:hAnsi="MS PGothic"/>
          <w:sz w:val="17"/>
          <w:szCs w:val="17"/>
          <w:color w:val="auto"/>
        </w:rPr>
        <w:t>‑</w:t>
      </w:r>
      <w:r>
        <w:rPr>
          <w:rFonts w:ascii="Arial" w:cs="Arial" w:eastAsia="Arial" w:hAnsi="Arial"/>
          <w:sz w:val="17"/>
          <w:szCs w:val="17"/>
          <w:color w:val="auto"/>
        </w:rPr>
        <w:t>05, we will need to conduct additional clinical and preclinical studies in addition to our planned Phase 3 trials in order to file an NDA for this product candidate. The outcome of our studies may further necessitate additional clinical or preclinical work;</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5" w:lineRule="exact"/>
        <w:rPr>
          <w:sz w:val="20"/>
          <w:szCs w:val="20"/>
          <w:color w:val="auto"/>
        </w:rPr>
      </w:pPr>
    </w:p>
    <w:p>
      <w:pPr>
        <w:ind w:left="920" w:right="300" w:firstLine="29"/>
        <w:spacing w:after="0" w:line="235" w:lineRule="auto"/>
        <w:rPr>
          <w:sz w:val="20"/>
          <w:szCs w:val="20"/>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62" w:lineRule="exact"/>
        <w:rPr>
          <w:sz w:val="20"/>
          <w:szCs w:val="20"/>
          <w:color w:val="auto"/>
        </w:rPr>
      </w:pPr>
    </w:p>
    <w:p>
      <w:pPr>
        <w:jc w:val="both"/>
        <w:ind w:left="920" w:right="500" w:firstLine="29"/>
        <w:spacing w:after="0" w:line="259" w:lineRule="auto"/>
        <w:rPr>
          <w:sz w:val="20"/>
          <w:szCs w:val="20"/>
          <w:color w:val="auto"/>
        </w:rPr>
      </w:pPr>
      <w:r>
        <w:rPr>
          <w:rFonts w:ascii="Arial" w:cs="Arial" w:eastAsia="Arial" w:hAnsi="Arial"/>
          <w:sz w:val="16"/>
          <w:szCs w:val="16"/>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47" w:lineRule="exact"/>
        <w:rPr>
          <w:sz w:val="20"/>
          <w:szCs w:val="20"/>
          <w:color w:val="auto"/>
        </w:rPr>
      </w:pPr>
    </w:p>
    <w:p>
      <w:pPr>
        <w:ind w:left="920" w:right="80" w:firstLine="29"/>
        <w:spacing w:after="0" w:line="235" w:lineRule="auto"/>
        <w:rPr>
          <w:sz w:val="20"/>
          <w:szCs w:val="20"/>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firstLine="29"/>
        <w:spacing w:after="0" w:line="184" w:lineRule="exact"/>
        <w:rPr>
          <w:sz w:val="20"/>
          <w:szCs w:val="20"/>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7"/>
          <w:szCs w:val="17"/>
          <w:color w:val="auto"/>
        </w:rPr>
        <w:t>‑</w:t>
      </w:r>
      <w:r>
        <w:rPr>
          <w:rFonts w:ascii="Arial" w:cs="Arial" w:eastAsia="Arial" w:hAnsi="Arial"/>
          <w:sz w:val="17"/>
          <w:szCs w:val="17"/>
          <w:color w:val="auto"/>
        </w:rPr>
        <w:t>02, the species and doses used in our preclinical studies, and the results of our preclinical studies;</w:t>
      </w:r>
    </w:p>
    <w:p>
      <w:pPr>
        <w:spacing w:after="0" w:line="162" w:lineRule="exact"/>
        <w:rPr>
          <w:sz w:val="20"/>
          <w:szCs w:val="20"/>
          <w:color w:val="auto"/>
        </w:rPr>
      </w:pPr>
    </w:p>
    <w:p>
      <w:pPr>
        <w:ind w:left="920" w:right="20" w:firstLine="29"/>
        <w:spacing w:after="0" w:line="235" w:lineRule="auto"/>
        <w:rPr>
          <w:sz w:val="20"/>
          <w:szCs w:val="20"/>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FDA or comparable foreign regulatory authorities may disagree with our intended indications;</w:t>
      </w:r>
    </w:p>
    <w:p>
      <w:pPr>
        <w:spacing w:after="0" w:line="185" w:lineRule="exact"/>
        <w:rPr>
          <w:sz w:val="20"/>
          <w:szCs w:val="20"/>
          <w:color w:val="auto"/>
        </w:rPr>
      </w:pPr>
    </w:p>
    <w:p>
      <w:pPr>
        <w:ind w:left="920" w:right="300" w:firstLine="29"/>
        <w:spacing w:after="0" w:line="258" w:lineRule="auto"/>
        <w:rPr>
          <w:sz w:val="20"/>
          <w:szCs w:val="20"/>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7" w:lineRule="exact"/>
        <w:rPr>
          <w:sz w:val="20"/>
          <w:szCs w:val="20"/>
          <w:color w:val="auto"/>
        </w:rPr>
      </w:pPr>
    </w:p>
    <w:p>
      <w:pPr>
        <w:ind w:left="920" w:right="80" w:firstLine="29"/>
        <w:spacing w:after="0" w:line="235" w:lineRule="auto"/>
        <w:rPr>
          <w:sz w:val="20"/>
          <w:szCs w:val="20"/>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2" w:lineRule="exact"/>
        <w:rPr>
          <w:sz w:val="20"/>
          <w:szCs w:val="20"/>
          <w:color w:val="auto"/>
        </w:rPr>
      </w:pPr>
    </w:p>
    <w:p>
      <w:pPr>
        <w:ind w:left="920" w:firstLine="29"/>
        <w:spacing w:after="0" w:line="235" w:lineRule="auto"/>
        <w:rPr>
          <w:sz w:val="20"/>
          <w:szCs w:val="20"/>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940" w:right="3000"/>
        <w:spacing w:after="0" w:line="454" w:lineRule="auto"/>
        <w:rPr>
          <w:sz w:val="20"/>
          <w:szCs w:val="20"/>
          <w:color w:val="auto"/>
        </w:rPr>
      </w:pPr>
      <w:r>
        <w:rPr>
          <w:rFonts w:ascii="Arial" w:cs="Arial" w:eastAsia="Arial" w:hAnsi="Arial"/>
          <w:sz w:val="18"/>
          <w:szCs w:val="18"/>
          <w:color w:val="auto"/>
        </w:rPr>
        <w:t>be delayed in obtaining marketing approval for our product candidates; not obtain marketing approval at all;</w:t>
      </w:r>
    </w:p>
    <w:p>
      <w:pPr>
        <w:ind w:left="920" w:right="440" w:firstLine="29"/>
        <w:spacing w:after="0" w:line="235" w:lineRule="auto"/>
        <w:rPr>
          <w:sz w:val="20"/>
          <w:szCs w:val="20"/>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2" w:lineRule="exact"/>
        <w:rPr>
          <w:sz w:val="20"/>
          <w:szCs w:val="20"/>
          <w:color w:val="auto"/>
        </w:rPr>
      </w:pPr>
    </w:p>
    <w:p>
      <w:pPr>
        <w:ind w:left="920" w:right="200" w:firstLine="29"/>
        <w:spacing w:after="0" w:line="259" w:lineRule="auto"/>
        <w:rPr>
          <w:sz w:val="20"/>
          <w:szCs w:val="20"/>
          <w:color w:val="auto"/>
        </w:rPr>
      </w:pPr>
      <w:r>
        <w:rPr>
          <w:rFonts w:ascii="Arial" w:cs="Arial" w:eastAsia="Arial" w:hAnsi="Arial"/>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47" w:lineRule="exact"/>
        <w:rPr>
          <w:sz w:val="20"/>
          <w:szCs w:val="20"/>
          <w:color w:val="auto"/>
        </w:rPr>
      </w:pPr>
    </w:p>
    <w:p>
      <w:pPr>
        <w:ind w:left="940" w:right="1040"/>
        <w:spacing w:after="0" w:line="311" w:lineRule="exact"/>
        <w:rPr>
          <w:sz w:val="20"/>
          <w:szCs w:val="20"/>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 have the product removed from the market after obtaining marketing approval.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7"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Furthermore, there is the possibility that the FDA has not previously reviewed product candidates for the indications we are pursuing, such as bisphosphonates for the treatment of pain. As a result, we may experience delays in regulatory approval due to uncertainties in the approval process.</w:t>
      </w:r>
    </w:p>
    <w:p>
      <w:pPr>
        <w:spacing w:after="0" w:line="161" w:lineRule="exact"/>
        <w:rPr>
          <w:sz w:val="20"/>
          <w:szCs w:val="20"/>
          <w:color w:val="auto"/>
        </w:rPr>
      </w:pPr>
    </w:p>
    <w:p>
      <w:pPr>
        <w:ind w:right="220"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jc w:val="both"/>
        <w:ind w:right="120" w:firstLine="648"/>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161" w:lineRule="exact"/>
        <w:rPr>
          <w:sz w:val="20"/>
          <w:szCs w:val="20"/>
          <w:color w:val="auto"/>
        </w:rPr>
      </w:pPr>
    </w:p>
    <w:p>
      <w:pPr>
        <w:ind w:right="80" w:firstLine="648"/>
        <w:spacing w:after="0" w:line="194"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163"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trials of the combination of DM, one of the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05, and quinidine for the treatment of pseudobulbar affect and agitation in patients with probable AD include falls, dizziness, headache, nausea, diarrhea, and urinary tract infection.</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Arial" w:cs="Arial" w:eastAsia="Arial" w:hAnsi="Arial"/>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is a combination of DM and bupropion,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6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size and nature of the patient population;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severity of the disease under investigation;</w:t>
      </w:r>
    </w:p>
    <w:p>
      <w:pPr>
        <w:spacing w:after="0" w:line="185" w:lineRule="exact"/>
        <w:rPr>
          <w:sz w:val="20"/>
          <w:szCs w:val="20"/>
          <w:color w:val="auto"/>
        </w:rPr>
      </w:pPr>
    </w:p>
    <w:p>
      <w:pPr>
        <w:ind w:left="920" w:right="400" w:firstLine="29"/>
        <w:spacing w:after="0" w:line="235" w:lineRule="auto"/>
        <w:rPr>
          <w:sz w:val="20"/>
          <w:szCs w:val="20"/>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2" w:lineRule="exact"/>
        <w:rPr>
          <w:sz w:val="20"/>
          <w:szCs w:val="20"/>
          <w:color w:val="auto"/>
        </w:rPr>
      </w:pPr>
    </w:p>
    <w:p>
      <w:pPr>
        <w:ind w:left="920" w:right="440" w:firstLine="29"/>
        <w:spacing w:after="0" w:line="289" w:lineRule="auto"/>
        <w:rPr>
          <w:sz w:val="20"/>
          <w:szCs w:val="20"/>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competition in recruiting and enrolling patients in clinical trials;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efforts to facilitate timely enrollment in clinical trials;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patient referral practices of physicians;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effectiveness of publicity created by clinical trial sites regarding the trial;</w:t>
      </w:r>
    </w:p>
    <w:p>
      <w:pPr>
        <w:spacing w:after="0" w:line="185" w:lineRule="exact"/>
        <w:rPr>
          <w:sz w:val="20"/>
          <w:szCs w:val="20"/>
          <w:color w:val="auto"/>
        </w:rPr>
      </w:pPr>
    </w:p>
    <w:p>
      <w:pPr>
        <w:ind w:left="920" w:right="99" w:firstLine="29"/>
        <w:spacing w:after="0" w:line="235" w:lineRule="auto"/>
        <w:rPr>
          <w:sz w:val="20"/>
          <w:szCs w:val="20"/>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inability to obtain or maintain patient informed consents;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risk that enrolled patients will drop out before completion;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ability to monitor patients adequately during and after treatment;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right="39" w:firstLine="648"/>
        <w:spacing w:after="0" w:line="184" w:lineRule="exact"/>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Our current development plan for AXS</w:t>
      </w:r>
      <w:r>
        <w:rPr>
          <w:rFonts w:ascii="MS PGothic" w:cs="MS PGothic" w:eastAsia="MS PGothic" w:hAnsi="MS PGothic"/>
          <w:sz w:val="16"/>
          <w:szCs w:val="16"/>
          <w:color w:val="auto"/>
        </w:rPr>
        <w:t>‑</w:t>
      </w:r>
      <w:r>
        <w:rPr>
          <w:rFonts w:ascii="Arial" w:cs="Arial" w:eastAsia="Arial" w:hAnsi="Arial"/>
          <w:sz w:val="16"/>
          <w:szCs w:val="16"/>
          <w:color w:val="auto"/>
        </w:rPr>
        <w:t>02 contemplates recruiting and enrolling more than 475 patients for our Phase 3 clinical trials for the treatment of pain associated with CRPS. We may encounter difficulties or delays in completing our planned enrollments for these trials. In addition, because of some of our other entry criteria for our Phase 3 clinical trials with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such as the requirement that patients cease any usage of previous opioid therapy, we may further limit our potential patient population. For our initiated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TRD, we will require patients to have previously failed one or two antidepressant treatments, which further limits our potential patient population. As a result, these entry criteria may make it difficult for us to enroll patients in any of our clinical trials. We may be required by the FDA to modify the entry criteria for our ongoing Phase 3 clinical trials with AXS-02 and AXS-05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215" w:lineRule="exact"/>
        <w:rPr>
          <w:sz w:val="20"/>
          <w:szCs w:val="20"/>
          <w:color w:val="auto"/>
        </w:rPr>
      </w:pPr>
    </w:p>
    <w:p>
      <w:pPr>
        <w:jc w:val="both"/>
        <w:ind w:right="99" w:firstLine="648"/>
        <w:spacing w:after="0" w:line="238"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194" w:lineRule="exact"/>
        <w:rPr>
          <w:sz w:val="20"/>
          <w:szCs w:val="20"/>
          <w:color w:val="auto"/>
        </w:rPr>
      </w:pPr>
      <w:r>
        <w:rPr>
          <w:rFonts w:ascii="Arial" w:cs="Arial" w:eastAsia="Arial" w:hAnsi="Arial"/>
          <w:sz w:val="18"/>
          <w:szCs w:val="18"/>
          <w:b w:val="1"/>
          <w:bCs w:val="1"/>
          <w:i w:val="1"/>
          <w:iCs w:val="1"/>
          <w:color w:val="auto"/>
        </w:rPr>
        <w:t>One of our lead product candidates,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if approved, will compete in the marketplace with other bupropion products that are subject to restrictive marketing and distribution regulations, which if applied to our product candidates would restrict their use and harm our ability to generate profits.</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Some of the currently approved bupropion products require REMS. REMS programs may require medication guides for patients,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AXS</w:t>
      </w:r>
      <w:r>
        <w:rPr>
          <w:rFonts w:ascii="MS PGothic" w:cs="MS PGothic" w:eastAsia="MS PGothic" w:hAnsi="MS PGothic"/>
          <w:sz w:val="16"/>
          <w:szCs w:val="16"/>
          <w:color w:val="auto"/>
        </w:rPr>
        <w:t>‑</w:t>
      </w:r>
      <w:r>
        <w:rPr>
          <w:rFonts w:ascii="Arial" w:cs="Arial" w:eastAsia="Arial" w:hAnsi="Arial"/>
          <w:sz w:val="16"/>
          <w:szCs w:val="16"/>
          <w:color w:val="auto"/>
        </w:rPr>
        <w:t>05 will require a REMS program. We cannot predict whether REMS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for such product candidates may also prevent or delay their approval for commercialization.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product candidates are developed through preclinical studies to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towards approval and commercialization, it is common that various aspects of the development program, such as manufacturing methods and formulation, are altered along the way in an effort to optimize processes and results. For instance, our initial studies in AXS</w:t>
      </w:r>
      <w:r>
        <w:rPr>
          <w:rFonts w:ascii="MS PGothic" w:cs="MS PGothic" w:eastAsia="MS PGothic" w:hAnsi="MS PGothic"/>
          <w:sz w:val="16"/>
          <w:szCs w:val="16"/>
          <w:color w:val="auto"/>
        </w:rPr>
        <w:t>‑</w:t>
      </w:r>
      <w:r>
        <w:rPr>
          <w:rFonts w:ascii="Arial" w:cs="Arial" w:eastAsia="Arial" w:hAnsi="Arial"/>
          <w:sz w:val="16"/>
          <w:szCs w:val="16"/>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order to market and sell our products in the European Union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80"/>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We have received a Fast Track product designation for AXS</w:t>
      </w:r>
      <w:r>
        <w:rPr>
          <w:rFonts w:ascii="MS PGothic" w:cs="MS PGothic" w:eastAsia="MS PGothic" w:hAnsi="MS PGothic"/>
          <w:sz w:val="17"/>
          <w:szCs w:val="17"/>
          <w:color w:val="auto"/>
        </w:rPr>
        <w:t>‑</w:t>
      </w:r>
      <w:r>
        <w:rPr>
          <w:rFonts w:ascii="Arial" w:cs="Arial" w:eastAsia="Arial" w:hAnsi="Arial"/>
          <w:sz w:val="17"/>
          <w:szCs w:val="17"/>
          <w:color w:val="auto"/>
        </w:rPr>
        <w:t>02 for both the treatment of pain associated with CRPS as well as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2" w:lineRule="exact"/>
        <w:rPr>
          <w:sz w:val="20"/>
          <w:szCs w:val="20"/>
          <w:color w:val="auto"/>
        </w:rPr>
      </w:pPr>
    </w:p>
    <w:p>
      <w:pPr>
        <w:ind w:right="40"/>
        <w:spacing w:after="0" w:line="189" w:lineRule="exact"/>
        <w:rPr>
          <w:sz w:val="20"/>
          <w:szCs w:val="20"/>
          <w:color w:val="auto"/>
        </w:rPr>
      </w:pPr>
      <w:r>
        <w:rPr>
          <w:rFonts w:ascii="Arial" w:cs="Arial" w:eastAsia="Arial" w:hAnsi="Arial"/>
          <w:sz w:val="18"/>
          <w:szCs w:val="18"/>
          <w:b w:val="1"/>
          <w:bCs w:val="1"/>
          <w:i w:val="1"/>
          <w:iCs w:val="1"/>
          <w:color w:val="auto"/>
        </w:rPr>
        <w:t>Regulatory approval is limited by the FDA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label” uses, resulting in damage to our reputation and business.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4"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w:t>
      </w:r>
      <w:r>
        <w:rPr>
          <w:rFonts w:ascii="MS PGothic" w:cs="MS PGothic" w:eastAsia="MS PGothic" w:hAnsi="MS PGothic"/>
          <w:sz w:val="17"/>
          <w:szCs w:val="17"/>
          <w:color w:val="auto"/>
        </w:rPr>
        <w:t>‑</w:t>
      </w:r>
      <w:r>
        <w:rPr>
          <w:rFonts w:ascii="Arial" w:cs="Arial" w:eastAsia="Arial" w:hAnsi="Arial"/>
          <w:sz w:val="17"/>
          <w:szCs w:val="17"/>
          <w:color w:val="auto"/>
        </w:rPr>
        <w:t>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7"/>
          <w:szCs w:val="17"/>
          <w:color w:val="auto"/>
        </w:rPr>
        <w:t>‑</w:t>
      </w:r>
      <w:r>
        <w:rPr>
          <w:rFonts w:ascii="Arial" w:cs="Arial" w:eastAsia="Arial" w:hAnsi="Arial"/>
          <w:sz w:val="17"/>
          <w:szCs w:val="17"/>
          <w:color w:val="auto"/>
        </w:rPr>
        <w:t>label use.</w:t>
      </w:r>
    </w:p>
    <w:p>
      <w:pPr>
        <w:spacing w:after="0" w:line="162"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In the United States, engaging in the impermissible promotion of our products, following approval, for off</w:t>
      </w:r>
      <w:r>
        <w:rPr>
          <w:rFonts w:ascii="MS PGothic" w:cs="MS PGothic" w:eastAsia="MS PGothic" w:hAnsi="MS PGothic"/>
          <w:sz w:val="17"/>
          <w:szCs w:val="17"/>
          <w:color w:val="auto"/>
        </w:rPr>
        <w:t>‑</w:t>
      </w:r>
      <w:r>
        <w:rPr>
          <w:rFonts w:ascii="Arial" w:cs="Arial" w:eastAsia="Arial" w:hAnsi="Arial"/>
          <w:sz w:val="17"/>
          <w:szCs w:val="17"/>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7"/>
          <w:szCs w:val="17"/>
          <w:color w:val="auto"/>
        </w:rPr>
        <w:t>‑</w:t>
      </w:r>
      <w:r>
        <w:rPr>
          <w:rFonts w:ascii="Arial" w:cs="Arial" w:eastAsia="Arial" w:hAnsi="Arial"/>
          <w:sz w:val="17"/>
          <w:szCs w:val="17"/>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3"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In the United States, the distribution of product samples to physicians must further comply with the requirements of the U.S. Prescription Drug Marketing Act. If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62" w:lineRule="exact"/>
        <w:rPr>
          <w:sz w:val="20"/>
          <w:szCs w:val="20"/>
          <w:color w:val="auto"/>
        </w:rPr>
      </w:pPr>
    </w:p>
    <w:p>
      <w:pPr>
        <w:ind w:right="120"/>
        <w:spacing w:after="0" w:line="189" w:lineRule="exact"/>
        <w:rPr>
          <w:sz w:val="20"/>
          <w:szCs w:val="20"/>
          <w:color w:val="auto"/>
        </w:rPr>
      </w:pPr>
      <w:r>
        <w:rPr>
          <w:rFonts w:ascii="Arial" w:cs="Arial" w:eastAsia="Arial" w:hAnsi="Arial"/>
          <w:sz w:val="16"/>
          <w:szCs w:val="16"/>
          <w:b w:val="1"/>
          <w:bCs w:val="1"/>
          <w:i w:val="1"/>
          <w:iCs w:val="1"/>
          <w:color w:val="auto"/>
        </w:rPr>
        <w:t>Even if AXS</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02 or AXS</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05 receive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4"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6"/>
          <w:szCs w:val="16"/>
          <w:color w:val="auto"/>
        </w:rPr>
        <w:t>‑</w:t>
      </w:r>
      <w:r>
        <w:rPr>
          <w:rFonts w:ascii="Arial" w:cs="Arial" w:eastAsia="Arial" w:hAnsi="Arial"/>
          <w:sz w:val="16"/>
          <w:szCs w:val="16"/>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6"/>
          <w:szCs w:val="16"/>
          <w:color w:val="auto"/>
        </w:rPr>
        <w:t>‑</w:t>
      </w:r>
      <w:r>
        <w:rPr>
          <w:rFonts w:ascii="Arial" w:cs="Arial" w:eastAsia="Arial" w:hAnsi="Arial"/>
          <w:sz w:val="16"/>
          <w:szCs w:val="16"/>
          <w:color w:val="auto"/>
        </w:rPr>
        <w:t>marketing information, including manufacturing deviations and reports; registration and listing requirements; the payment of annual fees for our product candidates, if approved, and the establishments at which they are manufactured;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6"/>
          <w:szCs w:val="16"/>
          <w:color w:val="auto"/>
        </w:rPr>
        <w:t>‑</w:t>
      </w:r>
      <w:r>
        <w:rPr>
          <w:rFonts w:ascii="Arial" w:cs="Arial" w:eastAsia="Arial" w:hAnsi="Arial"/>
          <w:sz w:val="16"/>
          <w:szCs w:val="16"/>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6"/>
          <w:szCs w:val="16"/>
          <w:color w:val="auto"/>
        </w:rPr>
        <w:t>‑</w:t>
      </w:r>
      <w:r>
        <w:rPr>
          <w:rFonts w:ascii="Arial" w:cs="Arial" w:eastAsia="Arial" w:hAnsi="Arial"/>
          <w:sz w:val="16"/>
          <w:szCs w:val="16"/>
          <w:color w:val="auto"/>
        </w:rPr>
        <w:t>market requirements or restrictions. Any such restrictions could limit sales of the product.</w:t>
      </w:r>
    </w:p>
    <w:p>
      <w:pPr>
        <w:spacing w:after="0" w:line="163" w:lineRule="exact"/>
        <w:rPr>
          <w:sz w:val="20"/>
          <w:szCs w:val="20"/>
          <w:color w:val="auto"/>
        </w:rPr>
      </w:pPr>
    </w:p>
    <w:p>
      <w:pPr>
        <w:jc w:val="both"/>
        <w:ind w:right="260"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restrictions on manufacturing or distribution, or marketing of such products;</w:t>
      </w:r>
    </w:p>
    <w:p>
      <w:pPr>
        <w:spacing w:after="0" w:line="185" w:lineRule="exact"/>
        <w:rPr>
          <w:sz w:val="20"/>
          <w:szCs w:val="20"/>
          <w:color w:val="auto"/>
        </w:rPr>
      </w:pPr>
    </w:p>
    <w:p>
      <w:pPr>
        <w:ind w:left="920" w:right="1200" w:firstLine="29"/>
        <w:spacing w:after="0" w:line="258" w:lineRule="auto"/>
        <w:rPr>
          <w:sz w:val="20"/>
          <w:szCs w:val="20"/>
          <w:color w:val="auto"/>
        </w:rPr>
      </w:pPr>
      <w:r>
        <w:rPr>
          <w:rFonts w:ascii="Arial" w:cs="Arial" w:eastAsia="Arial" w:hAnsi="Arial"/>
          <w:sz w:val="17"/>
          <w:szCs w:val="17"/>
          <w:color w:val="auto"/>
        </w:rPr>
        <w:t>restrictions on the labeling, including required additional warnings, such as black box warnings, contraindications, precautions, and restrictions on the approved indication or use;</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modifications to promotional pieces;</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clinical holds or termination of clinical trials;</w:t>
      </w:r>
    </w:p>
    <w:p>
      <w:pPr>
        <w:spacing w:after="0" w:line="185" w:lineRule="exact"/>
        <w:rPr>
          <w:sz w:val="20"/>
          <w:szCs w:val="20"/>
          <w:color w:val="auto"/>
        </w:rPr>
      </w:pPr>
    </w:p>
    <w:p>
      <w:pPr>
        <w:ind w:left="920" w:right="80" w:firstLine="29"/>
        <w:spacing w:after="0" w:line="232" w:lineRule="auto"/>
        <w:rPr>
          <w:sz w:val="20"/>
          <w:szCs w:val="20"/>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changes to the way the drug is administered;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liability for harm caused to patients or subjects;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reputational harm;</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drug becoming less competitive;</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warning, untitled, or cyber letters;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suspension of marketing or withdrawal of the products from the market;</w:t>
      </w:r>
    </w:p>
    <w:p>
      <w:pPr>
        <w:spacing w:after="0" w:line="185" w:lineRule="exact"/>
        <w:rPr>
          <w:sz w:val="20"/>
          <w:szCs w:val="20"/>
          <w:color w:val="auto"/>
        </w:rPr>
      </w:pPr>
    </w:p>
    <w:p>
      <w:pPr>
        <w:ind w:left="920" w:right="780" w:firstLine="29"/>
        <w:spacing w:after="0" w:line="258" w:lineRule="auto"/>
        <w:rPr>
          <w:sz w:val="20"/>
          <w:szCs w:val="20"/>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refusal to approve pending applications or supplements to approved applications that we submit;</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recall of products;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fines, damages, restitution, or disgorgement of profits or revenues;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suspension or withdrawal of marketing approvals;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refusal to permit the import or export of our products;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product seizure or detention;</w:t>
      </w:r>
    </w:p>
    <w:p>
      <w:pPr>
        <w:spacing w:after="0" w:line="185" w:lineRule="exact"/>
        <w:rPr>
          <w:sz w:val="20"/>
          <w:szCs w:val="20"/>
          <w:color w:val="auto"/>
        </w:rPr>
      </w:pPr>
    </w:p>
    <w:p>
      <w:pPr>
        <w:ind w:left="920" w:right="260" w:firstLine="29"/>
        <w:spacing w:after="0" w:line="289" w:lineRule="auto"/>
        <w:rPr>
          <w:sz w:val="20"/>
          <w:szCs w:val="20"/>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injunctions or the imposition of civil or criminal penalties, including imprisonment.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1"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different regulatory requirements for approval of drugs in foreign countries;</w:t>
      </w:r>
    </w:p>
    <w:p>
      <w:pPr>
        <w:spacing w:after="0" w:line="185" w:lineRule="exact"/>
        <w:rPr>
          <w:sz w:val="20"/>
          <w:szCs w:val="20"/>
          <w:color w:val="auto"/>
        </w:rPr>
      </w:pPr>
    </w:p>
    <w:p>
      <w:pPr>
        <w:ind w:left="920" w:right="320" w:firstLine="29"/>
        <w:spacing w:after="0" w:line="194" w:lineRule="exact"/>
        <w:rPr>
          <w:sz w:val="20"/>
          <w:szCs w:val="20"/>
          <w:color w:val="auto"/>
        </w:rPr>
      </w:pPr>
      <w:r>
        <w:rPr>
          <w:rFonts w:ascii="Arial" w:cs="Arial" w:eastAsia="Arial" w:hAnsi="Arial"/>
          <w:sz w:val="18"/>
          <w:szCs w:val="18"/>
          <w:color w:val="auto"/>
        </w:rPr>
        <w:t>the potential for so</w:t>
      </w:r>
      <w:r>
        <w:rPr>
          <w:rFonts w:ascii="MS PGothic" w:cs="MS PGothic" w:eastAsia="MS PGothic" w:hAnsi="MS PGothic"/>
          <w:sz w:val="18"/>
          <w:szCs w:val="18"/>
          <w:color w:val="auto"/>
        </w:rPr>
        <w:t>‑</w:t>
      </w:r>
      <w:r>
        <w:rPr>
          <w:rFonts w:ascii="Arial" w:cs="Arial" w:eastAsia="Arial" w:hAnsi="Arial"/>
          <w:sz w:val="18"/>
          <w:szCs w:val="18"/>
          <w:color w:val="auto"/>
        </w:rPr>
        <w:t>called parallel importing, which is what happens when a local seller, faced with high or higher local prices, opts to import goods from a foreign market (with low or lower prices) rather than buying them locally;</w:t>
      </w:r>
    </w:p>
    <w:p>
      <w:pPr>
        <w:spacing w:after="0" w:line="163" w:lineRule="exact"/>
        <w:rPr>
          <w:sz w:val="20"/>
          <w:szCs w:val="20"/>
          <w:color w:val="auto"/>
        </w:rPr>
      </w:pPr>
    </w:p>
    <w:p>
      <w:pPr>
        <w:ind w:left="920" w:firstLine="29"/>
        <w:spacing w:after="0" w:line="258" w:lineRule="auto"/>
        <w:rPr>
          <w:sz w:val="20"/>
          <w:szCs w:val="20"/>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7" w:lineRule="exact"/>
        <w:rPr>
          <w:sz w:val="20"/>
          <w:szCs w:val="20"/>
          <w:color w:val="auto"/>
        </w:rPr>
      </w:pPr>
    </w:p>
    <w:p>
      <w:pPr>
        <w:ind w:left="920" w:right="480" w:firstLine="29"/>
        <w:spacing w:after="0" w:line="235" w:lineRule="auto"/>
        <w:rPr>
          <w:sz w:val="20"/>
          <w:szCs w:val="20"/>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2" w:lineRule="exact"/>
        <w:rPr>
          <w:sz w:val="20"/>
          <w:szCs w:val="20"/>
          <w:color w:val="auto"/>
        </w:rPr>
      </w:pPr>
    </w:p>
    <w:p>
      <w:pPr>
        <w:ind w:left="940" w:right="360"/>
        <w:spacing w:after="0" w:line="454" w:lineRule="auto"/>
        <w:rPr>
          <w:sz w:val="20"/>
          <w:szCs w:val="20"/>
          <w:color w:val="auto"/>
        </w:rPr>
      </w:pPr>
      <w:r>
        <w:rPr>
          <w:rFonts w:ascii="Arial" w:cs="Arial" w:eastAsia="Arial" w:hAnsi="Arial"/>
          <w:sz w:val="18"/>
          <w:szCs w:val="18"/>
          <w:color w:val="auto"/>
        </w:rPr>
        <w:t>economic weakness, including inflation, or political instability in particular foreign economies and markets; compliance with tax, employment, immigration, and labor laws for employees living or traveling abroad; foreign taxes, including withholding of payroll taxes;</w:t>
      </w:r>
    </w:p>
    <w:p>
      <w:pPr>
        <w:ind w:left="920" w:right="320" w:firstLine="29"/>
        <w:spacing w:after="0" w:line="235"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difficulties staffing and managing foreign operations;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85" w:lineRule="exact"/>
        <w:rPr>
          <w:sz w:val="20"/>
          <w:szCs w:val="20"/>
          <w:color w:val="auto"/>
        </w:rPr>
      </w:pPr>
    </w:p>
    <w:p>
      <w:pPr>
        <w:ind w:left="920" w:right="580" w:firstLine="29"/>
        <w:spacing w:after="0" w:line="258" w:lineRule="auto"/>
        <w:rPr>
          <w:sz w:val="20"/>
          <w:szCs w:val="20"/>
          <w:color w:val="auto"/>
        </w:rPr>
      </w:pPr>
      <w:r>
        <w:rPr>
          <w:rFonts w:ascii="Arial" w:cs="Arial" w:eastAsia="Arial" w:hAnsi="Arial"/>
          <w:sz w:val="17"/>
          <w:szCs w:val="17"/>
          <w:color w:val="auto"/>
        </w:rPr>
        <w:t>costs of compliance with U.S. laws and regulations for foreign operations, including the Foreign Corrupt Practices Act or comparable foreign regulations, and the risks and costs of noncompliance;</w:t>
      </w:r>
    </w:p>
    <w:p>
      <w:pPr>
        <w:spacing w:after="0" w:line="147" w:lineRule="exact"/>
        <w:rPr>
          <w:sz w:val="20"/>
          <w:szCs w:val="20"/>
          <w:color w:val="auto"/>
        </w:rPr>
      </w:pPr>
    </w:p>
    <w:p>
      <w:pPr>
        <w:ind w:left="920" w:right="420" w:firstLine="29"/>
        <w:spacing w:after="0" w:line="235"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460" w:firstLine="29"/>
        <w:spacing w:after="0" w:line="235" w:lineRule="auto"/>
        <w:rPr>
          <w:sz w:val="20"/>
          <w:szCs w:val="20"/>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0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Specifically, there are a large number of companies developing or marketing therapies for the treatment and management of pain and other CNS disorders, including many major pharmaceutical and biotechnology companies. Among the companies that currently market or are developing therapies that, if approved, our product candidates would potentially compete with include: Alkermes plc; Allergan plc; Carbylan Therapeutics, Inc.; Eli Lilly and Company; Flexion Therapeutics, Inc.; Grunenthal GmbH; Janssen Research &amp; Development, LLC; Levolta Pharmaceuticals, Inc.; Otsuka Pharmaceutical Co. Ltd.; OPKO Health, Inc.; Acadia Pharmaceuticals, Inc.; and Intra-Cellular Therapies, Inc.</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68" w:lineRule="exact"/>
        <w:rPr>
          <w:sz w:val="20"/>
          <w:szCs w:val="20"/>
          <w:color w:val="auto"/>
        </w:rPr>
      </w:pPr>
    </w:p>
    <w:p>
      <w:pPr>
        <w:ind w:right="520" w:firstLine="648"/>
        <w:spacing w:after="0" w:line="289" w:lineRule="auto"/>
        <w:rPr>
          <w:sz w:val="20"/>
          <w:szCs w:val="20"/>
          <w:color w:val="auto"/>
        </w:rPr>
      </w:pPr>
      <w:r>
        <w:rPr>
          <w:rFonts w:ascii="Arial" w:cs="Arial" w:eastAsia="Arial" w:hAnsi="Arial"/>
          <w:sz w:val="16"/>
          <w:szCs w:val="16"/>
          <w:color w:val="auto"/>
        </w:rPr>
        <w:t>We are not aware of any generic products currently available on the market that are approved for the specific indications that we are pursuing; however, generic forms of the active ingredients of our product candidates, including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187" w:lineRule="exact"/>
        <w:rPr>
          <w:sz w:val="20"/>
          <w:szCs w:val="20"/>
          <w:color w:val="auto"/>
        </w:rPr>
      </w:pPr>
      <w:r>
        <w:rPr>
          <w:rFonts w:ascii="Arial" w:cs="Arial" w:eastAsia="Arial" w:hAnsi="Arial"/>
          <w:sz w:val="16"/>
          <w:szCs w:val="16"/>
          <w:color w:val="auto"/>
        </w:rPr>
        <w:t>zoledronic acid, DM, and bupropion, are available and could be used 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payer from offering favorable coverage for such product and disadvantaging our product candidates, even if the generics would be used off-label.</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jc w:val="both"/>
        <w:ind w:right="160"/>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4"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Arial" w:cs="Arial" w:eastAsia="Arial" w:hAnsi="Arial"/>
          <w:sz w:val="18"/>
          <w:szCs w:val="18"/>
          <w:color w:val="auto"/>
        </w:rPr>
        <w:t>patent marketing exclusivity for our product candidates if they are approved. These three years, however, would only protect our modifications in formulation or approved uses in comparison to the reference listed drug and would not prevent other companies from submitting full NDAs.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Arial" w:cs="Arial" w:eastAsia="Arial" w:hAnsi="Arial"/>
          <w:sz w:val="18"/>
          <w:szCs w:val="18"/>
          <w:color w:val="auto"/>
        </w:rPr>
        <w:t>patent protection may not prevent FDA making an approval effective. We may also be eligible in the United States for seven years of orphan exclusivity for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CRPS, which is further discussed below.</w:t>
      </w:r>
    </w:p>
    <w:p>
      <w:pPr>
        <w:spacing w:after="0" w:line="16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3" w:lineRule="exact"/>
        <w:rPr>
          <w:sz w:val="20"/>
          <w:szCs w:val="20"/>
          <w:color w:val="auto"/>
        </w:rPr>
      </w:pPr>
    </w:p>
    <w:p>
      <w:pPr>
        <w:ind w:right="360"/>
        <w:spacing w:after="0" w:line="194" w:lineRule="exact"/>
        <w:rPr>
          <w:sz w:val="20"/>
          <w:szCs w:val="20"/>
          <w:color w:val="auto"/>
        </w:rPr>
      </w:pPr>
      <w:r>
        <w:rPr>
          <w:rFonts w:ascii="Arial" w:cs="Arial" w:eastAsia="Arial" w:hAnsi="Arial"/>
          <w:sz w:val="17"/>
          <w:szCs w:val="17"/>
          <w:b w:val="1"/>
          <w:bCs w:val="1"/>
          <w:i w:val="1"/>
          <w:iCs w:val="1"/>
          <w:color w:val="auto"/>
        </w:rPr>
        <w:t>AXS</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02 has received Orphan Drug Designation from the FDA. However, there is no guarantee that we will be able to maintain this designation for AXS</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02, receive this designation for any of our other product candidates, or receive or maintain any corresponding benefits, including periods of exclusivity.</w:t>
      </w:r>
    </w:p>
    <w:p>
      <w:pPr>
        <w:spacing w:after="0" w:line="161" w:lineRule="exact"/>
        <w:rPr>
          <w:sz w:val="20"/>
          <w:szCs w:val="20"/>
          <w:color w:val="auto"/>
        </w:rPr>
      </w:pPr>
    </w:p>
    <w:p>
      <w:pPr>
        <w:ind w:firstLine="648"/>
        <w:spacing w:after="0" w:line="203"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has received Orphan Drug Designation from the FDA for the treatment of CRPS. We may also seek Orphan Drug Designation for our other product candidates, as appropriate.</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Orphan Drug Designation, however, may be lost if the indication for which we develop AXS</w:t>
      </w:r>
      <w:r>
        <w:rPr>
          <w:rFonts w:ascii="MS PGothic" w:cs="MS PGothic" w:eastAsia="MS PGothic" w:hAnsi="MS PGothic"/>
          <w:sz w:val="16"/>
          <w:szCs w:val="16"/>
          <w:color w:val="auto"/>
        </w:rPr>
        <w:t>‑</w:t>
      </w:r>
      <w:r>
        <w:rPr>
          <w:rFonts w:ascii="Arial" w:cs="Arial" w:eastAsia="Arial" w:hAnsi="Arial"/>
          <w:sz w:val="16"/>
          <w:szCs w:val="16"/>
          <w:color w:val="auto"/>
        </w:rPr>
        <w:t>02 or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8" w:lineRule="exact"/>
        <w:rPr>
          <w:sz w:val="20"/>
          <w:szCs w:val="20"/>
          <w:color w:val="auto"/>
        </w:rPr>
      </w:pPr>
    </w:p>
    <w:p>
      <w:pPr>
        <w:ind w:right="60" w:firstLine="648"/>
        <w:spacing w:after="0" w:line="181" w:lineRule="exact"/>
        <w:rPr>
          <w:sz w:val="20"/>
          <w:szCs w:val="20"/>
          <w:color w:val="auto"/>
        </w:rPr>
      </w:pPr>
      <w:r>
        <w:rPr>
          <w:rFonts w:ascii="Arial" w:cs="Arial" w:eastAsia="Arial" w:hAnsi="Arial"/>
          <w:sz w:val="17"/>
          <w:szCs w:val="17"/>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 for the treatment of CRPS. Thar Pharmaceuticals was subsequently acquired by Grunenthal GmbH. If Grunenthal GmbH or another sponsor receives FDA approval for a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 for the treatment of CRPS before we obtain FDA approval for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CRPS, we would be prevented from launching our product in the United States for this indication for a period of at least 7 years. If another sponsor receives EMA approval for a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 for the treatment of CRPS before we obtain EMA approval for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CRPS, we would be prevented from launching our product in the European Union for this indication for a period of at least 10 to 12 years.</w:t>
      </w:r>
    </w:p>
    <w:p>
      <w:pPr>
        <w:spacing w:after="0" w:line="164" w:lineRule="exact"/>
        <w:rPr>
          <w:sz w:val="20"/>
          <w:szCs w:val="20"/>
          <w:color w:val="auto"/>
        </w:rPr>
      </w:pPr>
    </w:p>
    <w:p>
      <w:pPr>
        <w:jc w:val="both"/>
        <w:ind w:right="80" w:firstLine="648"/>
        <w:spacing w:after="0" w:line="229"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9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2"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2"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08" w:lineRule="exact"/>
        <w:rPr>
          <w:sz w:val="20"/>
          <w:szCs w:val="20"/>
          <w:color w:val="auto"/>
        </w:rPr>
      </w:pPr>
    </w:p>
    <w:p>
      <w:pPr>
        <w:ind w:left="920" w:right="319" w:firstLine="29"/>
        <w:spacing w:after="0" w:line="235" w:lineRule="auto"/>
        <w:rPr>
          <w:sz w:val="20"/>
          <w:szCs w:val="20"/>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our inability to effectively oversee a geographically dispersed sales and marketing team;</w:t>
      </w:r>
    </w:p>
    <w:p>
      <w:pPr>
        <w:spacing w:after="0" w:line="185" w:lineRule="exact"/>
        <w:rPr>
          <w:sz w:val="20"/>
          <w:szCs w:val="20"/>
          <w:color w:val="auto"/>
        </w:rPr>
      </w:pPr>
    </w:p>
    <w:p>
      <w:pPr>
        <w:ind w:left="920" w:right="39" w:firstLine="29"/>
        <w:spacing w:after="0" w:line="235" w:lineRule="auto"/>
        <w:rPr>
          <w:sz w:val="20"/>
          <w:szCs w:val="20"/>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an inability to secure adequate coverage and reimbursement by government and private health plans;</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clinical indications for which the product is approved;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08" w:lineRule="exact"/>
        <w:rPr>
          <w:sz w:val="20"/>
          <w:szCs w:val="20"/>
          <w:color w:val="auto"/>
        </w:rPr>
      </w:pPr>
    </w:p>
    <w:p>
      <w:pPr>
        <w:ind w:left="920" w:right="39" w:firstLine="29"/>
        <w:spacing w:after="0" w:line="235" w:lineRule="auto"/>
        <w:rPr>
          <w:sz w:val="20"/>
          <w:szCs w:val="20"/>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2" w:lineRule="exact"/>
        <w:rPr>
          <w:sz w:val="20"/>
          <w:szCs w:val="20"/>
          <w:color w:val="auto"/>
        </w:rPr>
      </w:pPr>
    </w:p>
    <w:p>
      <w:pPr>
        <w:ind w:left="920" w:right="859" w:firstLine="29"/>
        <w:spacing w:after="0" w:line="235" w:lineRule="auto"/>
        <w:rPr>
          <w:sz w:val="20"/>
          <w:szCs w:val="20"/>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162" w:lineRule="exact"/>
        <w:rPr>
          <w:sz w:val="20"/>
          <w:szCs w:val="20"/>
          <w:color w:val="auto"/>
        </w:rPr>
      </w:pPr>
    </w:p>
    <w:p>
      <w:pPr>
        <w:ind w:left="920" w:right="619" w:firstLine="29"/>
        <w:spacing w:after="0" w:line="235" w:lineRule="auto"/>
        <w:rPr>
          <w:sz w:val="20"/>
          <w:szCs w:val="20"/>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2" w:lineRule="exact"/>
        <w:rPr>
          <w:sz w:val="20"/>
          <w:szCs w:val="20"/>
          <w:color w:val="auto"/>
        </w:rPr>
      </w:pPr>
    </w:p>
    <w:p>
      <w:pPr>
        <w:ind w:left="920" w:right="379" w:firstLine="29"/>
        <w:spacing w:after="0" w:line="235" w:lineRule="auto"/>
        <w:rPr>
          <w:sz w:val="20"/>
          <w:szCs w:val="20"/>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firstLine="648"/>
        <w:spacing w:after="0" w:line="241"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16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62"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w:t>
      </w:r>
      <w:r>
        <w:rPr>
          <w:rFonts w:ascii="MS PGothic" w:cs="MS PGothic" w:eastAsia="MS PGothic" w:hAnsi="MS PGothic"/>
          <w:sz w:val="16"/>
          <w:szCs w:val="16"/>
          <w:color w:val="auto"/>
        </w:rPr>
        <w:t>‑</w:t>
      </w:r>
      <w:r>
        <w:rPr>
          <w:rFonts w:ascii="Arial" w:cs="Arial" w:eastAsia="Arial" w:hAnsi="Arial"/>
          <w:sz w:val="16"/>
          <w:szCs w:val="16"/>
          <w:color w:val="auto"/>
        </w:rPr>
        <w:t>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6"/>
          <w:szCs w:val="16"/>
          <w:color w:val="auto"/>
        </w:rPr>
        <w:t>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6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efficacy of our product candidates;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prevalence and severity of adverse events associated with such product candidate;</w:t>
      </w:r>
    </w:p>
    <w:p>
      <w:pPr>
        <w:spacing w:after="0" w:line="185" w:lineRule="exact"/>
        <w:rPr>
          <w:sz w:val="20"/>
          <w:szCs w:val="20"/>
          <w:color w:val="auto"/>
        </w:rPr>
      </w:pPr>
    </w:p>
    <w:p>
      <w:pPr>
        <w:ind w:left="920" w:right="340" w:firstLine="29"/>
        <w:spacing w:after="0" w:line="235" w:lineRule="auto"/>
        <w:rPr>
          <w:sz w:val="20"/>
          <w:szCs w:val="20"/>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2" w:lineRule="exact"/>
        <w:rPr>
          <w:sz w:val="20"/>
          <w:szCs w:val="20"/>
          <w:color w:val="auto"/>
        </w:rPr>
      </w:pPr>
    </w:p>
    <w:p>
      <w:pPr>
        <w:ind w:left="920" w:right="320" w:firstLine="29"/>
        <w:spacing w:after="0" w:line="203" w:lineRule="exact"/>
        <w:rPr>
          <w:sz w:val="20"/>
          <w:szCs w:val="20"/>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2" w:lineRule="exact"/>
        <w:rPr>
          <w:sz w:val="20"/>
          <w:szCs w:val="20"/>
          <w:color w:val="auto"/>
        </w:rPr>
      </w:pPr>
    </w:p>
    <w:p>
      <w:pPr>
        <w:ind w:left="920" w:right="200" w:firstLine="29"/>
        <w:spacing w:after="0" w:line="235" w:lineRule="auto"/>
        <w:rPr>
          <w:sz w:val="20"/>
          <w:szCs w:val="20"/>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relative convenience and ease of administration of such product candidate;</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cost of treatment versus economic and clinical benefit in relation to alternative treatments or therapies;</w:t>
      </w:r>
    </w:p>
    <w:p>
      <w:pPr>
        <w:spacing w:after="0" w:line="196" w:lineRule="exact"/>
        <w:rPr>
          <w:sz w:val="20"/>
          <w:szCs w:val="20"/>
          <w:color w:val="auto"/>
        </w:rPr>
      </w:pPr>
    </w:p>
    <w:p>
      <w:pPr>
        <w:ind w:left="920" w:right="140" w:firstLine="29"/>
        <w:spacing w:after="0" w:line="258" w:lineRule="auto"/>
        <w:rPr>
          <w:sz w:val="20"/>
          <w:szCs w:val="20"/>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extent and strength of our marketing and distribution of such product candidate;</w:t>
      </w:r>
    </w:p>
    <w:p>
      <w:pPr>
        <w:spacing w:after="0" w:line="185" w:lineRule="exact"/>
        <w:rPr>
          <w:sz w:val="20"/>
          <w:szCs w:val="20"/>
          <w:color w:val="auto"/>
        </w:rPr>
      </w:pPr>
    </w:p>
    <w:p>
      <w:pPr>
        <w:ind w:left="920" w:right="140" w:firstLine="29"/>
        <w:spacing w:after="0" w:line="235" w:lineRule="auto"/>
        <w:rPr>
          <w:sz w:val="20"/>
          <w:szCs w:val="20"/>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2" w:lineRule="exact"/>
        <w:rPr>
          <w:sz w:val="20"/>
          <w:szCs w:val="20"/>
          <w:color w:val="auto"/>
        </w:rPr>
      </w:pPr>
    </w:p>
    <w:p>
      <w:pPr>
        <w:ind w:left="920" w:right="380" w:firstLine="29"/>
        <w:spacing w:after="0" w:line="289" w:lineRule="auto"/>
        <w:rPr>
          <w:sz w:val="20"/>
          <w:szCs w:val="20"/>
          <w:color w:val="auto"/>
        </w:rPr>
      </w:pPr>
      <w:r>
        <w:rPr>
          <w:rFonts w:ascii="Arial" w:cs="Arial" w:eastAsia="Arial" w:hAnsi="Arial"/>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12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timing of market introduction of such product candidate, as well as competitive products;</w:t>
      </w:r>
    </w:p>
    <w:p>
      <w:pPr>
        <w:spacing w:after="0" w:line="185" w:lineRule="exact"/>
        <w:rPr>
          <w:sz w:val="20"/>
          <w:szCs w:val="20"/>
          <w:color w:val="auto"/>
        </w:rPr>
      </w:pPr>
    </w:p>
    <w:p>
      <w:pPr>
        <w:ind w:left="920" w:right="260" w:firstLine="29"/>
        <w:spacing w:after="0" w:line="235" w:lineRule="auto"/>
        <w:rPr>
          <w:sz w:val="20"/>
          <w:szCs w:val="20"/>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2" w:lineRule="exact"/>
        <w:rPr>
          <w:sz w:val="20"/>
          <w:szCs w:val="20"/>
          <w:color w:val="auto"/>
        </w:rPr>
      </w:pPr>
    </w:p>
    <w:p>
      <w:pPr>
        <w:ind w:left="920" w:right="700" w:firstLine="29"/>
        <w:spacing w:after="0" w:line="235" w:lineRule="auto"/>
        <w:rPr>
          <w:sz w:val="20"/>
          <w:szCs w:val="20"/>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clinical indications for which such product candidate is approved;</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approval of other new products for the same indications;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adverse publicity about the product or favorable publicity about competitive products;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65"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loss of revenue from decreased demand for our products and/or product candidates;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impairment of our business reputation or financial stability;</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costs of related litigation;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substantial monetary awards to patients or other claimants;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diversion of management attention;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loss of revenues;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significant negative media attention;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decrease in our stock price;</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initiation of investigations and enforcement actions by regulators;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have obtained limited product liability insurance coverage for our products and our clinical trials with a</w:t>
      </w:r>
    </w:p>
    <w:p>
      <w:pPr>
        <w:ind w:right="20"/>
        <w:spacing w:after="0" w:line="220" w:lineRule="auto"/>
        <w:rPr>
          <w:sz w:val="20"/>
          <w:szCs w:val="20"/>
          <w:color w:val="auto"/>
        </w:rPr>
      </w:pPr>
      <w:r>
        <w:rPr>
          <w:rFonts w:ascii="Arial" w:cs="Arial" w:eastAsia="Arial" w:hAnsi="Arial"/>
          <w:sz w:val="17"/>
          <w:szCs w:val="17"/>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1"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We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4" w:lineRule="exact"/>
        <w:rPr>
          <w:sz w:val="20"/>
          <w:szCs w:val="20"/>
          <w:color w:val="auto"/>
        </w:rPr>
      </w:pPr>
    </w:p>
    <w:p>
      <w:pPr>
        <w:ind w:right="120"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9"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Arial" w:cs="Arial" w:eastAsia="Arial" w:hAnsi="Arial"/>
          <w:sz w:val="18"/>
          <w:szCs w:val="18"/>
          <w:color w:val="auto"/>
        </w:rPr>
        <w:t>party investigators if these relationships exceed certain financial thresholds or meet other criteria. The FDA or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specified timeframes. Failure to do so can result in enforcement actions and adverse publicity.</w:t>
      </w:r>
    </w:p>
    <w:p>
      <w:pPr>
        <w:spacing w:after="0" w:line="165"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3" w:lineRule="exact"/>
        <w:rPr>
          <w:sz w:val="20"/>
          <w:szCs w:val="20"/>
          <w:color w:val="auto"/>
        </w:rPr>
      </w:pPr>
    </w:p>
    <w:p>
      <w:pPr>
        <w:ind w:right="80" w:firstLine="648"/>
        <w:spacing w:after="0" w:line="184"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80"/>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right="180" w:firstLine="648"/>
        <w:spacing w:after="0" w:line="211"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Any problems or delays we experience in preparing for commercial</w:t>
      </w:r>
      <w:r>
        <w:rPr>
          <w:rFonts w:ascii="MS PGothic" w:cs="MS PGothic" w:eastAsia="MS PGothic" w:hAnsi="MS PGothic"/>
          <w:sz w:val="17"/>
          <w:szCs w:val="17"/>
          <w:color w:val="auto"/>
        </w:rPr>
        <w:t>‑</w:t>
      </w:r>
      <w:r>
        <w:rPr>
          <w:rFonts w:ascii="Arial" w:cs="Arial" w:eastAsia="Arial" w:hAnsi="Arial"/>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8" w:lineRule="auto"/>
        <w:rPr>
          <w:sz w:val="20"/>
          <w:szCs w:val="20"/>
          <w:color w:val="auto"/>
        </w:rPr>
      </w:pPr>
      <w:r>
        <w:rPr>
          <w:rFonts w:ascii="Arial" w:cs="Arial" w:eastAsia="Arial" w:hAnsi="Arial"/>
          <w:sz w:val="17"/>
          <w:szCs w:val="17"/>
          <w:color w:val="auto"/>
        </w:rPr>
        <w:t>In addition, all manufacturers of our product candidates must comply with cGMP requirements enforced by the FDA that are applicable to both finished drug products and active pharmaceutical ingredients used both for clinical and commercial supply, through its facilities inspection program. Our manufacturers must be approved by the FDA pursuant to inspections that will be conducted after we submit our marketing applications to the agency.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72"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55"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for the development or commercialization of our product candidates in the rest of the world.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63"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collaborators may not perform their obligations as expected;</w:t>
      </w:r>
    </w:p>
    <w:p>
      <w:pPr>
        <w:spacing w:after="0" w:line="185" w:lineRule="exact"/>
        <w:rPr>
          <w:sz w:val="20"/>
          <w:szCs w:val="20"/>
          <w:color w:val="auto"/>
        </w:rPr>
      </w:pPr>
    </w:p>
    <w:p>
      <w:pPr>
        <w:ind w:left="920" w:firstLine="29"/>
        <w:spacing w:after="0" w:line="232" w:lineRule="auto"/>
        <w:rPr>
          <w:sz w:val="20"/>
          <w:szCs w:val="20"/>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3" w:lineRule="exact"/>
        <w:rPr>
          <w:sz w:val="20"/>
          <w:szCs w:val="20"/>
          <w:color w:val="auto"/>
        </w:rPr>
      </w:pPr>
    </w:p>
    <w:p>
      <w:pPr>
        <w:ind w:left="920" w:right="280" w:firstLine="29"/>
        <w:spacing w:after="0" w:line="224" w:lineRule="auto"/>
        <w:rPr>
          <w:sz w:val="20"/>
          <w:szCs w:val="20"/>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collaborators could fail to make timely regulatory submissions for a product candidate;</w:t>
      </w:r>
    </w:p>
    <w:p>
      <w:pPr>
        <w:spacing w:after="0" w:line="185" w:lineRule="exact"/>
        <w:rPr>
          <w:sz w:val="20"/>
          <w:szCs w:val="20"/>
          <w:color w:val="auto"/>
        </w:rPr>
      </w:pPr>
    </w:p>
    <w:p>
      <w:pPr>
        <w:ind w:left="920" w:right="320" w:firstLine="29"/>
        <w:spacing w:after="0" w:line="235" w:lineRule="auto"/>
        <w:rPr>
          <w:sz w:val="20"/>
          <w:szCs w:val="20"/>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2" w:lineRule="exact"/>
        <w:rPr>
          <w:sz w:val="20"/>
          <w:szCs w:val="20"/>
          <w:color w:val="auto"/>
        </w:rPr>
      </w:pPr>
    </w:p>
    <w:p>
      <w:pPr>
        <w:ind w:left="920" w:right="20" w:firstLine="29"/>
        <w:spacing w:after="0" w:line="219"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3" w:lineRule="exact"/>
        <w:rPr>
          <w:sz w:val="20"/>
          <w:szCs w:val="20"/>
          <w:color w:val="auto"/>
        </w:rPr>
      </w:pPr>
    </w:p>
    <w:p>
      <w:pPr>
        <w:ind w:left="920" w:right="100" w:firstLine="29"/>
        <w:spacing w:after="0" w:line="224" w:lineRule="auto"/>
        <w:rPr>
          <w:sz w:val="20"/>
          <w:szCs w:val="20"/>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3" w:lineRule="exact"/>
        <w:rPr>
          <w:sz w:val="20"/>
          <w:szCs w:val="20"/>
          <w:color w:val="auto"/>
        </w:rPr>
      </w:pPr>
    </w:p>
    <w:p>
      <w:pPr>
        <w:jc w:val="both"/>
        <w:ind w:left="920" w:right="460" w:firstLine="29"/>
        <w:spacing w:after="0" w:line="224" w:lineRule="auto"/>
        <w:rPr>
          <w:sz w:val="20"/>
          <w:szCs w:val="20"/>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20" w:firstLine="29"/>
        <w:spacing w:after="0" w:line="249" w:lineRule="auto"/>
        <w:rPr>
          <w:sz w:val="20"/>
          <w:szCs w:val="20"/>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5" w:lineRule="exact"/>
        <w:rPr>
          <w:sz w:val="20"/>
          <w:szCs w:val="20"/>
          <w:color w:val="auto"/>
        </w:rPr>
      </w:pPr>
    </w:p>
    <w:p>
      <w:pPr>
        <w:jc w:val="both"/>
        <w:ind w:left="920" w:right="240" w:firstLine="29"/>
        <w:spacing w:after="0" w:line="224" w:lineRule="auto"/>
        <w:rPr>
          <w:sz w:val="20"/>
          <w:szCs w:val="20"/>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3" w:lineRule="exact"/>
        <w:rPr>
          <w:sz w:val="20"/>
          <w:szCs w:val="20"/>
          <w:color w:val="auto"/>
        </w:rPr>
      </w:pPr>
    </w:p>
    <w:p>
      <w:pPr>
        <w:ind w:left="920" w:right="40" w:firstLine="29"/>
        <w:spacing w:after="0" w:line="235" w:lineRule="auto"/>
        <w:rPr>
          <w:sz w:val="20"/>
          <w:szCs w:val="20"/>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right="380" w:firstLine="648"/>
        <w:spacing w:after="0" w:line="22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6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3" w:lineRule="exact"/>
        <w:rPr>
          <w:sz w:val="20"/>
          <w:szCs w:val="20"/>
          <w:color w:val="auto"/>
        </w:rPr>
      </w:pPr>
    </w:p>
    <w:p>
      <w:pPr>
        <w:ind w:right="100" w:firstLine="648"/>
        <w:spacing w:after="0" w:line="220" w:lineRule="auto"/>
        <w:rPr>
          <w:sz w:val="20"/>
          <w:szCs w:val="20"/>
          <w:color w:val="auto"/>
        </w:rPr>
      </w:pPr>
      <w:r>
        <w:rPr>
          <w:rFonts w:ascii="Arial" w:cs="Arial" w:eastAsia="Arial" w:hAnsi="Arial"/>
          <w:sz w:val="17"/>
          <w:szCs w:val="17"/>
          <w:color w:val="auto"/>
        </w:rPr>
        <w:t>We may in the future determine to collaborate with additional pharmaceutical and biotechnology companies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03" w:lineRule="exact"/>
        <w:rPr>
          <w:sz w:val="20"/>
          <w:szCs w:val="20"/>
          <w:color w:val="auto"/>
        </w:rPr>
      </w:pPr>
      <w:r>
        <w:rPr>
          <w:rFonts w:ascii="Arial" w:cs="Arial" w:eastAsia="Arial" w:hAnsi="Arial"/>
          <w:sz w:val="18"/>
          <w:szCs w:val="18"/>
          <w:b w:val="1"/>
          <w:bCs w:val="1"/>
          <w:i w:val="1"/>
          <w:iCs w:val="1"/>
          <w:color w:val="auto"/>
        </w:rPr>
        <w:t>We are dependent on third parties to decide to utilize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and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to make them readily available at the point of care throughout their networks of pharmacies.</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In addition to extensive internal efforts, the successful commercialization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will require many third parties, over whom we have no control, to decide to utilize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w:t>
      </w:r>
      <w:r>
        <w:rPr>
          <w:rFonts w:ascii="MS PGothic" w:cs="MS PGothic" w:eastAsia="MS PGothic" w:hAnsi="MS PGothic"/>
          <w:sz w:val="16"/>
          <w:szCs w:val="16"/>
          <w:color w:val="auto"/>
        </w:rPr>
        <w:t>‑</w:t>
      </w:r>
      <w:r>
        <w:rPr>
          <w:rFonts w:ascii="Arial" w:cs="Arial" w:eastAsia="Arial" w:hAnsi="Arial"/>
          <w:sz w:val="16"/>
          <w:szCs w:val="16"/>
          <w:color w:val="auto"/>
        </w:rPr>
        <w:t>term care facility will acquire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 for its own pharmacies, or a PBM will pay retail network pharmacies on behalf of its health plans,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w:t>
      </w:r>
      <w:r>
        <w:rPr>
          <w:rFonts w:ascii="MS PGothic" w:cs="MS PGothic" w:eastAsia="MS PGothic" w:hAnsi="MS PGothic"/>
          <w:sz w:val="16"/>
          <w:szCs w:val="16"/>
          <w:color w:val="auto"/>
        </w:rPr>
        <w:t>‑</w:t>
      </w:r>
      <w:r>
        <w:rPr>
          <w:rFonts w:ascii="Arial" w:cs="Arial" w:eastAsia="Arial" w:hAnsi="Arial"/>
          <w:sz w:val="16"/>
          <w:szCs w:val="16"/>
          <w:color w:val="auto"/>
        </w:rPr>
        <w:t>making process, so we may experience substantial delays in obtaining formulary approvals. Additionally, P&amp;T committees may be concerned that the cost of acquiring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 for use in their institutions or reimbursing retail pharmacies outweighs clinical benefits and will resist efforts to add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 to the formulary, or implement restrictions on the usage of the drug in order to control costs. We cannot guarantee that we will be successful in getting the approvals we need from enough P&amp;T committees quickly enough to maintain and grow sales of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w:t>
      </w:r>
    </w:p>
    <w:p>
      <w:pPr>
        <w:spacing w:after="0" w:line="164"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2012, we entered into three exclusive license agreements with Antecip Bioventures II LLC, or Antecip, an entity</w:t>
      </w:r>
    </w:p>
    <w:p>
      <w:pPr>
        <w:spacing w:after="0" w:line="224" w:lineRule="auto"/>
        <w:rPr>
          <w:sz w:val="20"/>
          <w:szCs w:val="20"/>
          <w:color w:val="auto"/>
        </w:rPr>
      </w:pPr>
      <w:r>
        <w:rPr>
          <w:rFonts w:ascii="Arial" w:cs="Arial" w:eastAsia="Arial" w:hAnsi="Arial"/>
          <w:sz w:val="17"/>
          <w:szCs w:val="17"/>
          <w:color w:val="auto"/>
        </w:rPr>
        <w:t>owned by our Chief Executive Officer and Chairman of the Board, Herriot Tabuteau, M.D., in which we were granted</w:t>
      </w:r>
    </w:p>
    <w:p>
      <w:pPr>
        <w:spacing w:after="0" w:line="229" w:lineRule="auto"/>
        <w:rPr>
          <w:sz w:val="20"/>
          <w:szCs w:val="20"/>
          <w:color w:val="auto"/>
        </w:rPr>
      </w:pPr>
      <w:r>
        <w:rPr>
          <w:rFonts w:ascii="Arial" w:cs="Arial" w:eastAsia="Arial" w:hAnsi="Arial"/>
          <w:sz w:val="16"/>
          <w:szCs w:val="16"/>
          <w:color w:val="auto"/>
        </w:rPr>
        <w:t>exclusive licenses to develop, manufacture, and commercialize Antecip’s patents and applications related to the development</w:t>
      </w:r>
    </w:p>
    <w:p>
      <w:pPr>
        <w:spacing w:after="0" w:line="176" w:lineRule="exact"/>
        <w:rPr>
          <w:sz w:val="20"/>
          <w:szCs w:val="20"/>
          <w:color w:val="auto"/>
        </w:rPr>
      </w:pPr>
      <w:r>
        <w:rPr>
          <w:rFonts w:ascii="Arial" w:cs="Arial" w:eastAsia="Arial" w:hAnsi="Arial"/>
          <w:sz w:val="16"/>
          <w:szCs w:val="16"/>
          <w:color w:val="auto"/>
        </w:rPr>
        <w:t>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w:t>
      </w:r>
    </w:p>
    <w:p>
      <w:pPr>
        <w:spacing w:after="0" w:line="229" w:lineRule="auto"/>
        <w:rPr>
          <w:sz w:val="20"/>
          <w:szCs w:val="20"/>
          <w:color w:val="auto"/>
        </w:rPr>
      </w:pPr>
      <w:r>
        <w:rPr>
          <w:rFonts w:ascii="Arial" w:cs="Arial" w:eastAsia="Arial" w:hAnsi="Arial"/>
          <w:sz w:val="16"/>
          <w:szCs w:val="16"/>
          <w:color w:val="auto"/>
        </w:rPr>
        <w:t>the world for veterinary and human therapeutic and diagnostic use. The agreements were amended in August 2015 to update</w:t>
      </w:r>
    </w:p>
    <w:p>
      <w:pPr>
        <w:spacing w:after="0" w:line="230" w:lineRule="auto"/>
        <w:rPr>
          <w:sz w:val="20"/>
          <w:szCs w:val="20"/>
          <w:color w:val="auto"/>
        </w:rPr>
      </w:pPr>
      <w:r>
        <w:rPr>
          <w:rFonts w:ascii="Arial" w:cs="Arial" w:eastAsia="Arial" w:hAnsi="Arial"/>
          <w:sz w:val="16"/>
          <w:szCs w:val="16"/>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Arial" w:cs="Arial" w:eastAsia="Arial" w:hAnsi="Arial"/>
          <w:sz w:val="17"/>
          <w:szCs w:val="17"/>
          <w:color w:val="auto"/>
        </w:rPr>
        <w:t>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w:t>
      </w:r>
    </w:p>
    <w:p>
      <w:pPr>
        <w:spacing w:after="0" w:line="229" w:lineRule="auto"/>
        <w:rPr>
          <w:sz w:val="20"/>
          <w:szCs w:val="20"/>
          <w:color w:val="auto"/>
        </w:rPr>
      </w:pPr>
      <w:r>
        <w:rPr>
          <w:rFonts w:ascii="Arial" w:cs="Arial" w:eastAsia="Arial" w:hAnsi="Arial"/>
          <w:sz w:val="16"/>
          <w:szCs w:val="16"/>
          <w:color w:val="auto"/>
        </w:rPr>
        <w:t>sublicensees. These royalty payments are subject to reduction by an amount up to 50.0% of any required payments to third</w:t>
      </w:r>
    </w:p>
    <w:p>
      <w:pPr>
        <w:spacing w:after="0" w:line="216" w:lineRule="auto"/>
        <w:rPr>
          <w:sz w:val="20"/>
          <w:szCs w:val="20"/>
          <w:color w:val="auto"/>
        </w:rPr>
      </w:pPr>
      <w:r>
        <w:rPr>
          <w:rFonts w:ascii="Arial" w:cs="Arial" w:eastAsia="Arial" w:hAnsi="Arial"/>
          <w:sz w:val="17"/>
          <w:szCs w:val="17"/>
          <w:color w:val="auto"/>
        </w:rPr>
        <w:t>parties. Unless earlier terminated by a party for cause or by us for convenience, the agreements remain in effect on a</w:t>
      </w:r>
    </w:p>
    <w:p>
      <w:pPr>
        <w:spacing w:after="0" w:line="176"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w:t>
      </w:r>
    </w:p>
    <w:p>
      <w:pPr>
        <w:spacing w:after="0" w:line="215" w:lineRule="auto"/>
        <w:rPr>
          <w:sz w:val="20"/>
          <w:szCs w:val="20"/>
          <w:color w:val="auto"/>
        </w:rPr>
      </w:pPr>
      <w:r>
        <w:rPr>
          <w:rFonts w:ascii="Arial" w:cs="Arial" w:eastAsia="Arial" w:hAnsi="Arial"/>
          <w:sz w:val="17"/>
          <w:szCs w:val="17"/>
          <w:color w:val="auto"/>
        </w:rPr>
        <w:t>a valid claim in that country or (2) 10 years from the first commercial sale of the applicable product in that country. Upon</w:t>
      </w:r>
    </w:p>
    <w:p>
      <w:pPr>
        <w:spacing w:after="0" w:line="216" w:lineRule="auto"/>
        <w:rPr>
          <w:sz w:val="20"/>
          <w:szCs w:val="20"/>
          <w:color w:val="auto"/>
        </w:rPr>
      </w:pPr>
      <w:r>
        <w:rPr>
          <w:rFonts w:ascii="Arial" w:cs="Arial" w:eastAsia="Arial" w:hAnsi="Arial"/>
          <w:sz w:val="17"/>
          <w:szCs w:val="17"/>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Arial" w:cs="Arial" w:eastAsia="Arial" w:hAnsi="Arial"/>
          <w:sz w:val="16"/>
          <w:szCs w:val="16"/>
          <w:color w:val="auto"/>
        </w:rPr>
        <w:t>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w:t>
      </w:r>
    </w:p>
    <w:p>
      <w:pPr>
        <w:spacing w:after="0" w:line="229" w:lineRule="auto"/>
        <w:rPr>
          <w:sz w:val="20"/>
          <w:szCs w:val="20"/>
          <w:color w:val="auto"/>
        </w:rPr>
      </w:pPr>
      <w:r>
        <w:rPr>
          <w:rFonts w:ascii="Arial" w:cs="Arial" w:eastAsia="Arial" w:hAnsi="Arial"/>
          <w:sz w:val="16"/>
          <w:szCs w:val="16"/>
          <w:color w:val="auto"/>
        </w:rPr>
        <w:t>or if we exercise our right to terminate any of the agreements for convenience, the rights granted to us under such terminated</w:t>
      </w:r>
    </w:p>
    <w:p>
      <w:pPr>
        <w:spacing w:after="0" w:line="215" w:lineRule="auto"/>
        <w:rPr>
          <w:sz w:val="20"/>
          <w:szCs w:val="20"/>
          <w:color w:val="auto"/>
        </w:rPr>
      </w:pPr>
      <w:r>
        <w:rPr>
          <w:rFonts w:ascii="Arial" w:cs="Arial" w:eastAsia="Arial" w:hAnsi="Arial"/>
          <w:sz w:val="17"/>
          <w:szCs w:val="17"/>
          <w:color w:val="auto"/>
        </w:rPr>
        <w:t>agreement will revert to Antecip. To date, we have not been required to make any payments to Antecip under any of the</w:t>
      </w:r>
    </w:p>
    <w:p>
      <w:pPr>
        <w:spacing w:after="0" w:line="216" w:lineRule="auto"/>
        <w:rPr>
          <w:sz w:val="20"/>
          <w:szCs w:val="20"/>
          <w:color w:val="auto"/>
        </w:rPr>
      </w:pPr>
      <w:r>
        <w:rPr>
          <w:rFonts w:ascii="Arial" w:cs="Arial" w:eastAsia="Arial" w:hAnsi="Arial"/>
          <w:sz w:val="17"/>
          <w:szCs w:val="17"/>
          <w:color w:val="auto"/>
        </w:rPr>
        <w:t>license agreements. If any of the license agreements with Antecip are terminated for any reason, our business, financial</w:t>
      </w:r>
    </w:p>
    <w:p>
      <w:pPr>
        <w:spacing w:after="0"/>
        <w:rPr>
          <w:sz w:val="20"/>
          <w:szCs w:val="20"/>
          <w:color w:val="auto"/>
        </w:rPr>
      </w:pPr>
      <w:r>
        <w:rPr>
          <w:rFonts w:ascii="Arial" w:cs="Arial" w:eastAsia="Arial" w:hAnsi="Arial"/>
          <w:sz w:val="18"/>
          <w:szCs w:val="18"/>
          <w:color w:val="auto"/>
        </w:rPr>
        <w:t>condition, results of operations, and prospects will be materially harmed.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6"/>
          <w:szCs w:val="16"/>
          <w:color w:val="auto"/>
        </w:rPr>
        <w:t>‑</w:t>
      </w:r>
      <w:r>
        <w:rPr>
          <w:rFonts w:ascii="Arial" w:cs="Arial" w:eastAsia="Arial" w:hAnsi="Arial"/>
          <w:sz w:val="16"/>
          <w:szCs w:val="16"/>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67" w:lineRule="exact"/>
        <w:rPr>
          <w:sz w:val="20"/>
          <w:szCs w:val="20"/>
          <w:color w:val="auto"/>
        </w:rPr>
      </w:pPr>
    </w:p>
    <w:p>
      <w:pPr>
        <w:ind w:left="920" w:right="200" w:firstLine="29"/>
        <w:spacing w:after="0" w:line="235" w:lineRule="auto"/>
        <w:rPr>
          <w:sz w:val="20"/>
          <w:szCs w:val="20"/>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we may not have been the first to file patent applications for these inventions;</w:t>
      </w:r>
    </w:p>
    <w:p>
      <w:pPr>
        <w:spacing w:after="0" w:line="185" w:lineRule="exact"/>
        <w:rPr>
          <w:sz w:val="20"/>
          <w:szCs w:val="20"/>
          <w:color w:val="auto"/>
        </w:rPr>
      </w:pPr>
    </w:p>
    <w:p>
      <w:pPr>
        <w:ind w:left="920" w:right="60" w:firstLine="29"/>
        <w:spacing w:after="0" w:line="235" w:lineRule="auto"/>
        <w:rPr>
          <w:sz w:val="20"/>
          <w:szCs w:val="20"/>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it is possible that none of the pending patent applications will result in issued patents;</w:t>
      </w:r>
    </w:p>
    <w:p>
      <w:pPr>
        <w:spacing w:after="0" w:line="185" w:lineRule="exact"/>
        <w:rPr>
          <w:sz w:val="20"/>
          <w:szCs w:val="20"/>
          <w:color w:val="auto"/>
        </w:rPr>
      </w:pPr>
    </w:p>
    <w:p>
      <w:pPr>
        <w:ind w:left="920" w:right="80" w:firstLine="29"/>
        <w:spacing w:after="0" w:line="235" w:lineRule="auto"/>
        <w:rPr>
          <w:sz w:val="20"/>
          <w:szCs w:val="20"/>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2" w:lineRule="exact"/>
        <w:rPr>
          <w:sz w:val="20"/>
          <w:szCs w:val="20"/>
          <w:color w:val="auto"/>
        </w:rPr>
      </w:pPr>
    </w:p>
    <w:p>
      <w:pPr>
        <w:ind w:left="940" w:right="2680"/>
        <w:spacing w:after="0" w:line="510" w:lineRule="auto"/>
        <w:rPr>
          <w:sz w:val="20"/>
          <w:szCs w:val="20"/>
          <w:color w:val="auto"/>
        </w:rPr>
      </w:pPr>
      <w:r>
        <w:rPr>
          <w:rFonts w:ascii="Arial" w:cs="Arial" w:eastAsia="Arial" w:hAnsi="Arial"/>
          <w:sz w:val="16"/>
          <w:szCs w:val="16"/>
          <w:color w:val="auto"/>
        </w:rPr>
        <w:t>we may not develop additional proprietary technologies that are patentable; patents of others may have an adverse effect on our business;</w:t>
      </w:r>
    </w:p>
    <w:p>
      <w:pPr>
        <w:spacing w:after="0" w:line="1" w:lineRule="exact"/>
        <w:rPr>
          <w:sz w:val="20"/>
          <w:szCs w:val="20"/>
          <w:color w:val="auto"/>
        </w:rPr>
      </w:pPr>
    </w:p>
    <w:p>
      <w:pPr>
        <w:jc w:val="both"/>
        <w:ind w:left="920" w:right="100" w:firstLine="29"/>
        <w:spacing w:after="0" w:line="238" w:lineRule="auto"/>
        <w:rPr>
          <w:sz w:val="20"/>
          <w:szCs w:val="20"/>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80" w:firstLine="29"/>
        <w:spacing w:after="0" w:line="259" w:lineRule="auto"/>
        <w:rPr>
          <w:sz w:val="20"/>
          <w:szCs w:val="20"/>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47" w:lineRule="exact"/>
        <w:rPr>
          <w:sz w:val="20"/>
          <w:szCs w:val="20"/>
          <w:color w:val="auto"/>
        </w:rPr>
      </w:pPr>
    </w:p>
    <w:p>
      <w:pPr>
        <w:ind w:left="920" w:right="200" w:firstLine="29"/>
        <w:spacing w:after="0" w:line="238" w:lineRule="auto"/>
        <w:rPr>
          <w:sz w:val="20"/>
          <w:szCs w:val="20"/>
          <w:color w:val="auto"/>
        </w:rPr>
      </w:pPr>
      <w:r>
        <w:rPr>
          <w:rFonts w:ascii="Arial" w:cs="Arial" w:eastAsia="Arial" w:hAnsi="Arial"/>
          <w:sz w:val="17"/>
          <w:szCs w:val="17"/>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1"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66"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62"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62"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on AXS-02, AXS-05, or any other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63"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and October 2017, petitions for post-grant review of U.S. Patent No. 9,408,862, which we refer to as the '862 patent, and of U.S. Patent No. 9,539,268, which we refer to as the '268 patent, respectively, were filed at the USPTO by Grunenthal. 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petitions request that the Patent Trial and Appeal Board, or PTAB, initiate proceedings to review the validity of the '239, the '862, and the '268 patents.</w:t>
      </w:r>
    </w:p>
    <w:p>
      <w:pPr>
        <w:spacing w:after="0" w:line="164"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We cannot predict what the outcomes of the proceedings for the '239 patent will be. In August 2017, we responded to and opposed the petition for the '862 patent. The PTAB is expected to render a decision as to whether it will initiate a post-grant review for that patent. Any patent claim the PTAB determines to be unpatentable as a result of these proceedings would be stricken from the challenged patents or modified. We cannot predict if the PTAB will initiate a proceeding on the '862 patent, or what the outcomes of the proceeding would be if it is initiated. If the PTAB decides to initiate a proceeding, it may determine that all the claims of the challenged patent are unpatentable. We also intend to respond to and oppose the petition for the '268 patent, after which the PTAB is expected to render a decision as to whether it will initiate a post-grant review for that patent. Any patent claim the PTAB determines to be unpatentable as a result of these proceedings would be stricken from the challenged patents or modified. We cannot predict if the PTAB will initiate a proceeding on the '268 patent, or what the outcomes of the proceeding would be if it is initiated. If the PTAB decides to initiate a proceeding, it may determine that all the claims of the challenged patent are unpatentable.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16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62"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70"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auto"/>
        </w:rPr>
        <w:t>If a third party claims that we infringe on their products or technology, we could face a number of issues, including:</w:t>
      </w:r>
    </w:p>
    <w:p>
      <w:pPr>
        <w:spacing w:after="0" w:line="208" w:lineRule="exact"/>
        <w:rPr>
          <w:sz w:val="20"/>
          <w:szCs w:val="20"/>
          <w:color w:val="auto"/>
        </w:rPr>
      </w:pPr>
    </w:p>
    <w:p>
      <w:pPr>
        <w:ind w:left="920" w:right="340" w:firstLine="29"/>
        <w:spacing w:after="0" w:line="258" w:lineRule="auto"/>
        <w:rPr>
          <w:sz w:val="20"/>
          <w:szCs w:val="20"/>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7" w:lineRule="exact"/>
        <w:rPr>
          <w:sz w:val="20"/>
          <w:szCs w:val="20"/>
          <w:color w:val="auto"/>
        </w:rPr>
      </w:pPr>
    </w:p>
    <w:p>
      <w:pPr>
        <w:ind w:left="920" w:right="660" w:firstLine="29"/>
        <w:spacing w:after="0" w:line="235" w:lineRule="auto"/>
        <w:rPr>
          <w:sz w:val="20"/>
          <w:szCs w:val="20"/>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320" w:firstLine="29"/>
        <w:spacing w:after="0" w:line="235" w:lineRule="auto"/>
        <w:rPr>
          <w:sz w:val="20"/>
          <w:szCs w:val="20"/>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2" w:lineRule="exact"/>
        <w:rPr>
          <w:sz w:val="20"/>
          <w:szCs w:val="20"/>
          <w:color w:val="auto"/>
        </w:rPr>
      </w:pPr>
    </w:p>
    <w:p>
      <w:pPr>
        <w:ind w:left="920" w:right="120" w:firstLine="29"/>
        <w:spacing w:after="0" w:line="235" w:lineRule="auto"/>
        <w:rPr>
          <w:sz w:val="20"/>
          <w:szCs w:val="20"/>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62" w:lineRule="exact"/>
        <w:rPr>
          <w:sz w:val="20"/>
          <w:szCs w:val="20"/>
          <w:color w:val="auto"/>
        </w:rPr>
      </w:pPr>
    </w:p>
    <w:p>
      <w:pPr>
        <w:ind w:left="920" w:right="220" w:firstLine="29"/>
        <w:spacing w:after="0" w:line="235" w:lineRule="auto"/>
        <w:rPr>
          <w:sz w:val="20"/>
          <w:szCs w:val="20"/>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w:t>
      </w:r>
    </w:p>
    <w:p>
      <w:pPr>
        <w:spacing w:after="0"/>
        <w:rPr>
          <w:sz w:val="20"/>
          <w:szCs w:val="20"/>
          <w:color w:val="auto"/>
        </w:rPr>
      </w:pPr>
      <w:r>
        <w:rPr>
          <w:rFonts w:ascii="Arial" w:cs="Arial" w:eastAsia="Arial" w:hAnsi="Arial"/>
          <w:sz w:val="16"/>
          <w:szCs w:val="16"/>
          <w:color w:val="auto"/>
        </w:rPr>
        <w:t>such third party to continue developing and marketing our products and technology. However, we may not be able to obtain</w:t>
      </w:r>
    </w:p>
    <w:p>
      <w:pPr>
        <w:spacing w:after="0" w:line="215" w:lineRule="auto"/>
        <w:rPr>
          <w:sz w:val="20"/>
          <w:szCs w:val="20"/>
          <w:color w:val="auto"/>
        </w:rPr>
      </w:pPr>
      <w:r>
        <w:rPr>
          <w:rFonts w:ascii="Arial" w:cs="Arial" w:eastAsia="Arial" w:hAnsi="Arial"/>
          <w:sz w:val="17"/>
          <w:szCs w:val="17"/>
          <w:color w:val="auto"/>
        </w:rPr>
        <w:t>any required license on commercially reasonable terms, or at all. Even if we were able to obtain a license, it could be</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w:t>
      </w:r>
    </w:p>
    <w:p>
      <w:pPr>
        <w:spacing w:after="0" w:line="216" w:lineRule="auto"/>
        <w:rPr>
          <w:sz w:val="20"/>
          <w:szCs w:val="20"/>
          <w:color w:val="auto"/>
        </w:rPr>
      </w:pPr>
      <w:r>
        <w:rPr>
          <w:rFonts w:ascii="Arial" w:cs="Arial" w:eastAsia="Arial" w:hAnsi="Arial"/>
          <w:sz w:val="17"/>
          <w:szCs w:val="17"/>
          <w:color w:val="auto"/>
        </w:rPr>
        <w:t>by court order, to cease commercializing the infringing technology or product. In addition, we could be found liable for</w:t>
      </w:r>
    </w:p>
    <w:p>
      <w:pPr>
        <w:spacing w:after="0" w:line="215" w:lineRule="auto"/>
        <w:rPr>
          <w:sz w:val="20"/>
          <w:szCs w:val="20"/>
          <w:color w:val="auto"/>
        </w:rPr>
      </w:pPr>
      <w:r>
        <w:rPr>
          <w:rFonts w:ascii="Arial" w:cs="Arial" w:eastAsia="Arial" w:hAnsi="Arial"/>
          <w:sz w:val="17"/>
          <w:szCs w:val="17"/>
          <w:color w:val="auto"/>
        </w:rPr>
        <w:t>monetary damages, including treble damages and attorneys’ fees if we are found to have willfully infringed a patent. A</w:t>
      </w:r>
    </w:p>
    <w:p>
      <w:pPr>
        <w:spacing w:after="0" w:line="216" w:lineRule="auto"/>
        <w:rPr>
          <w:sz w:val="20"/>
          <w:szCs w:val="20"/>
          <w:color w:val="auto"/>
        </w:rPr>
      </w:pPr>
      <w:r>
        <w:rPr>
          <w:rFonts w:ascii="Arial" w:cs="Arial" w:eastAsia="Arial" w:hAnsi="Arial"/>
          <w:sz w:val="17"/>
          <w:szCs w:val="17"/>
          <w:color w:val="auto"/>
        </w:rPr>
        <w:t>finding of infringement could prevent us from commercializing our product candidates or force us to cease some of our</w:t>
      </w:r>
    </w:p>
    <w:p>
      <w:pPr>
        <w:spacing w:after="0" w:line="215" w:lineRule="auto"/>
        <w:rPr>
          <w:sz w:val="20"/>
          <w:szCs w:val="20"/>
          <w:color w:val="auto"/>
        </w:rPr>
      </w:pPr>
      <w:r>
        <w:rPr>
          <w:rFonts w:ascii="Arial" w:cs="Arial" w:eastAsia="Arial" w:hAnsi="Arial"/>
          <w:sz w:val="17"/>
          <w:szCs w:val="17"/>
          <w:color w:val="auto"/>
        </w:rPr>
        <w:t>business operations, which could materially harm our business. Claims that we have misappropriated the confidential</w:t>
      </w:r>
    </w:p>
    <w:p>
      <w:pPr>
        <w:spacing w:after="0" w:line="229" w:lineRule="auto"/>
        <w:rPr>
          <w:sz w:val="20"/>
          <w:szCs w:val="20"/>
          <w:color w:val="auto"/>
        </w:rPr>
      </w:pPr>
      <w:r>
        <w:rPr>
          <w:rFonts w:ascii="Arial" w:cs="Arial" w:eastAsia="Arial" w:hAnsi="Arial"/>
          <w:sz w:val="16"/>
          <w:szCs w:val="16"/>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prospects.</w:t>
      </w:r>
    </w:p>
    <w:p>
      <w:pPr>
        <w:spacing w:after="0" w:line="16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Competitors may infringe our issued patents, our in</w:t>
      </w:r>
      <w:r>
        <w:rPr>
          <w:rFonts w:ascii="MS PGothic" w:cs="MS PGothic" w:eastAsia="MS PGothic" w:hAnsi="MS PGothic"/>
          <w:sz w:val="16"/>
          <w:szCs w:val="16"/>
          <w:color w:val="auto"/>
        </w:rPr>
        <w:t>‑</w:t>
      </w:r>
      <w:r>
        <w:rPr>
          <w:rFonts w:ascii="Arial" w:cs="Arial" w:eastAsia="Arial" w:hAnsi="Arial"/>
          <w:sz w:val="16"/>
          <w:szCs w:val="16"/>
          <w:color w:val="auto"/>
        </w:rPr>
        <w:t>licensed patents, or other intellectual property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6"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Arial" w:cs="Arial" w:eastAsia="Arial" w:hAnsi="Arial"/>
          <w:sz w:val="18"/>
          <w:szCs w:val="18"/>
          <w:color w:val="auto"/>
        </w:rPr>
        <w:t>license needed technology, or enter into development partnerships that would help us bring our product candidates to market.</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2"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60"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8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and prospects could be adversely affected.</w:t>
      </w:r>
    </w:p>
    <w:p>
      <w:pPr>
        <w:spacing w:after="0" w:line="163"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As a pharmaceutical company, we are subject to many federal and state healthcare laws, such as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certain federal and state healthcare laws and regulations pertaining to fraud and abuse and patients’ rights are and will be applicable to our business. We would be subject to healthcare fraud and abuse by both the federal government and the states in which we conduct our business.</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right="360"/>
        <w:spacing w:after="0" w:line="194"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163"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coverage is approved, the resulting reimbursement payment rates might not be adequate. If payors subject</w:t>
      </w:r>
    </w:p>
    <w:p>
      <w:pPr>
        <w:spacing w:after="0"/>
        <w:rPr>
          <w:sz w:val="20"/>
          <w:szCs w:val="20"/>
          <w:color w:val="auto"/>
        </w:rPr>
      </w:pPr>
      <w:r>
        <w:rPr>
          <w:rFonts w:ascii="Arial" w:cs="Arial" w:eastAsia="Arial" w:hAnsi="Arial"/>
          <w:sz w:val="16"/>
          <w:szCs w:val="16"/>
          <w:color w:val="auto"/>
        </w:rPr>
        <w:t>our product candidates to maximum payment amounts, or impose limitations that make it difficult to obtain reimbursement,</w:t>
      </w:r>
    </w:p>
    <w:p>
      <w:pPr>
        <w:spacing w:after="0" w:line="229" w:lineRule="auto"/>
        <w:rPr>
          <w:sz w:val="20"/>
          <w:szCs w:val="20"/>
          <w:color w:val="auto"/>
        </w:rPr>
      </w:pPr>
      <w:r>
        <w:rPr>
          <w:rFonts w:ascii="Arial" w:cs="Arial" w:eastAsia="Arial" w:hAnsi="Arial"/>
          <w:sz w:val="16"/>
          <w:szCs w:val="16"/>
          <w:color w:val="auto"/>
        </w:rPr>
        <w:t>providers may choose to use therapies which are less expensive when compared to our product candidates. Additionally, if</w:t>
      </w:r>
    </w:p>
    <w:p>
      <w:pPr>
        <w:spacing w:after="0" w:line="229" w:lineRule="auto"/>
        <w:rPr>
          <w:sz w:val="20"/>
          <w:szCs w:val="20"/>
          <w:color w:val="auto"/>
        </w:rPr>
      </w:pPr>
      <w:r>
        <w:rPr>
          <w:rFonts w:ascii="Arial" w:cs="Arial" w:eastAsia="Arial" w:hAnsi="Arial"/>
          <w:sz w:val="16"/>
          <w:szCs w:val="16"/>
          <w:color w:val="auto"/>
        </w:rPr>
        <w:t>payors require high copayments, beneficiaries may decline prescriptions and seek alternative therapies. We may need to</w:t>
      </w:r>
    </w:p>
    <w:p>
      <w:pPr>
        <w:spacing w:after="0" w:line="176" w:lineRule="exact"/>
        <w:rPr>
          <w:sz w:val="20"/>
          <w:szCs w:val="20"/>
          <w:color w:val="auto"/>
        </w:rPr>
      </w:pPr>
      <w:r>
        <w:rPr>
          <w:rFonts w:ascii="Arial" w:cs="Arial" w:eastAsia="Arial" w:hAnsi="Arial"/>
          <w:sz w:val="16"/>
          <w:szCs w:val="16"/>
          <w:color w:val="auto"/>
        </w:rPr>
        <w:t>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order to demonstrate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any future products to the satisfaction of</w:t>
      </w:r>
    </w:p>
    <w:p>
      <w:pPr>
        <w:spacing w:after="0" w:line="176" w:lineRule="exact"/>
        <w:rPr>
          <w:sz w:val="20"/>
          <w:szCs w:val="20"/>
          <w:color w:val="auto"/>
        </w:rPr>
      </w:pPr>
      <w:r>
        <w:rPr>
          <w:rFonts w:ascii="Arial" w:cs="Arial" w:eastAsia="Arial" w:hAnsi="Arial"/>
          <w:sz w:val="17"/>
          <w:szCs w:val="17"/>
          <w:color w:val="auto"/>
        </w:rPr>
        <w:t>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w:t>
      </w:r>
    </w:p>
    <w:p>
      <w:pPr>
        <w:spacing w:after="0" w:line="216" w:lineRule="auto"/>
        <w:rPr>
          <w:sz w:val="20"/>
          <w:szCs w:val="20"/>
          <w:color w:val="auto"/>
        </w:rPr>
      </w:pPr>
      <w:r>
        <w:rPr>
          <w:rFonts w:ascii="Arial" w:cs="Arial" w:eastAsia="Arial" w:hAnsi="Arial"/>
          <w:sz w:val="17"/>
          <w:szCs w:val="17"/>
          <w:color w:val="auto"/>
        </w:rPr>
        <w:t>amount of management time and financial and other resources. Our future products might not ultimately be considered</w:t>
      </w:r>
    </w:p>
    <w:p>
      <w:pPr>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Adequate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might not be available to enable us to maintain price levels</w:t>
      </w:r>
    </w:p>
    <w:p>
      <w:pPr>
        <w:spacing w:after="0"/>
        <w:rPr>
          <w:sz w:val="20"/>
          <w:szCs w:val="20"/>
          <w:color w:val="auto"/>
        </w:rPr>
      </w:pPr>
      <w:r>
        <w:rPr>
          <w:rFonts w:ascii="Arial" w:cs="Arial" w:eastAsia="Arial" w:hAnsi="Arial"/>
          <w:sz w:val="18"/>
          <w:szCs w:val="18"/>
          <w:color w:val="auto"/>
        </w:rPr>
        <w:t>sufficient to realize an appropriate return on investment in product development.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federal programs impose penalties on manufacturers of drugs marketed under an NDA, including 505(b)</w:t>
      </w:r>
    </w:p>
    <w:p>
      <w:pPr>
        <w:spacing w:after="0" w:line="8" w:lineRule="exact"/>
        <w:rPr>
          <w:sz w:val="20"/>
          <w:szCs w:val="20"/>
          <w:color w:val="auto"/>
        </w:rPr>
      </w:pPr>
    </w:p>
    <w:p>
      <w:pPr>
        <w:ind w:firstLine="3"/>
        <w:spacing w:after="0" w:line="180" w:lineRule="exact"/>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drugs, in the form of mandatory additional rebates and/or discounts if commercial prices increase at a rate greater than the Consumer Price Index</w:t>
      </w:r>
      <w:r>
        <w:rPr>
          <w:rFonts w:ascii="MS PGothic" w:cs="MS PGothic" w:eastAsia="MS PGothic" w:hAnsi="MS PGothic"/>
          <w:sz w:val="16"/>
          <w:szCs w:val="16"/>
          <w:color w:val="auto"/>
        </w:rPr>
        <w:t>‑</w:t>
      </w:r>
      <w:r>
        <w:rPr>
          <w:rFonts w:ascii="Arial" w:cs="Arial" w:eastAsia="Arial" w:hAnsi="Arial"/>
          <w:sz w:val="16"/>
          <w:szCs w:val="16"/>
          <w:color w:val="auto"/>
        </w:rPr>
        <w:t>Urban, and these rebates and/or discounts, which can be substantial, may impact our ability to raise commercial prices.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6"/>
          <w:szCs w:val="16"/>
          <w:color w:val="auto"/>
        </w:rPr>
        <w:t>‑</w:t>
      </w:r>
      <w:r>
        <w:rPr>
          <w:rFonts w:ascii="Arial" w:cs="Arial" w:eastAsia="Arial" w:hAnsi="Arial"/>
          <w:sz w:val="16"/>
          <w:szCs w:val="16"/>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provide adequate coverage or reimbursement, our prospects for revenue and profitability will suffer.</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addition,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For example, legislative changes have been proposed and adopted since President Obama signed into law the Affordable Care Act, or ACA, in 2010. These changes include, among other things, aggregate reductions to Medicare payments to providers of up to 2% per fiscal year, which went effective on April 1, 2013. These laws may result in additional reductions in Medicare and other healthcare funding, which could have a material adverse effect on customers for our drugs, if approved, and, accordingly, on our results of operations.</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In January 2017, the U.S. House of Representatives and Senate passed legislation, which, if signed into law by the new administration, would repeal certain aspects of the ACA. Further,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Congress also could consider subsequent legislation to replace elements of the ACA that are repealed.</w:t>
      </w:r>
    </w:p>
    <w:p>
      <w:pPr>
        <w:spacing w:after="0" w:line="161"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3"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right="160" w:firstLine="648"/>
        <w:spacing w:after="0" w:line="234"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Among the requirements of this new legislation, manufacturers are required to provide certain information regarding the drug product to individuals and entities to which product ownership is transferred, will be required label drug product with a product identifier, and are required to keep certain records regarding the drug product. The transfer of information to subsequent product owners by manufacturers will eventually be required to be done electronically. Manufacturers are also required to verify that purchasers of the manufacturers’ products are appropriately licensed. Further, under this legislation, manufactures have drug product investigation, 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19"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63"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4" w:lineRule="exact"/>
        <w:rPr>
          <w:sz w:val="20"/>
          <w:szCs w:val="20"/>
          <w:color w:val="auto"/>
        </w:rPr>
      </w:pPr>
    </w:p>
    <w:p>
      <w:pPr>
        <w:jc w:val="both"/>
        <w:ind w:right="79"/>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66" w:lineRule="exact"/>
        <w:rPr>
          <w:sz w:val="20"/>
          <w:szCs w:val="20"/>
          <w:color w:val="auto"/>
        </w:rPr>
      </w:pPr>
    </w:p>
    <w:p>
      <w:pPr>
        <w:jc w:val="both"/>
        <w:ind w:right="17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7"/>
          <w:szCs w:val="17"/>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ind w:right="279"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right="139" w:firstLine="648"/>
        <w:spacing w:after="0" w:line="182" w:lineRule="exact"/>
        <w:rPr>
          <w:sz w:val="20"/>
          <w:szCs w:val="20"/>
          <w:color w:val="auto"/>
        </w:rPr>
      </w:pPr>
      <w:r>
        <w:rPr>
          <w:rFonts w:ascii="Arial" w:cs="Arial" w:eastAsia="Arial" w:hAnsi="Arial"/>
          <w:sz w:val="18"/>
          <w:szCs w:val="18"/>
          <w:color w:val="auto"/>
        </w:rPr>
        <w:t>As of November 3, 2017, we had only 23 full</w:t>
      </w:r>
      <w:r>
        <w:rPr>
          <w:rFonts w:ascii="MS PGothic" w:cs="MS PGothic" w:eastAsia="MS PGothic" w:hAnsi="MS PGothic"/>
          <w:sz w:val="18"/>
          <w:szCs w:val="18"/>
          <w:color w:val="auto"/>
        </w:rPr>
        <w:t>‑</w:t>
      </w:r>
      <w:r>
        <w:rPr>
          <w:rFonts w:ascii="Arial" w:cs="Arial" w:eastAsia="Arial" w:hAnsi="Arial"/>
          <w:sz w:val="18"/>
          <w:szCs w:val="18"/>
          <w:color w:val="auto"/>
        </w:rPr>
        <w:t>time employees and 5 key consultants. We will need to substantially expand our managerial, commercial, financial, manufacturing, and other personnel resources in order to manage our operations and prepare for the commercialization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5" w:lineRule="exact"/>
        <w:rPr>
          <w:sz w:val="20"/>
          <w:szCs w:val="20"/>
          <w:color w:val="auto"/>
        </w:rPr>
      </w:pPr>
    </w:p>
    <w:p>
      <w:pPr>
        <w:jc w:val="both"/>
        <w:ind w:left="920" w:right="379" w:firstLine="29"/>
        <w:spacing w:after="0" w:line="194" w:lineRule="exact"/>
        <w:rPr>
          <w:sz w:val="20"/>
          <w:szCs w:val="20"/>
          <w:color w:val="auto"/>
        </w:rPr>
      </w:pPr>
      <w:r>
        <w:rPr>
          <w:rFonts w:ascii="Arial" w:cs="Arial" w:eastAsia="Arial" w:hAnsi="Arial"/>
          <w:sz w:val="18"/>
          <w:szCs w:val="18"/>
          <w:color w:val="auto"/>
        </w:rPr>
        <w:t>continue the hiring and training of personnel for an effective commercial organization in anticipation of the potential approval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and establish appropriate systems, policies and infrastructure to support that organization;</w:t>
      </w:r>
    </w:p>
    <w:p>
      <w:pPr>
        <w:spacing w:after="0" w:line="163" w:lineRule="exact"/>
        <w:rPr>
          <w:sz w:val="20"/>
          <w:szCs w:val="20"/>
          <w:color w:val="auto"/>
        </w:rPr>
      </w:pPr>
    </w:p>
    <w:p>
      <w:pPr>
        <w:ind w:left="920" w:right="459" w:firstLine="29"/>
        <w:spacing w:after="0" w:line="235" w:lineRule="auto"/>
        <w:rPr>
          <w:sz w:val="20"/>
          <w:szCs w:val="20"/>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continue to carry out our own contractual obligations to our licensors and other third parties;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08" w:lineRule="exact"/>
        <w:rPr>
          <w:sz w:val="20"/>
          <w:szCs w:val="20"/>
          <w:color w:val="auto"/>
        </w:rPr>
      </w:pPr>
    </w:p>
    <w:p>
      <w:pPr>
        <w:ind w:right="319"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right="39" w:firstLine="648"/>
        <w:spacing w:after="0" w:line="22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62"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25"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Section 404(a) of the Sarbanes-Oxley Act requires annual management assessments of the effectiveness of our internal control over financial reporting, starting with the second annual report that we would expect to file with the SEC.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27"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4" w:lineRule="exact"/>
        <w:rPr>
          <w:sz w:val="20"/>
          <w:szCs w:val="20"/>
          <w:color w:val="auto"/>
        </w:rPr>
      </w:pPr>
    </w:p>
    <w:p>
      <w:pPr>
        <w:ind w:right="260" w:firstLine="648"/>
        <w:spacing w:after="0" w:line="24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3800"/>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spacing w:after="0" w:line="1"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63" w:lineRule="exact"/>
        <w:rPr>
          <w:sz w:val="20"/>
          <w:szCs w:val="20"/>
          <w:color w:val="auto"/>
        </w:rPr>
      </w:pPr>
    </w:p>
    <w:p>
      <w:pPr>
        <w:ind w:left="920" w:right="40" w:firstLine="29"/>
        <w:spacing w:after="0" w:line="203" w:lineRule="exact"/>
        <w:rPr>
          <w:sz w:val="20"/>
          <w:szCs w:val="20"/>
          <w:color w:val="auto"/>
        </w:rPr>
      </w:pPr>
      <w:r>
        <w:rPr>
          <w:rFonts w:ascii="Arial" w:cs="Arial" w:eastAsia="Arial" w:hAnsi="Arial"/>
          <w:sz w:val="18"/>
          <w:szCs w:val="18"/>
          <w:color w:val="auto"/>
        </w:rPr>
        <w:t>delays in the commencement, enrollment, and ultimate completion, of our planned and ongoing Phase 3 clinical trials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62" w:lineRule="exact"/>
        <w:rPr>
          <w:sz w:val="20"/>
          <w:szCs w:val="20"/>
          <w:color w:val="auto"/>
        </w:rPr>
      </w:pPr>
    </w:p>
    <w:p>
      <w:pPr>
        <w:ind w:left="920" w:right="420" w:firstLine="29"/>
        <w:spacing w:after="0" w:line="235" w:lineRule="auto"/>
        <w:rPr>
          <w:sz w:val="20"/>
          <w:szCs w:val="20"/>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62" w:lineRule="exact"/>
        <w:rPr>
          <w:sz w:val="20"/>
          <w:szCs w:val="20"/>
          <w:color w:val="auto"/>
        </w:rPr>
      </w:pPr>
    </w:p>
    <w:p>
      <w:pPr>
        <w:ind w:left="940" w:right="700"/>
        <w:spacing w:after="0" w:line="454" w:lineRule="auto"/>
        <w:rPr>
          <w:sz w:val="20"/>
          <w:szCs w:val="20"/>
          <w:color w:val="auto"/>
        </w:rPr>
      </w:pPr>
      <w:r>
        <w:rPr>
          <w:rFonts w:ascii="Arial" w:cs="Arial" w:eastAsia="Arial" w:hAnsi="Arial"/>
          <w:sz w:val="18"/>
          <w:szCs w:val="18"/>
          <w:color w:val="auto"/>
        </w:rPr>
        <w:t>the commercial success of any of our current and future product candidates, if approved by the FDA; results of clinical trials of any of our current and future product candidates or those of our competitors; actual or anticipated variations in quarterly or annual operating results; failure to meet or exceed financial projections we provide to the public, if any;</w:t>
      </w:r>
    </w:p>
    <w:p>
      <w:pPr>
        <w:ind w:left="920" w:right="540" w:firstLine="29"/>
        <w:spacing w:after="0" w:line="235" w:lineRule="auto"/>
        <w:rPr>
          <w:sz w:val="20"/>
          <w:szCs w:val="20"/>
          <w:color w:val="auto"/>
        </w:rPr>
      </w:pPr>
      <w:r>
        <w:rPr>
          <w:rFonts w:ascii="Arial" w:cs="Arial" w:eastAsia="Arial" w:hAnsi="Arial"/>
          <w:sz w:val="18"/>
          <w:szCs w:val="18"/>
          <w:color w:val="auto"/>
        </w:rPr>
        <w:t>failure to meet or exceed the estimates and projections of the investment community, including securities analysts;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introduction of competitive products or technologies;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changes or developments in laws or regulations applicable to our product candidates;</w:t>
      </w:r>
    </w:p>
    <w:p>
      <w:pPr>
        <w:spacing w:after="0" w:line="185" w:lineRule="exact"/>
        <w:rPr>
          <w:sz w:val="20"/>
          <w:szCs w:val="20"/>
          <w:color w:val="auto"/>
        </w:rPr>
      </w:pPr>
    </w:p>
    <w:p>
      <w:pPr>
        <w:ind w:left="920" w:right="680" w:firstLine="29"/>
        <w:spacing w:after="0" w:line="235" w:lineRule="auto"/>
        <w:rPr>
          <w:sz w:val="20"/>
          <w:szCs w:val="20"/>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general economic and market conditions and overall fluctuations in U.S. equity markets;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developments concerning our sources of manufacturing supply, warehousing, and inventory control;</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disputes or other developments relating to patents or other proprietary rights;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additions or departures of key scientific or management personnel;</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announcements of investigations or regulatory scrutiny of our operations or lawsuits filed against us;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capital commitments;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investors’ general perception of our company and our business;</w:t>
      </w:r>
    </w:p>
    <w:p>
      <w:pPr>
        <w:spacing w:after="0" w:line="185" w:lineRule="exact"/>
        <w:rPr>
          <w:sz w:val="20"/>
          <w:szCs w:val="20"/>
          <w:color w:val="auto"/>
        </w:rPr>
      </w:pPr>
    </w:p>
    <w:p>
      <w:pPr>
        <w:ind w:left="920" w:right="560" w:firstLine="29"/>
        <w:spacing w:after="0" w:line="235" w:lineRule="auto"/>
        <w:rPr>
          <w:sz w:val="20"/>
          <w:szCs w:val="20"/>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sales of our common stock, including sales by our directors and officers or significant stockholders;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changes in the market valuations of companies similar to us;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general conditions or trends in our industry;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4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920" w:right="20" w:firstLine="29"/>
        <w:spacing w:after="0" w:line="289" w:lineRule="auto"/>
        <w:rPr>
          <w:sz w:val="20"/>
          <w:szCs w:val="20"/>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24" w:lineRule="exact"/>
        <w:rPr>
          <w:sz w:val="20"/>
          <w:szCs w:val="20"/>
          <w:color w:val="auto"/>
        </w:rPr>
      </w:pPr>
    </w:p>
    <w:p>
      <w:pPr>
        <w:ind w:left="920" w:right="100" w:firstLine="29"/>
        <w:spacing w:after="0" w:line="219" w:lineRule="auto"/>
        <w:rPr>
          <w:sz w:val="20"/>
          <w:szCs w:val="20"/>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63" w:lineRule="exact"/>
        <w:rPr>
          <w:sz w:val="20"/>
          <w:szCs w:val="20"/>
          <w:color w:val="auto"/>
        </w:rPr>
      </w:pPr>
    </w:p>
    <w:p>
      <w:pPr>
        <w:ind w:left="920" w:right="220" w:firstLine="29"/>
        <w:spacing w:after="0" w:line="203" w:lineRule="exact"/>
        <w:rPr>
          <w:sz w:val="20"/>
          <w:szCs w:val="20"/>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380" w:firstLine="29"/>
        <w:spacing w:after="0" w:line="235" w:lineRule="auto"/>
        <w:rPr>
          <w:sz w:val="20"/>
          <w:szCs w:val="20"/>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variations in the level of expenses related to our future development programs;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any product liability or intellectual property infringement lawsuit in which we may become involved;</w:t>
      </w:r>
    </w:p>
    <w:p>
      <w:pPr>
        <w:spacing w:after="0" w:line="185" w:lineRule="exact"/>
        <w:rPr>
          <w:sz w:val="20"/>
          <w:szCs w:val="20"/>
          <w:color w:val="auto"/>
        </w:rPr>
      </w:pPr>
    </w:p>
    <w:p>
      <w:pPr>
        <w:ind w:left="920" w:right="260" w:firstLine="29"/>
        <w:spacing w:after="0" w:line="235" w:lineRule="auto"/>
        <w:rPr>
          <w:sz w:val="20"/>
          <w:szCs w:val="20"/>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62" w:lineRule="exact"/>
        <w:rPr>
          <w:sz w:val="20"/>
          <w:szCs w:val="20"/>
          <w:color w:val="auto"/>
        </w:rPr>
      </w:pPr>
    </w:p>
    <w:p>
      <w:pPr>
        <w:ind w:left="920" w:right="240" w:firstLine="29"/>
        <w:spacing w:after="0" w:line="235" w:lineRule="auto"/>
        <w:rPr>
          <w:sz w:val="20"/>
          <w:szCs w:val="20"/>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As of November 3, 2017, our executive officers, directors, and 5% stockholders and their affiliates beneficially owned an aggregate of approximately 53%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6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63"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As of November 3, 2017, we have outstanding 23,671,301 shares of common stock. Of these shares, 15,621,160 are freely tradable. The remainder of the outstanding shares of common stock are held by our affiliates and may be considered “control securities” for purposes of Rule 144 under the Securities Act.</w:t>
      </w:r>
    </w:p>
    <w:p>
      <w:pPr>
        <w:spacing w:after="0" w:line="163"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In addition, we have filed one or more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registering the issuance of 5,257,843 shares of common stock subject to options or other equity awards issued or reserved for future issuance under our 2015 Omnibus Incentive Compensation Plan. Shares registered under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will be available for sale in the public market subject to vesting arrangements and exercise of options, the lock</w:t>
      </w:r>
      <w:r>
        <w:rPr>
          <w:rFonts w:ascii="MS PGothic" w:cs="MS PGothic" w:eastAsia="MS PGothic" w:hAnsi="MS PGothic"/>
          <w:sz w:val="17"/>
          <w:szCs w:val="17"/>
          <w:color w:val="auto"/>
        </w:rPr>
        <w:t>‑</w:t>
      </w:r>
      <w:r>
        <w:rPr>
          <w:rFonts w:ascii="Arial" w:cs="Arial" w:eastAsia="Arial" w:hAnsi="Arial"/>
          <w:sz w:val="17"/>
          <w:szCs w:val="17"/>
          <w:color w:val="auto"/>
        </w:rPr>
        <w:t>up agreements described above and the restrictions of Rule 144 in the case of our affiliates.</w:t>
      </w:r>
    </w:p>
    <w:p>
      <w:pPr>
        <w:spacing w:after="0" w:line="16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our capital raises, including our initial public offering, our March 2017 public offering, and any proceeds from sales pursuant to the Sales Agreement, and may not use them effectively.</w:t>
      </w:r>
    </w:p>
    <w:p>
      <w:pPr>
        <w:spacing w:after="0" w:line="163"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Our management will have broad discretion in the application of the net proceeds from our capital raises, including our initial public offering, our March 2017 public offering and proceeds from sales pursuant to the Sales Agreement, if any, and our stockholders will not have the opportunity as part of their investment decision to assess whether the net proceeds from those capital raises are being used appropriately. You may not agree with our decisions, and our use of the proceeds may not yield any return on your investment. Because of the number and variability of factors that will determine our use of the net proceeds from our capital raises, including our initial public offering, our March 2017 public offering and proceeds from sales pursuant to the Sales Agreement, if any, their ultimate use may vary substantially from their currently intended use. Our failure to apply the net proceeds of our capital raises, including our initial public offering, our March 2017 public offering and proceeds from sales pursuant to the Sales Agreement, if any, effectively could compromise our ability to pursue our growth strategy and we might not be able to yield a significant return, if any, on our investment of those net proceeds. You will not have the opportunity to influence our decisions on how to use our net proceeds from those capital raises, including our initial public offering, our March 2017 public offering and proceeds from sales pursuant to the Sales Agreement, if any. Pending their use, we may invest the net proceeds from our capital raises, including our initial public offering and our recently completed public offering, in short</w:t>
      </w:r>
      <w:r>
        <w:rPr>
          <w:rFonts w:ascii="MS PGothic" w:cs="MS PGothic" w:eastAsia="MS PGothic" w:hAnsi="MS PGothic"/>
          <w:sz w:val="16"/>
          <w:szCs w:val="16"/>
          <w:color w:val="auto"/>
        </w:rPr>
        <w:t>‑</w:t>
      </w:r>
      <w:r>
        <w:rPr>
          <w:rFonts w:ascii="Arial" w:cs="Arial" w:eastAsia="Arial" w:hAnsi="Arial"/>
          <w:sz w:val="16"/>
          <w:szCs w:val="16"/>
          <w:color w:val="auto"/>
        </w:rPr>
        <w:t>term, investment</w:t>
      </w:r>
      <w:r>
        <w:rPr>
          <w:rFonts w:ascii="MS PGothic" w:cs="MS PGothic" w:eastAsia="MS PGothic" w:hAnsi="MS PGothic"/>
          <w:sz w:val="16"/>
          <w:szCs w:val="16"/>
          <w:color w:val="auto"/>
        </w:rPr>
        <w:t>‑</w:t>
      </w:r>
      <w:r>
        <w:rPr>
          <w:rFonts w:ascii="Arial" w:cs="Arial" w:eastAsia="Arial" w:hAnsi="Arial"/>
          <w:sz w:val="16"/>
          <w:szCs w:val="16"/>
          <w:color w:val="auto"/>
        </w:rPr>
        <w:t>grade, interest</w:t>
      </w:r>
      <w:r>
        <w:rPr>
          <w:rFonts w:ascii="MS PGothic" w:cs="MS PGothic" w:eastAsia="MS PGothic" w:hAnsi="MS PGothic"/>
          <w:sz w:val="16"/>
          <w:szCs w:val="16"/>
          <w:color w:val="auto"/>
        </w:rPr>
        <w:t>‑</w:t>
      </w:r>
      <w:r>
        <w:rPr>
          <w:rFonts w:ascii="Arial" w:cs="Arial" w:eastAsia="Arial" w:hAnsi="Arial"/>
          <w:sz w:val="16"/>
          <w:szCs w:val="16"/>
          <w:color w:val="auto"/>
        </w:rPr>
        <w:t>bearing instruments and U.S. government securities. These temporary investments are not likely to yield a significant return.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47" w:lineRule="exact"/>
        <w:rPr>
          <w:sz w:val="20"/>
          <w:szCs w:val="20"/>
          <w:color w:val="auto"/>
        </w:rPr>
      </w:pPr>
    </w:p>
    <w:p>
      <w:pPr>
        <w:ind w:right="80" w:firstLine="648"/>
        <w:spacing w:after="0" w:line="20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69"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prior June 30</w:t>
      </w:r>
      <w:r>
        <w:rPr>
          <w:rFonts w:ascii="Arial" w:cs="Arial" w:eastAsia="Arial" w:hAnsi="Arial"/>
          <w:sz w:val="8"/>
          <w:szCs w:val="8"/>
          <w:color w:val="auto"/>
        </w:rPr>
        <w:t>th</w:t>
      </w:r>
      <w:r>
        <w:rPr>
          <w:rFonts w:ascii="Arial" w:cs="Arial" w:eastAsia="Arial" w:hAnsi="Arial"/>
          <w:sz w:val="17"/>
          <w:szCs w:val="17"/>
          <w:color w:val="auto"/>
        </w:rPr>
        <w:t>, and (3) the date on which we have issued more than $1.0 billion in non</w:t>
      </w:r>
      <w:r>
        <w:rPr>
          <w:rFonts w:ascii="MS PGothic" w:cs="MS PGothic" w:eastAsia="MS PGothic" w:hAnsi="MS PGothic"/>
          <w:sz w:val="17"/>
          <w:szCs w:val="17"/>
          <w:color w:val="auto"/>
        </w:rPr>
        <w:t>‑</w:t>
      </w:r>
      <w:r>
        <w:rPr>
          <w:rFonts w:ascii="Arial" w:cs="Arial" w:eastAsia="Arial" w:hAnsi="Arial"/>
          <w:sz w:val="17"/>
          <w:szCs w:val="17"/>
          <w:color w:val="auto"/>
        </w:rPr>
        <w:t>convertible debt during the prior three</w:t>
      </w:r>
      <w:r>
        <w:rPr>
          <w:rFonts w:ascii="MS PGothic" w:cs="MS PGothic" w:eastAsia="MS PGothic" w:hAnsi="MS PGothic"/>
          <w:sz w:val="17"/>
          <w:szCs w:val="17"/>
          <w:color w:val="auto"/>
        </w:rPr>
        <w:t>‑</w:t>
      </w:r>
      <w:r>
        <w:rPr>
          <w:rFonts w:ascii="Arial" w:cs="Arial" w:eastAsia="Arial" w:hAnsi="Arial"/>
          <w:sz w:val="17"/>
          <w:szCs w:val="17"/>
          <w:color w:val="auto"/>
        </w:rPr>
        <w:t>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2016, we had U.S. net operating loss carryforwards of approximately $37.0 million. Our net operating loss carryforwards will begin expiring in 2033 if we have not used them prior to that time. Additionally, our ability to use any net operating loss and credit carryforwards to offset taxable income or tax, respectively, in the future will be limited under Internal Revenue Code Sections 382 and 383, respectively, if we have a cumulative change in ownership of more than 50% within a three</w:t>
      </w:r>
      <w:r>
        <w:rPr>
          <w:rFonts w:ascii="MS PGothic" w:cs="MS PGothic" w:eastAsia="MS PGothic" w:hAnsi="MS PGothic"/>
          <w:sz w:val="16"/>
          <w:szCs w:val="16"/>
          <w:color w:val="auto"/>
        </w:rPr>
        <w:t>‑</w:t>
      </w:r>
      <w:r>
        <w:rPr>
          <w:rFonts w:ascii="Arial" w:cs="Arial" w:eastAsia="Arial" w:hAnsi="Arial"/>
          <w:sz w:val="16"/>
          <w:szCs w:val="16"/>
          <w:color w:val="auto"/>
        </w:rPr>
        <w:t>year period. The completion of our initial public offering, together with our recently completed public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your returns will be limited to any increase in the value of our stock.</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5" w:lineRule="exact"/>
        <w:rPr>
          <w:sz w:val="20"/>
          <w:szCs w:val="20"/>
          <w:color w:val="auto"/>
        </w:rPr>
      </w:pPr>
    </w:p>
    <w:p>
      <w:pPr>
        <w:ind w:right="20" w:firstLine="648"/>
        <w:spacing w:after="0" w:line="185" w:lineRule="exact"/>
        <w:rPr>
          <w:sz w:val="20"/>
          <w:szCs w:val="20"/>
          <w:color w:val="auto"/>
        </w:rPr>
      </w:pPr>
      <w:r>
        <w:rPr>
          <w:rFonts w:ascii="Arial" w:cs="Arial" w:eastAsia="Arial" w:hAnsi="Arial"/>
          <w:sz w:val="17"/>
          <w:szCs w:val="17"/>
          <w:color w:val="auto"/>
        </w:rPr>
        <w:t>In addition, we are subject to the anti</w:t>
      </w:r>
      <w:r>
        <w:rPr>
          <w:rFonts w:ascii="MS PGothic" w:cs="MS PGothic" w:eastAsia="MS PGothic" w:hAnsi="MS PGothic"/>
          <w:sz w:val="17"/>
          <w:szCs w:val="17"/>
          <w:color w:val="auto"/>
        </w:rPr>
        <w:t>‑</w:t>
      </w:r>
      <w:r>
        <w:rPr>
          <w:rFonts w:ascii="Arial" w:cs="Arial" w:eastAsia="Arial" w:hAnsi="Arial"/>
          <w:sz w:val="17"/>
          <w:szCs w:val="17"/>
          <w:color w:val="auto"/>
        </w:rPr>
        <w:t>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5"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IPO Proceeds</w:t>
      </w:r>
    </w:p>
    <w:p>
      <w:pPr>
        <w:spacing w:after="0" w:line="144"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On November 19, 2015, the Company’s registration statement on Form S-1 (File No. 333-207393) for our IPO was declared effective by the Securities and Exchange Commission, or SEC. On November 24, 2015, we completed our IPO whereby we sold 5,666,667 shares of common stock, at a public offering price of $9.00 per share, before underwriting discounts and expenses. The aggregate net proceeds received by us from the offering were $45.5 million after deducting the underwriting discounts and commissions and offering expenses paid by us.</w:t>
      </w:r>
    </w:p>
    <w:p>
      <w:pPr>
        <w:spacing w:after="0" w:line="121" w:lineRule="exact"/>
        <w:rPr>
          <w:sz w:val="20"/>
          <w:szCs w:val="20"/>
          <w:color w:val="auto"/>
        </w:rPr>
      </w:pPr>
    </w:p>
    <w:p>
      <w:pPr>
        <w:ind w:right="100" w:firstLine="576"/>
        <w:spacing w:after="0" w:line="235" w:lineRule="auto"/>
        <w:rPr>
          <w:sz w:val="20"/>
          <w:szCs w:val="20"/>
          <w:color w:val="auto"/>
        </w:rPr>
      </w:pPr>
      <w:r>
        <w:rPr>
          <w:rFonts w:ascii="Arial" w:cs="Arial" w:eastAsia="Arial" w:hAnsi="Arial"/>
          <w:sz w:val="18"/>
          <w:szCs w:val="18"/>
          <w:color w:val="auto"/>
        </w:rPr>
        <w:t>As of September 30, 2017, we have used approximately $38.9 million of our net proceeds from the IPO primarily to fund the Phase 3 clinical trials for AXS-02 and AXS-05, as well as general working capital purposes.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firstLine="576"/>
        <w:spacing w:after="0" w:line="289" w:lineRule="auto"/>
        <w:rPr>
          <w:sz w:val="20"/>
          <w:szCs w:val="20"/>
          <w:color w:val="auto"/>
        </w:rPr>
      </w:pPr>
      <w:r>
        <w:rPr>
          <w:rFonts w:ascii="Arial" w:cs="Arial" w:eastAsia="Arial" w:hAnsi="Arial"/>
          <w:sz w:val="16"/>
          <w:szCs w:val="16"/>
          <w:color w:val="auto"/>
        </w:rPr>
        <w:t>There has been no material change in the planned use of proceeds from our IPO as described in our prospectus dated November 19, 2015, filed with the SEC pursuant to Rule 424(b)(4) under the Securities Act of 1933, as amended.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319"/>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60" w:type="dxa"/>
            <w:vAlign w:val="bottom"/>
          </w:tcPr>
          <w:p>
            <w:pPr>
              <w:ind w:left="274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42"/>
        </w:trPr>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8160" w:type="dxa"/>
            <w:vAlign w:val="bottom"/>
            <w:vMerge w:val="restart"/>
          </w:tcPr>
          <w:p>
            <w:pPr>
              <w:ind w:left="3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8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900" w:right="580" w:hanging="548"/>
        <w:spacing w:after="0" w:line="228" w:lineRule="auto"/>
        <w:tabs>
          <w:tab w:leader="none" w:pos="880" w:val="left"/>
        </w:tabs>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84">
        <w:r>
          <w:rPr>
            <w:rFonts w:ascii="Arial" w:cs="Arial" w:eastAsia="Arial" w:hAnsi="Arial"/>
            <w:sz w:val="18"/>
            <w:szCs w:val="18"/>
            <w:u w:val="single" w:color="auto"/>
            <w:color w:val="0000EE"/>
          </w:rPr>
          <w:t>Certification of Principal Executive Officer pursuant to Rule 13a-14(a)/15d-14(a), as adopted pursuant to</w:t>
        </w:r>
      </w:hyperlink>
      <w:r>
        <w:rPr>
          <w:rFonts w:ascii="Arial" w:cs="Arial" w:eastAsia="Arial" w:hAnsi="Arial"/>
          <w:sz w:val="18"/>
          <w:szCs w:val="18"/>
          <w:u w:val="single" w:color="auto"/>
          <w:color w:val="0000EE"/>
        </w:rPr>
        <w:t xml:space="preserve"> </w:t>
      </w:r>
      <w:hyperlink w:anchor="page84">
        <w:r>
          <w:rPr>
            <w:rFonts w:ascii="Arial" w:cs="Arial" w:eastAsia="Arial" w:hAnsi="Arial"/>
            <w:sz w:val="18"/>
            <w:szCs w:val="18"/>
            <w:u w:val="single" w:color="auto"/>
            <w:color w:val="0000EE"/>
          </w:rPr>
          <w:t>Section 302 of the Sarbanes-Oxley Act of 2002.</w:t>
        </w:r>
      </w:hyperlink>
    </w:p>
    <w:p>
      <w:pPr>
        <w:spacing w:after="0" w:line="1" w:lineRule="exact"/>
        <w:rPr>
          <w:rFonts w:ascii="Arial" w:cs="Arial" w:eastAsia="Arial" w:hAnsi="Arial"/>
          <w:sz w:val="18"/>
          <w:szCs w:val="18"/>
          <w:u w:val="single" w:color="auto"/>
          <w:color w:val="0000EE"/>
        </w:rPr>
      </w:pPr>
    </w:p>
    <w:p>
      <w:pPr>
        <w:ind w:left="900" w:right="640" w:hanging="548"/>
        <w:spacing w:after="0" w:line="219" w:lineRule="auto"/>
        <w:tabs>
          <w:tab w:leader="none" w:pos="880" w:val="left"/>
        </w:tabs>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85">
        <w:r>
          <w:rPr>
            <w:rFonts w:ascii="Arial" w:cs="Arial" w:eastAsia="Arial" w:hAnsi="Arial"/>
            <w:sz w:val="18"/>
            <w:szCs w:val="18"/>
            <w:u w:val="single" w:color="auto"/>
            <w:color w:val="0000EE"/>
          </w:rPr>
          <w:t>Certification of Principal Financial Officer pursuant to Rule 13a-14(a)/15d-14(a), as adopted pursuant to</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Section 302 of the Sarbanes-Oxley Act of 2002.</w:t>
        </w:r>
      </w:hyperlink>
    </w:p>
    <w:p>
      <w:pPr>
        <w:ind w:left="900" w:right="120" w:hanging="548"/>
        <w:spacing w:after="0" w:line="219" w:lineRule="auto"/>
        <w:tabs>
          <w:tab w:leader="none" w:pos="880" w:val="left"/>
        </w:tabs>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86">
        <w:r>
          <w:rPr>
            <w:rFonts w:ascii="Arial" w:cs="Arial" w:eastAsia="Arial" w:hAnsi="Arial"/>
            <w:sz w:val="18"/>
            <w:szCs w:val="18"/>
            <w:u w:val="single" w:color="auto"/>
            <w:color w:val="0000EE"/>
          </w:rPr>
          <w:t>Certification of Principal Executive Officer pursuant to 18 U.S.C. §1350, as adopted pursuant to Section 906 of</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the Sarbanes-Oxley Act of 2002 (furnished herewith).</w:t>
        </w:r>
      </w:hyperlink>
    </w:p>
    <w:p>
      <w:pPr>
        <w:ind w:left="900" w:right="180" w:hanging="548"/>
        <w:spacing w:after="0" w:line="219" w:lineRule="auto"/>
        <w:tabs>
          <w:tab w:leader="none" w:pos="880" w:val="left"/>
        </w:tabs>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87">
        <w:r>
          <w:rPr>
            <w:rFonts w:ascii="Arial" w:cs="Arial" w:eastAsia="Arial" w:hAnsi="Arial"/>
            <w:sz w:val="18"/>
            <w:szCs w:val="18"/>
            <w:u w:val="single" w:color="auto"/>
            <w:color w:val="0000EE"/>
          </w:rPr>
          <w:t>Certification of Principal Financial Officer pursuant to 18 U.S.C. §1350, as adopted pursuant to Section 906 of</w:t>
        </w:r>
      </w:hyperlink>
      <w:r>
        <w:rPr>
          <w:rFonts w:ascii="Arial" w:cs="Arial" w:eastAsia="Arial" w:hAnsi="Arial"/>
          <w:sz w:val="18"/>
          <w:szCs w:val="18"/>
          <w:u w:val="single" w:color="auto"/>
          <w:color w:val="0000EE"/>
        </w:rPr>
        <w:t xml:space="preserve"> </w:t>
      </w:r>
      <w:hyperlink w:anchor="page87">
        <w:r>
          <w:rPr>
            <w:rFonts w:ascii="Arial" w:cs="Arial" w:eastAsia="Arial" w:hAnsi="Arial"/>
            <w:sz w:val="18"/>
            <w:szCs w:val="18"/>
            <w:u w:val="single" w:color="auto"/>
            <w:color w:val="0000EE"/>
          </w:rPr>
          <w:t>the Sarbanes-Oxley Act of 2002 (furnished herewith).</w:t>
        </w:r>
      </w:hyperlink>
    </w:p>
    <w:p>
      <w:pPr>
        <w:ind w:left="900" w:right="100" w:hanging="496"/>
        <w:spacing w:after="0" w:line="22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 (ii) Consolidated Statements of Operations, (iii) Consolidated Statements of Cash Flows, and (iv) the Notes to Consolidated Financial Statements.</w:t>
      </w:r>
    </w:p>
    <w:p>
      <w:pPr>
        <w:spacing w:after="0" w:line="200" w:lineRule="exact"/>
        <w:rPr>
          <w:rFonts w:ascii="Arial" w:cs="Arial" w:eastAsia="Arial" w:hAnsi="Arial"/>
          <w:sz w:val="18"/>
          <w:szCs w:val="18"/>
          <w:u w:val="single" w:color="auto"/>
          <w:color w:val="0000EE"/>
        </w:rPr>
      </w:pPr>
    </w:p>
    <w:p>
      <w:pPr>
        <w:spacing w:after="0" w:line="366"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AXSOME THERAPEUTICS, INC.</w:t>
      </w:r>
    </w:p>
    <w:p>
      <w:pPr>
        <w:spacing w:after="0" w:line="171"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Herriot Tabuteau, M.D.</w:t>
      </w:r>
    </w:p>
    <w:p>
      <w:pPr>
        <w:ind w:left="5140"/>
        <w:spacing w:after="0" w:line="219" w:lineRule="auto"/>
        <w:rPr>
          <w:sz w:val="20"/>
          <w:szCs w:val="20"/>
          <w:color w:val="auto"/>
        </w:rPr>
      </w:pPr>
      <w:r>
        <w:rPr>
          <w:rFonts w:ascii="Arial" w:cs="Arial" w:eastAsia="Arial" w:hAnsi="Arial"/>
          <w:sz w:val="18"/>
          <w:szCs w:val="18"/>
          <w:i w:val="1"/>
          <w:iCs w:val="1"/>
          <w:color w:val="auto"/>
        </w:rPr>
        <w:t>President and Chief Executive Officer</w:t>
      </w:r>
    </w:p>
    <w:p>
      <w:pPr>
        <w:ind w:left="5140"/>
        <w:spacing w:after="0"/>
        <w:rPr>
          <w:sz w:val="20"/>
          <w:szCs w:val="20"/>
          <w:color w:val="auto"/>
        </w:rPr>
      </w:pPr>
      <w:r>
        <w:rPr>
          <w:rFonts w:ascii="Arial" w:cs="Arial" w:eastAsia="Arial" w:hAnsi="Arial"/>
          <w:sz w:val="18"/>
          <w:szCs w:val="18"/>
          <w:i w:val="1"/>
          <w:iCs w:val="1"/>
          <w:color w:val="auto"/>
        </w:rPr>
        <w:t>(Principal Executive Officer)</w:t>
      </w:r>
    </w:p>
    <w:p>
      <w:pPr>
        <w:spacing w:after="0" w:line="358"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John Golubieski</w:t>
      </w:r>
    </w:p>
    <w:p>
      <w:pPr>
        <w:ind w:left="5140"/>
        <w:spacing w:after="0" w:line="219" w:lineRule="auto"/>
        <w:rPr>
          <w:sz w:val="20"/>
          <w:szCs w:val="20"/>
          <w:color w:val="auto"/>
        </w:rPr>
      </w:pPr>
      <w:r>
        <w:rPr>
          <w:rFonts w:ascii="Arial" w:cs="Arial" w:eastAsia="Arial" w:hAnsi="Arial"/>
          <w:sz w:val="18"/>
          <w:szCs w:val="18"/>
          <w:i w:val="1"/>
          <w:iCs w:val="1"/>
          <w:color w:val="auto"/>
        </w:rPr>
        <w:t>Chief Financial Officer</w:t>
      </w:r>
    </w:p>
    <w:p>
      <w:pPr>
        <w:ind w:left="51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M.D., certify that:</w:t>
      </w:r>
    </w:p>
    <w:p>
      <w:pPr>
        <w:spacing w:after="0" w:line="144"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320" w:hanging="317"/>
        <w:spacing w:after="0" w:line="258" w:lineRule="auto"/>
        <w:tabs>
          <w:tab w:leader="none" w:pos="30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John Golubieski, certify that:</w:t>
      </w:r>
    </w:p>
    <w:p>
      <w:pPr>
        <w:spacing w:after="0" w:line="144" w:lineRule="exact"/>
        <w:rPr>
          <w:sz w:val="20"/>
          <w:szCs w:val="20"/>
          <w:color w:val="auto"/>
        </w:rPr>
      </w:pPr>
    </w:p>
    <w:p>
      <w:pPr>
        <w:ind w:left="320" w:hanging="317"/>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320" w:hanging="317"/>
        <w:spacing w:after="0" w:line="258" w:lineRule="auto"/>
        <w:tabs>
          <w:tab w:leader="none" w:pos="30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6"/>
          <w:szCs w:val="16"/>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John Golubieski</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 OF PRINCIPAL EXECUTIVE OFFICER OF</w:t>
      </w:r>
    </w:p>
    <w:p>
      <w:pPr>
        <w:ind w:left="318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40"/>
        <w:spacing w:after="0" w:line="204" w:lineRule="auto"/>
        <w:rPr>
          <w:sz w:val="20"/>
          <w:szCs w:val="20"/>
          <w:color w:val="auto"/>
        </w:rPr>
      </w:pPr>
      <w:r>
        <w:rPr>
          <w:rFonts w:ascii="Arial" w:cs="Arial" w:eastAsia="Arial" w:hAnsi="Arial"/>
          <w:sz w:val="18"/>
          <w:szCs w:val="18"/>
          <w:b w:val="1"/>
          <w:bCs w:val="1"/>
          <w:color w:val="auto"/>
        </w:rPr>
        <w:t>PURSUANT TO 18 U.S.C. SECTION 1350,</w:t>
      </w:r>
    </w:p>
    <w:p>
      <w:pPr>
        <w:ind w:left="3280"/>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12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September 30, 2017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2" w:lineRule="exact"/>
        <w:rPr>
          <w:sz w:val="20"/>
          <w:szCs w:val="20"/>
          <w:color w:val="auto"/>
        </w:rPr>
      </w:pPr>
    </w:p>
    <w:p>
      <w:pPr>
        <w:jc w:val="both"/>
        <w:ind w:right="18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September 30, 2017 as filed with the Securities and Exchange Commission (the “Report”), I, John Golubieski,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6"/>
          <w:szCs w:val="16"/>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John Golubieski</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2019-12-29T02:57:12Z</dcterms:created>
  <dcterms:modified xsi:type="dcterms:W3CDTF">2019-12-29T02:57:12Z</dcterms:modified>
</cp:coreProperties>
</file>